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2552"/>
        <w:gridCol w:w="6660"/>
      </w:tblGrid>
      <w:tr w:rsidR="00BA5B0B" w:rsidRPr="00724AB9" w14:paraId="16B49FCF" w14:textId="77777777" w:rsidTr="00C07CE2">
        <w:tc>
          <w:tcPr>
            <w:tcW w:w="2552" w:type="dxa"/>
          </w:tcPr>
          <w:p w14:paraId="4F080187" w14:textId="77777777" w:rsidR="00BA5B0B" w:rsidRPr="00724AB9" w:rsidRDefault="00BA5B0B" w:rsidP="003E2A0C">
            <w:pPr>
              <w:spacing w:after="0" w:line="240" w:lineRule="auto"/>
              <w:jc w:val="both"/>
              <w:rPr>
                <w:sz w:val="20"/>
                <w:szCs w:val="20"/>
                <w:lang w:eastAsia="cs-CZ"/>
              </w:rPr>
            </w:pPr>
            <w:r w:rsidRPr="00724AB9">
              <w:rPr>
                <w:sz w:val="20"/>
                <w:szCs w:val="20"/>
                <w:lang w:eastAsia="cs-CZ"/>
              </w:rPr>
              <w:t>Společnost:</w:t>
            </w:r>
          </w:p>
        </w:tc>
        <w:tc>
          <w:tcPr>
            <w:tcW w:w="6660" w:type="dxa"/>
          </w:tcPr>
          <w:p w14:paraId="012F82AC" w14:textId="12292444" w:rsidR="00BA5B0B" w:rsidRPr="00724AB9" w:rsidRDefault="00724AB9" w:rsidP="003E2A0C">
            <w:pPr>
              <w:spacing w:after="0" w:line="240" w:lineRule="auto"/>
              <w:jc w:val="both"/>
              <w:rPr>
                <w:b/>
                <w:sz w:val="20"/>
                <w:szCs w:val="20"/>
                <w:lang w:eastAsia="cs-CZ"/>
              </w:rPr>
            </w:pPr>
            <w:r>
              <w:rPr>
                <w:b/>
                <w:sz w:val="20"/>
                <w:szCs w:val="20"/>
                <w:lang w:eastAsia="cs-CZ"/>
              </w:rPr>
              <w:t>SNT Plus s.r.o.</w:t>
            </w:r>
          </w:p>
        </w:tc>
      </w:tr>
      <w:tr w:rsidR="00BA5B0B" w:rsidRPr="00724AB9" w14:paraId="5A97E502" w14:textId="77777777" w:rsidTr="00C07CE2">
        <w:tc>
          <w:tcPr>
            <w:tcW w:w="2552" w:type="dxa"/>
          </w:tcPr>
          <w:p w14:paraId="2A6378D5" w14:textId="77777777" w:rsidR="00BA5B0B" w:rsidRPr="00724AB9" w:rsidRDefault="00BA5B0B" w:rsidP="003E2A0C">
            <w:pPr>
              <w:spacing w:after="0" w:line="240" w:lineRule="auto"/>
              <w:jc w:val="both"/>
              <w:rPr>
                <w:sz w:val="20"/>
                <w:szCs w:val="20"/>
                <w:lang w:eastAsia="cs-CZ"/>
              </w:rPr>
            </w:pPr>
            <w:r w:rsidRPr="00724AB9">
              <w:rPr>
                <w:sz w:val="20"/>
                <w:szCs w:val="20"/>
                <w:lang w:eastAsia="cs-CZ"/>
              </w:rPr>
              <w:t>IČO:</w:t>
            </w:r>
          </w:p>
        </w:tc>
        <w:tc>
          <w:tcPr>
            <w:tcW w:w="6660" w:type="dxa"/>
          </w:tcPr>
          <w:p w14:paraId="451F3DEF" w14:textId="3F18440A" w:rsidR="00BA5B0B" w:rsidRPr="00724AB9" w:rsidRDefault="00724AB9" w:rsidP="003E2A0C">
            <w:pPr>
              <w:spacing w:after="0" w:line="240" w:lineRule="auto"/>
              <w:jc w:val="both"/>
              <w:rPr>
                <w:sz w:val="20"/>
                <w:szCs w:val="20"/>
                <w:lang w:eastAsia="cs-CZ"/>
              </w:rPr>
            </w:pPr>
            <w:r>
              <w:rPr>
                <w:sz w:val="20"/>
                <w:szCs w:val="20"/>
                <w:lang w:eastAsia="cs-CZ"/>
              </w:rPr>
              <w:t>25701576</w:t>
            </w:r>
          </w:p>
        </w:tc>
      </w:tr>
      <w:tr w:rsidR="00BA5B0B" w:rsidRPr="00724AB9" w14:paraId="1844E9CF" w14:textId="77777777" w:rsidTr="00C07CE2">
        <w:tc>
          <w:tcPr>
            <w:tcW w:w="2552" w:type="dxa"/>
          </w:tcPr>
          <w:p w14:paraId="10396488" w14:textId="77777777" w:rsidR="00BA5B0B" w:rsidRPr="00724AB9" w:rsidRDefault="00BA5B0B" w:rsidP="003E2A0C">
            <w:pPr>
              <w:spacing w:after="0" w:line="240" w:lineRule="auto"/>
              <w:jc w:val="both"/>
              <w:rPr>
                <w:sz w:val="20"/>
                <w:szCs w:val="20"/>
                <w:lang w:eastAsia="cs-CZ"/>
              </w:rPr>
            </w:pPr>
            <w:r w:rsidRPr="00724AB9">
              <w:rPr>
                <w:sz w:val="20"/>
                <w:szCs w:val="20"/>
                <w:lang w:eastAsia="cs-CZ"/>
              </w:rPr>
              <w:t>DIČ:</w:t>
            </w:r>
          </w:p>
        </w:tc>
        <w:tc>
          <w:tcPr>
            <w:tcW w:w="6660" w:type="dxa"/>
          </w:tcPr>
          <w:p w14:paraId="04D270FA" w14:textId="52C6B81B" w:rsidR="00BA5B0B" w:rsidRPr="00724AB9" w:rsidRDefault="00724AB9" w:rsidP="003E2A0C">
            <w:pPr>
              <w:spacing w:after="0" w:line="240" w:lineRule="auto"/>
              <w:jc w:val="both"/>
              <w:rPr>
                <w:sz w:val="20"/>
                <w:szCs w:val="20"/>
                <w:lang w:eastAsia="cs-CZ"/>
              </w:rPr>
            </w:pPr>
            <w:r>
              <w:rPr>
                <w:sz w:val="20"/>
                <w:szCs w:val="20"/>
                <w:lang w:eastAsia="cs-CZ"/>
              </w:rPr>
              <w:t>CZ25701576</w:t>
            </w:r>
          </w:p>
        </w:tc>
      </w:tr>
      <w:tr w:rsidR="00BA5B0B" w:rsidRPr="00724AB9" w14:paraId="4169B90F" w14:textId="77777777" w:rsidTr="00C07CE2">
        <w:tc>
          <w:tcPr>
            <w:tcW w:w="2552" w:type="dxa"/>
          </w:tcPr>
          <w:p w14:paraId="26CA6C83" w14:textId="77777777" w:rsidR="00BA5B0B" w:rsidRPr="00724AB9" w:rsidRDefault="00BA5B0B" w:rsidP="003E2A0C">
            <w:pPr>
              <w:spacing w:after="0" w:line="240" w:lineRule="auto"/>
              <w:jc w:val="both"/>
              <w:rPr>
                <w:sz w:val="20"/>
                <w:szCs w:val="20"/>
                <w:lang w:eastAsia="cs-CZ"/>
              </w:rPr>
            </w:pPr>
            <w:r w:rsidRPr="00724AB9">
              <w:rPr>
                <w:sz w:val="20"/>
                <w:szCs w:val="20"/>
                <w:lang w:eastAsia="cs-CZ"/>
              </w:rPr>
              <w:t>Se sídlem:</w:t>
            </w:r>
          </w:p>
        </w:tc>
        <w:tc>
          <w:tcPr>
            <w:tcW w:w="6660" w:type="dxa"/>
          </w:tcPr>
          <w:p w14:paraId="3EB1ADEA" w14:textId="19232DB6" w:rsidR="00BA5B0B" w:rsidRPr="00724AB9" w:rsidRDefault="00724AB9" w:rsidP="003E2A0C">
            <w:pPr>
              <w:spacing w:after="0" w:line="240" w:lineRule="auto"/>
              <w:jc w:val="both"/>
              <w:rPr>
                <w:sz w:val="20"/>
                <w:szCs w:val="20"/>
                <w:lang w:eastAsia="cs-CZ"/>
              </w:rPr>
            </w:pPr>
            <w:r>
              <w:rPr>
                <w:sz w:val="20"/>
                <w:szCs w:val="20"/>
                <w:lang w:eastAsia="cs-CZ"/>
              </w:rPr>
              <w:t>Praha 4, Novodvorská 994/138, PSČ 142 00</w:t>
            </w:r>
          </w:p>
        </w:tc>
      </w:tr>
      <w:tr w:rsidR="00BA5B0B" w:rsidRPr="00724AB9" w14:paraId="7B2D79A3" w14:textId="77777777" w:rsidTr="00C07CE2">
        <w:tc>
          <w:tcPr>
            <w:tcW w:w="2552" w:type="dxa"/>
          </w:tcPr>
          <w:p w14:paraId="0FED4021" w14:textId="77777777" w:rsidR="00BA5B0B" w:rsidRPr="00724AB9" w:rsidRDefault="00BA5B0B" w:rsidP="003E2A0C">
            <w:pPr>
              <w:spacing w:after="0" w:line="240" w:lineRule="auto"/>
              <w:jc w:val="both"/>
              <w:rPr>
                <w:sz w:val="20"/>
                <w:szCs w:val="20"/>
                <w:lang w:eastAsia="cs-CZ"/>
              </w:rPr>
            </w:pPr>
            <w:r w:rsidRPr="00724AB9">
              <w:rPr>
                <w:sz w:val="20"/>
                <w:szCs w:val="20"/>
                <w:lang w:eastAsia="cs-CZ"/>
              </w:rPr>
              <w:t>Zastoupená:</w:t>
            </w:r>
          </w:p>
        </w:tc>
        <w:tc>
          <w:tcPr>
            <w:tcW w:w="6660" w:type="dxa"/>
          </w:tcPr>
          <w:p w14:paraId="1BC1F700" w14:textId="346A849E" w:rsidR="00BA5B0B" w:rsidRPr="00724AB9" w:rsidRDefault="00724AB9" w:rsidP="003E2A0C">
            <w:pPr>
              <w:spacing w:after="0" w:line="240" w:lineRule="auto"/>
              <w:jc w:val="both"/>
              <w:rPr>
                <w:sz w:val="20"/>
                <w:szCs w:val="20"/>
                <w:lang w:eastAsia="cs-CZ"/>
              </w:rPr>
            </w:pPr>
            <w:r>
              <w:rPr>
                <w:sz w:val="20"/>
                <w:szCs w:val="20"/>
                <w:lang w:eastAsia="cs-CZ"/>
              </w:rPr>
              <w:t xml:space="preserve">Ing. Ludvík </w:t>
            </w:r>
            <w:proofErr w:type="spellStart"/>
            <w:r>
              <w:rPr>
                <w:sz w:val="20"/>
                <w:szCs w:val="20"/>
                <w:lang w:eastAsia="cs-CZ"/>
              </w:rPr>
              <w:t>Tót</w:t>
            </w:r>
            <w:proofErr w:type="spellEnd"/>
            <w:r>
              <w:rPr>
                <w:sz w:val="20"/>
                <w:szCs w:val="20"/>
                <w:lang w:eastAsia="cs-CZ"/>
              </w:rPr>
              <w:t>, jednatel</w:t>
            </w:r>
          </w:p>
        </w:tc>
      </w:tr>
      <w:tr w:rsidR="00BA5B0B" w:rsidRPr="00724AB9" w14:paraId="6E5B4210" w14:textId="77777777" w:rsidTr="00C07CE2">
        <w:tc>
          <w:tcPr>
            <w:tcW w:w="2552" w:type="dxa"/>
          </w:tcPr>
          <w:p w14:paraId="1AA05CBA" w14:textId="77777777" w:rsidR="00BA5B0B" w:rsidRPr="00724AB9" w:rsidRDefault="00BA5B0B" w:rsidP="003E2A0C">
            <w:pPr>
              <w:spacing w:after="0" w:line="240" w:lineRule="auto"/>
              <w:jc w:val="both"/>
              <w:rPr>
                <w:sz w:val="20"/>
                <w:szCs w:val="20"/>
                <w:lang w:eastAsia="cs-CZ"/>
              </w:rPr>
            </w:pPr>
            <w:r w:rsidRPr="00724AB9">
              <w:rPr>
                <w:sz w:val="20"/>
                <w:szCs w:val="20"/>
                <w:lang w:eastAsia="cs-CZ"/>
              </w:rPr>
              <w:t>Bankovní spojení:</w:t>
            </w:r>
          </w:p>
        </w:tc>
        <w:tc>
          <w:tcPr>
            <w:tcW w:w="6660" w:type="dxa"/>
          </w:tcPr>
          <w:p w14:paraId="1511FE73" w14:textId="08C106BC" w:rsidR="00BA5B0B" w:rsidRPr="00724AB9" w:rsidRDefault="00724AB9" w:rsidP="003E2A0C">
            <w:pPr>
              <w:spacing w:after="0" w:line="240" w:lineRule="auto"/>
              <w:jc w:val="both"/>
              <w:rPr>
                <w:sz w:val="20"/>
                <w:szCs w:val="20"/>
                <w:lang w:eastAsia="cs-CZ"/>
              </w:rPr>
            </w:pPr>
            <w:r>
              <w:rPr>
                <w:sz w:val="20"/>
                <w:szCs w:val="20"/>
                <w:lang w:eastAsia="cs-CZ"/>
              </w:rPr>
              <w:t>Raiffeisenbank a.s.</w:t>
            </w:r>
          </w:p>
        </w:tc>
      </w:tr>
      <w:tr w:rsidR="00BA5B0B" w:rsidRPr="00724AB9" w14:paraId="641F8069" w14:textId="77777777" w:rsidTr="00C07CE2">
        <w:tc>
          <w:tcPr>
            <w:tcW w:w="2552" w:type="dxa"/>
          </w:tcPr>
          <w:p w14:paraId="3E025A2C" w14:textId="77777777" w:rsidR="00BA5B0B" w:rsidRPr="00724AB9" w:rsidRDefault="00BA5B0B" w:rsidP="003E2A0C">
            <w:pPr>
              <w:spacing w:after="0" w:line="240" w:lineRule="auto"/>
              <w:jc w:val="both"/>
              <w:rPr>
                <w:sz w:val="20"/>
                <w:szCs w:val="20"/>
                <w:lang w:eastAsia="cs-CZ"/>
              </w:rPr>
            </w:pPr>
            <w:r w:rsidRPr="00724AB9">
              <w:rPr>
                <w:sz w:val="20"/>
                <w:szCs w:val="20"/>
                <w:lang w:eastAsia="cs-CZ"/>
              </w:rPr>
              <w:t>Číslo účtu:</w:t>
            </w:r>
          </w:p>
        </w:tc>
        <w:tc>
          <w:tcPr>
            <w:tcW w:w="6660" w:type="dxa"/>
          </w:tcPr>
          <w:p w14:paraId="7B4A1549" w14:textId="4D4565DA" w:rsidR="00BA5B0B" w:rsidRPr="00724AB9" w:rsidRDefault="00724AB9" w:rsidP="003E2A0C">
            <w:pPr>
              <w:spacing w:after="0" w:line="240" w:lineRule="auto"/>
              <w:jc w:val="both"/>
              <w:rPr>
                <w:sz w:val="20"/>
                <w:szCs w:val="20"/>
                <w:lang w:eastAsia="cs-CZ"/>
              </w:rPr>
            </w:pPr>
            <w:r>
              <w:rPr>
                <w:sz w:val="20"/>
                <w:szCs w:val="20"/>
                <w:lang w:eastAsia="cs-CZ"/>
              </w:rPr>
              <w:t>1121103502/5500</w:t>
            </w:r>
          </w:p>
        </w:tc>
      </w:tr>
      <w:tr w:rsidR="00BA5B0B" w:rsidRPr="00D00C78" w14:paraId="15B0FF63" w14:textId="77777777" w:rsidTr="00C07CE2">
        <w:tc>
          <w:tcPr>
            <w:tcW w:w="9212" w:type="dxa"/>
            <w:gridSpan w:val="2"/>
          </w:tcPr>
          <w:p w14:paraId="278E35C1" w14:textId="2AAC00B4" w:rsidR="00BA5B0B" w:rsidRPr="00724AB9" w:rsidRDefault="00BA5B0B" w:rsidP="003E2A0C">
            <w:pPr>
              <w:spacing w:after="0" w:line="240" w:lineRule="auto"/>
              <w:jc w:val="both"/>
              <w:rPr>
                <w:sz w:val="20"/>
                <w:szCs w:val="20"/>
                <w:lang w:eastAsia="cs-CZ"/>
              </w:rPr>
            </w:pPr>
            <w:r w:rsidRPr="00724AB9">
              <w:rPr>
                <w:sz w:val="20"/>
                <w:szCs w:val="20"/>
                <w:lang w:eastAsia="cs-CZ"/>
              </w:rPr>
              <w:t xml:space="preserve">Zapsaná v obchodním rejstříku </w:t>
            </w:r>
            <w:r w:rsidR="00724AB9">
              <w:rPr>
                <w:sz w:val="20"/>
                <w:szCs w:val="20"/>
                <w:lang w:eastAsia="cs-CZ"/>
              </w:rPr>
              <w:t>Městského</w:t>
            </w:r>
            <w:r w:rsidRPr="00724AB9">
              <w:rPr>
                <w:sz w:val="20"/>
                <w:szCs w:val="20"/>
                <w:lang w:eastAsia="cs-CZ"/>
              </w:rPr>
              <w:t xml:space="preserve"> soudu v</w:t>
            </w:r>
            <w:r w:rsidR="00724AB9">
              <w:rPr>
                <w:sz w:val="20"/>
                <w:szCs w:val="20"/>
                <w:lang w:eastAsia="cs-CZ"/>
              </w:rPr>
              <w:t> Praze,</w:t>
            </w:r>
            <w:r w:rsidRPr="00724AB9">
              <w:rPr>
                <w:sz w:val="20"/>
                <w:szCs w:val="20"/>
                <w:lang w:eastAsia="cs-CZ"/>
              </w:rPr>
              <w:t xml:space="preserve"> oddíl </w:t>
            </w:r>
            <w:r w:rsidR="00724AB9">
              <w:rPr>
                <w:sz w:val="20"/>
                <w:szCs w:val="20"/>
                <w:lang w:eastAsia="cs-CZ"/>
              </w:rPr>
              <w:t>C,</w:t>
            </w:r>
            <w:r w:rsidRPr="00724AB9">
              <w:rPr>
                <w:sz w:val="20"/>
                <w:szCs w:val="20"/>
                <w:lang w:eastAsia="cs-CZ"/>
              </w:rPr>
              <w:t xml:space="preserve"> vložka </w:t>
            </w:r>
            <w:r w:rsidR="00724AB9">
              <w:rPr>
                <w:sz w:val="20"/>
                <w:szCs w:val="20"/>
                <w:lang w:eastAsia="cs-CZ"/>
              </w:rPr>
              <w:t>62478</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Předmět smlouvy</w:t>
      </w:r>
    </w:p>
    <w:p w14:paraId="3AB3121F" w14:textId="0B261103"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r w:rsidR="00724AB9">
        <w:rPr>
          <w:rFonts w:ascii="Verdana" w:hAnsi="Verdana"/>
          <w:b/>
          <w:sz w:val="20"/>
          <w:lang w:eastAsia="cs-CZ"/>
        </w:rPr>
        <w:t>Transportní ventilátor MONNAL T6ADV</w:t>
      </w:r>
      <w:r w:rsidR="00E83AA1" w:rsidRPr="00310B7E">
        <w:rPr>
          <w:rFonts w:ascii="Verdana" w:hAnsi="Verdana"/>
          <w:sz w:val="20"/>
          <w:lang w:eastAsia="cs-CZ"/>
        </w:rPr>
        <w:t xml:space="preserve"> </w:t>
      </w:r>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717EB518" w:rsidR="00BA5B0B" w:rsidRPr="00310B7E" w:rsidRDefault="00BA5B0B" w:rsidP="00BA5B0B">
      <w:pPr>
        <w:pStyle w:val="Nadpis2"/>
        <w:keepNext w:val="0"/>
        <w:spacing w:after="60"/>
        <w:jc w:val="both"/>
        <w:rPr>
          <w:rFonts w:ascii="Verdana" w:hAnsi="Verdana"/>
          <w:sz w:val="20"/>
          <w:lang w:eastAsia="cs-CZ"/>
        </w:rPr>
      </w:pPr>
      <w:bookmarkStart w:id="0" w:name="_Hlk145589892"/>
      <w:r w:rsidRPr="00310B7E">
        <w:rPr>
          <w:rFonts w:ascii="Verdana" w:hAnsi="Verdana"/>
          <w:sz w:val="20"/>
          <w:lang w:eastAsia="cs-CZ"/>
        </w:rPr>
        <w:lastRenderedPageBreak/>
        <w:t xml:space="preserve">Tato smlouva je uzavírána na základě výběru dodavatele ve veřejné zakázce </w:t>
      </w:r>
      <w:r w:rsidR="00537557" w:rsidRPr="00537557">
        <w:rPr>
          <w:rFonts w:ascii="Verdana" w:hAnsi="Verdana"/>
          <w:sz w:val="20"/>
          <w:lang w:eastAsia="cs-CZ"/>
        </w:rPr>
        <w:t>malého rozsahu zadávané mimo režim zákona</w:t>
      </w:r>
      <w:r w:rsidRPr="00310B7E">
        <w:rPr>
          <w:rFonts w:ascii="Verdana" w:hAnsi="Verdana"/>
          <w:sz w:val="20"/>
          <w:lang w:eastAsia="cs-CZ"/>
        </w:rPr>
        <w:t xml:space="preserve"> č. 134/2016 Sb., o zadávání veřejných zakázek, ve znění pozdějších předpisů</w:t>
      </w:r>
      <w:r w:rsidR="001A1422" w:rsidRPr="00310B7E">
        <w:rPr>
          <w:rFonts w:ascii="Verdana" w:hAnsi="Verdana"/>
          <w:sz w:val="20"/>
          <w:lang w:eastAsia="cs-CZ"/>
        </w:rPr>
        <w:t xml:space="preserve"> s názvem </w:t>
      </w:r>
      <w:r w:rsidR="00E410CC" w:rsidRPr="00E410CC">
        <w:rPr>
          <w:rFonts w:ascii="Verdana" w:hAnsi="Verdana"/>
          <w:b/>
          <w:bCs/>
          <w:sz w:val="20"/>
          <w:lang w:eastAsia="cs-CZ"/>
        </w:rPr>
        <w:t>„</w:t>
      </w:r>
      <w:r w:rsidR="00B2472C" w:rsidRPr="00B2472C">
        <w:rPr>
          <w:rFonts w:ascii="Verdana" w:hAnsi="Verdana"/>
          <w:b/>
          <w:bCs/>
          <w:sz w:val="20"/>
          <w:lang w:eastAsia="cs-CZ"/>
        </w:rPr>
        <w:t>Transportní ventilátor do sanitního vozu – 1 ks</w:t>
      </w:r>
      <w:r w:rsidR="00E410CC" w:rsidRPr="00E410CC">
        <w:rPr>
          <w:rFonts w:ascii="Verdana" w:hAnsi="Verdana"/>
          <w:b/>
          <w:bCs/>
          <w:sz w:val="20"/>
          <w:lang w:eastAsia="cs-CZ"/>
        </w:rPr>
        <w:t>“</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0"/>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553505" w:rsidRDefault="00BA5B0B" w:rsidP="00BA5B0B">
      <w:pPr>
        <w:pStyle w:val="Nadpis2"/>
        <w:keepNext w:val="0"/>
        <w:spacing w:after="60"/>
        <w:jc w:val="both"/>
        <w:rPr>
          <w:rFonts w:ascii="Verdana" w:hAnsi="Verdana"/>
          <w:sz w:val="20"/>
          <w:lang w:eastAsia="cs-CZ"/>
        </w:rPr>
      </w:pPr>
      <w:r w:rsidRPr="00553505">
        <w:rPr>
          <w:rFonts w:ascii="Verdana" w:hAnsi="Verdana"/>
          <w:sz w:val="20"/>
          <w:lang w:eastAsia="cs-CZ"/>
        </w:rPr>
        <w:t xml:space="preserve">V případě plnění části předmětu této smlouvy prostřednictvím poddodavatelů, je přílohou č. </w:t>
      </w:r>
      <w:r w:rsidR="00EB223B" w:rsidRPr="00553505">
        <w:rPr>
          <w:rFonts w:ascii="Verdana" w:hAnsi="Verdana"/>
          <w:sz w:val="20"/>
          <w:lang w:eastAsia="cs-CZ"/>
        </w:rPr>
        <w:t>2</w:t>
      </w:r>
      <w:r w:rsidRPr="00553505">
        <w:rPr>
          <w:rFonts w:ascii="Verdana" w:hAnsi="Verdana"/>
          <w:sz w:val="20"/>
          <w:lang w:eastAsia="cs-CZ"/>
        </w:rPr>
        <w:t xml:space="preserve"> této smlouvy seznam poddodavatelů.</w:t>
      </w:r>
    </w:p>
    <w:p w14:paraId="5E6C2F2E"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Doba, místo a způsob dodání</w:t>
      </w:r>
    </w:p>
    <w:p w14:paraId="775ACDF3" w14:textId="404EE1C9"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553505">
        <w:rPr>
          <w:rFonts w:ascii="Verdana" w:hAnsi="Verdana"/>
          <w:sz w:val="20"/>
          <w:lang w:eastAsia="cs-CZ"/>
        </w:rPr>
        <w:t xml:space="preserve">Prodávající se zavazuje dodat zařízení nejpozději do </w:t>
      </w:r>
      <w:r w:rsidR="00553505" w:rsidRPr="00553505">
        <w:rPr>
          <w:rFonts w:ascii="Verdana" w:hAnsi="Verdana"/>
          <w:b/>
          <w:sz w:val="20"/>
          <w:lang w:eastAsia="cs-CZ"/>
        </w:rPr>
        <w:t>8 týdnů</w:t>
      </w:r>
      <w:r w:rsidRPr="00553505">
        <w:rPr>
          <w:rFonts w:ascii="Verdana" w:hAnsi="Verdana"/>
          <w:sz w:val="20"/>
          <w:lang w:eastAsia="cs-CZ"/>
        </w:rPr>
        <w:t xml:space="preserve"> od podpisu této</w:t>
      </w:r>
      <w:r w:rsidRPr="00310B7E">
        <w:rPr>
          <w:rFonts w:ascii="Verdana" w:hAnsi="Verdana"/>
          <w:sz w:val="20"/>
          <w:lang w:eastAsia="cs-CZ"/>
        </w:rPr>
        <w:t xml:space="preserve">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1469679F" w:rsidR="00BA5B0B" w:rsidRPr="00553505" w:rsidRDefault="00BA5B0B" w:rsidP="00BA5B0B">
      <w:pPr>
        <w:pStyle w:val="Nadpis2"/>
        <w:keepNext w:val="0"/>
        <w:tabs>
          <w:tab w:val="clear" w:pos="576"/>
          <w:tab w:val="num" w:pos="567"/>
        </w:tabs>
        <w:spacing w:after="60"/>
        <w:jc w:val="both"/>
        <w:rPr>
          <w:rFonts w:ascii="Verdana" w:hAnsi="Verdana"/>
          <w:sz w:val="20"/>
          <w:lang w:eastAsia="cs-CZ"/>
        </w:rPr>
      </w:pPr>
      <w:r w:rsidRPr="00553505">
        <w:rPr>
          <w:rFonts w:ascii="Verdana" w:hAnsi="Verdana"/>
          <w:sz w:val="20"/>
          <w:lang w:eastAsia="cs-CZ"/>
        </w:rPr>
        <w:t xml:space="preserve">Místem dodání zařízení je sídlo kupujícího, konkrétně </w:t>
      </w:r>
      <w:r w:rsidR="00B2472C" w:rsidRPr="00553505">
        <w:rPr>
          <w:rFonts w:ascii="Verdana" w:hAnsi="Verdana"/>
          <w:b/>
          <w:sz w:val="20"/>
          <w:lang w:eastAsia="cs-CZ"/>
        </w:rPr>
        <w:t>Mobilní jednotka intenzivní péče</w:t>
      </w:r>
      <w:r w:rsidR="00B2472C" w:rsidRPr="00553505">
        <w:rPr>
          <w:rFonts w:ascii="Verdana" w:hAnsi="Verdana"/>
          <w:bCs/>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553505">
        <w:rPr>
          <w:rFonts w:ascii="Verdana" w:hAnsi="Verdana"/>
          <w:sz w:val="20"/>
          <w:lang w:eastAsia="cs-CZ"/>
        </w:rPr>
        <w:t>Součástí předmětu plnění je rovněž doprava zařízení do místa plnění,</w:t>
      </w:r>
      <w:r w:rsidR="005E37B1" w:rsidRPr="00553505">
        <w:rPr>
          <w:rFonts w:ascii="Verdana" w:hAnsi="Verdana"/>
          <w:sz w:val="20"/>
          <w:lang w:eastAsia="cs-CZ"/>
        </w:rPr>
        <w:t xml:space="preserve"> pojištění</w:t>
      </w:r>
      <w:r w:rsidR="005E37B1" w:rsidRPr="00310B7E">
        <w:rPr>
          <w:rFonts w:ascii="Verdana" w:hAnsi="Verdana"/>
          <w:sz w:val="20"/>
          <w:lang w:eastAsia="cs-CZ"/>
        </w:rPr>
        <w:t xml:space="preserve">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xml:space="preserve">, tj. ES prohlášení o shodě (CE </w:t>
      </w:r>
      <w:proofErr w:type="spellStart"/>
      <w:r w:rsidR="00DA14A2" w:rsidRPr="00310B7E">
        <w:rPr>
          <w:rFonts w:ascii="Verdana" w:hAnsi="Verdana" w:cstheme="minorHAnsi"/>
          <w:sz w:val="20"/>
        </w:rPr>
        <w:t>Conformity</w:t>
      </w:r>
      <w:proofErr w:type="spellEnd"/>
      <w:r w:rsidR="00DA14A2" w:rsidRPr="00310B7E">
        <w:rPr>
          <w:rFonts w:ascii="Verdana" w:hAnsi="Verdana" w:cstheme="minorHAnsi"/>
          <w:sz w:val="20"/>
        </w:rPr>
        <w:t xml:space="preserve"> </w:t>
      </w:r>
      <w:proofErr w:type="spellStart"/>
      <w:r w:rsidR="00DA14A2" w:rsidRPr="00310B7E">
        <w:rPr>
          <w:rFonts w:ascii="Verdana" w:hAnsi="Verdana" w:cstheme="minorHAnsi"/>
          <w:sz w:val="20"/>
        </w:rPr>
        <w:t>Declaration</w:t>
      </w:r>
      <w:proofErr w:type="spellEnd"/>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291EF6DF" w:rsidR="00BA5B0B"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8263581" w14:textId="4061B9B0" w:rsidR="009434BB" w:rsidRPr="00310B7E" w:rsidRDefault="009434BB" w:rsidP="009434B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w:t>
      </w:r>
      <w:r>
        <w:rPr>
          <w:rFonts w:ascii="Verdana" w:hAnsi="Verdana"/>
          <w:sz w:val="20"/>
          <w:lang w:eastAsia="cs-CZ"/>
        </w:rPr>
        <w:t xml:space="preserve"> převzetí a </w:t>
      </w:r>
      <w:r w:rsidR="0000253D">
        <w:rPr>
          <w:rFonts w:ascii="Verdana" w:hAnsi="Verdana"/>
          <w:sz w:val="20"/>
          <w:lang w:eastAsia="cs-CZ"/>
        </w:rPr>
        <w:t>dohledu</w:t>
      </w:r>
      <w:r w:rsidR="002E4F1A">
        <w:rPr>
          <w:rFonts w:ascii="Verdana" w:hAnsi="Verdana"/>
          <w:sz w:val="20"/>
          <w:lang w:eastAsia="cs-CZ"/>
        </w:rPr>
        <w:t xml:space="preserve"> při </w:t>
      </w:r>
      <w:r>
        <w:rPr>
          <w:rFonts w:ascii="Verdana" w:hAnsi="Verdana"/>
          <w:sz w:val="20"/>
          <w:lang w:eastAsia="cs-CZ"/>
        </w:rPr>
        <w:t>instalaci zařízení</w:t>
      </w:r>
      <w:r w:rsidRPr="00310B7E">
        <w:rPr>
          <w:rFonts w:ascii="Verdana" w:hAnsi="Verdana"/>
          <w:sz w:val="20"/>
          <w:lang w:eastAsia="cs-CZ"/>
        </w:rPr>
        <w:t xml:space="preserve"> na straně kupujícího je:</w:t>
      </w:r>
    </w:p>
    <w:p w14:paraId="7CDF7578" w14:textId="1D978D1D"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23AA741B" w14:textId="5A0D4C21" w:rsidR="009434BB" w:rsidRPr="00310B7E" w:rsidRDefault="009434BB" w:rsidP="009434B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06328BB1" w14:textId="4B2E697A" w:rsidR="009434BB" w:rsidRPr="00C77920" w:rsidRDefault="009434BB" w:rsidP="00C77920">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Kupní cena a platební podmínky</w:t>
      </w:r>
    </w:p>
    <w:p w14:paraId="041691CA" w14:textId="5E973ADA"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 xml:space="preserve">Celková kupní cena zařízení činí </w:t>
      </w:r>
      <w:r w:rsidR="00724AB9">
        <w:rPr>
          <w:rFonts w:ascii="Verdana" w:hAnsi="Verdana"/>
          <w:b/>
          <w:sz w:val="20"/>
          <w:lang w:eastAsia="cs-CZ"/>
        </w:rPr>
        <w:t>293.000,-</w:t>
      </w:r>
      <w:r w:rsidRPr="00310B7E">
        <w:rPr>
          <w:rFonts w:ascii="Verdana" w:hAnsi="Verdana"/>
          <w:b/>
          <w:sz w:val="20"/>
          <w:lang w:eastAsia="cs-CZ"/>
        </w:rPr>
        <w:t xml:space="preserve"> Kč bez DPH</w:t>
      </w:r>
      <w:r w:rsidRPr="00310B7E">
        <w:rPr>
          <w:rFonts w:ascii="Verdana" w:hAnsi="Verdana"/>
          <w:sz w:val="20"/>
          <w:lang w:eastAsia="cs-CZ"/>
        </w:rPr>
        <w:t xml:space="preserve">, DPH </w:t>
      </w:r>
      <w:r w:rsidR="00724AB9">
        <w:rPr>
          <w:rFonts w:ascii="Verdana" w:hAnsi="Verdana"/>
          <w:sz w:val="20"/>
          <w:lang w:eastAsia="cs-CZ"/>
        </w:rPr>
        <w:t>12</w:t>
      </w:r>
      <w:r w:rsidRPr="00310B7E">
        <w:rPr>
          <w:rFonts w:ascii="Verdana" w:hAnsi="Verdana"/>
          <w:sz w:val="20"/>
          <w:lang w:eastAsia="cs-CZ"/>
        </w:rPr>
        <w:t xml:space="preserve"> % je </w:t>
      </w:r>
      <w:r w:rsidR="00724AB9">
        <w:rPr>
          <w:rFonts w:ascii="Verdana" w:hAnsi="Verdana"/>
          <w:sz w:val="20"/>
          <w:lang w:eastAsia="cs-CZ"/>
        </w:rPr>
        <w:t>35.160,-</w:t>
      </w:r>
      <w:r w:rsidRPr="00310B7E">
        <w:rPr>
          <w:rFonts w:ascii="Verdana" w:hAnsi="Verdana"/>
          <w:sz w:val="20"/>
          <w:lang w:eastAsia="cs-CZ"/>
        </w:rPr>
        <w:t xml:space="preserve"> Kč, kupní cena vč. DPH činí </w:t>
      </w:r>
      <w:r w:rsidR="00724AB9">
        <w:rPr>
          <w:rFonts w:ascii="Verdana" w:hAnsi="Verdana"/>
          <w:sz w:val="20"/>
          <w:lang w:eastAsia="cs-CZ"/>
        </w:rPr>
        <w:t>328.160,-</w:t>
      </w:r>
      <w:r w:rsidRPr="00310B7E">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553505">
        <w:rPr>
          <w:rFonts w:ascii="Verdana" w:hAnsi="Verdana"/>
          <w:sz w:val="20"/>
          <w:lang w:eastAsia="cs-CZ"/>
        </w:rPr>
        <w:t xml:space="preserve">Na dodané zařízení poskytuje prodávající záruku za jakost v délce </w:t>
      </w:r>
      <w:r w:rsidRPr="00553505">
        <w:rPr>
          <w:rFonts w:ascii="Verdana" w:hAnsi="Verdana"/>
          <w:b/>
          <w:sz w:val="20"/>
          <w:lang w:eastAsia="cs-CZ"/>
        </w:rPr>
        <w:t>24 měsíců</w:t>
      </w:r>
      <w:r w:rsidRPr="00553505">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Servis</w:t>
      </w:r>
    </w:p>
    <w:p w14:paraId="76965172" w14:textId="77777777" w:rsidR="00537557" w:rsidRDefault="00537557" w:rsidP="00537557">
      <w:pPr>
        <w:pStyle w:val="Nadpis2"/>
        <w:keepNext w:val="0"/>
        <w:spacing w:after="60"/>
        <w:jc w:val="both"/>
        <w:rPr>
          <w:rFonts w:ascii="Verdana" w:hAnsi="Verdana"/>
          <w:sz w:val="20"/>
          <w:lang w:eastAsia="cs-CZ"/>
        </w:rPr>
      </w:pPr>
      <w:r w:rsidRPr="001729C2">
        <w:rPr>
          <w:rFonts w:ascii="Verdana" w:hAnsi="Verdana"/>
          <w:sz w:val="20"/>
          <w:lang w:eastAsia="cs-CZ"/>
        </w:rPr>
        <w:t>Prodávající se zavazuje zajišťovat v záruční době bezplatn</w:t>
      </w:r>
      <w:r>
        <w:rPr>
          <w:rFonts w:ascii="Verdana" w:hAnsi="Verdana"/>
          <w:sz w:val="20"/>
          <w:lang w:eastAsia="cs-CZ"/>
        </w:rPr>
        <w:t xml:space="preserve">ě servisní služby na zařízení, zahrnující </w:t>
      </w:r>
      <w:r w:rsidRPr="001729C2">
        <w:rPr>
          <w:rFonts w:ascii="Verdana" w:hAnsi="Verdana"/>
          <w:sz w:val="20"/>
          <w:lang w:eastAsia="cs-CZ"/>
        </w:rPr>
        <w:t xml:space="preserve">pravidelné bezpečnostně technické kontroly (PBTK) </w:t>
      </w:r>
      <w:r>
        <w:rPr>
          <w:rFonts w:ascii="Verdana" w:hAnsi="Verdana"/>
          <w:sz w:val="20"/>
          <w:lang w:eastAsia="cs-CZ"/>
        </w:rPr>
        <w:t xml:space="preserve">a případné další pravidelné technické prohlídky, revize či validace zařízení, 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7FBF6CF5" w14:textId="7615282D" w:rsidR="00537557" w:rsidRPr="00C66F95" w:rsidRDefault="00537557" w:rsidP="00537557">
      <w:pPr>
        <w:pStyle w:val="Nadpis2"/>
        <w:keepNext w:val="0"/>
        <w:spacing w:after="60"/>
        <w:jc w:val="both"/>
        <w:rPr>
          <w:rFonts w:ascii="Verdana" w:hAnsi="Verdana"/>
          <w:sz w:val="20"/>
          <w:lang w:eastAsia="cs-CZ"/>
        </w:rPr>
      </w:pPr>
      <w:r>
        <w:rPr>
          <w:rFonts w:ascii="Verdana" w:hAnsi="Verdana"/>
          <w:sz w:val="20"/>
          <w:lang w:eastAsia="cs-CZ"/>
        </w:rPr>
        <w:t xml:space="preserve">Prodávající se dále zavazuje zajišťovat po dobu 6 let </w:t>
      </w:r>
      <w:r w:rsidRPr="00C66F95">
        <w:rPr>
          <w:rFonts w:ascii="Verdana" w:hAnsi="Verdana"/>
          <w:sz w:val="20"/>
          <w:lang w:eastAsia="cs-CZ"/>
        </w:rPr>
        <w:t xml:space="preserve">ode dne uplynutí záruky za jakost </w:t>
      </w:r>
      <w:r>
        <w:rPr>
          <w:rFonts w:ascii="Verdana" w:hAnsi="Verdana"/>
          <w:sz w:val="20"/>
          <w:lang w:eastAsia="cs-CZ"/>
        </w:rPr>
        <w:t>servisní služby</w:t>
      </w:r>
      <w:r w:rsidRPr="00C66F95">
        <w:rPr>
          <w:rFonts w:ascii="Verdana" w:hAnsi="Verdana"/>
          <w:sz w:val="20"/>
          <w:lang w:eastAsia="cs-CZ"/>
        </w:rPr>
        <w:t xml:space="preserve"> </w:t>
      </w:r>
      <w:r>
        <w:rPr>
          <w:rFonts w:ascii="Verdana" w:hAnsi="Verdana"/>
          <w:sz w:val="20"/>
          <w:lang w:eastAsia="cs-CZ"/>
        </w:rPr>
        <w:t xml:space="preserve">na zařízení zahrnující pouze </w:t>
      </w:r>
      <w:r w:rsidRPr="001729C2">
        <w:rPr>
          <w:rFonts w:ascii="Verdana" w:hAnsi="Verdana"/>
          <w:sz w:val="20"/>
          <w:lang w:eastAsia="cs-CZ"/>
        </w:rPr>
        <w:t>pravideln</w:t>
      </w:r>
      <w:r>
        <w:rPr>
          <w:rFonts w:ascii="Verdana" w:hAnsi="Verdana"/>
          <w:sz w:val="20"/>
          <w:lang w:eastAsia="cs-CZ"/>
        </w:rPr>
        <w:t>é</w:t>
      </w:r>
      <w:r w:rsidRPr="001729C2">
        <w:rPr>
          <w:rFonts w:ascii="Verdana" w:hAnsi="Verdana"/>
          <w:sz w:val="20"/>
          <w:lang w:eastAsia="cs-CZ"/>
        </w:rPr>
        <w:t xml:space="preserve"> bezpečnostně technick</w:t>
      </w:r>
      <w:r>
        <w:rPr>
          <w:rFonts w:ascii="Verdana" w:hAnsi="Verdana"/>
          <w:sz w:val="20"/>
          <w:lang w:eastAsia="cs-CZ"/>
        </w:rPr>
        <w:t>é</w:t>
      </w:r>
      <w:r w:rsidRPr="001729C2">
        <w:rPr>
          <w:rFonts w:ascii="Verdana" w:hAnsi="Verdana"/>
          <w:sz w:val="20"/>
          <w:lang w:eastAsia="cs-CZ"/>
        </w:rPr>
        <w:t xml:space="preserve"> kontrol</w:t>
      </w:r>
      <w:r>
        <w:rPr>
          <w:rFonts w:ascii="Verdana" w:hAnsi="Verdana"/>
          <w:sz w:val="20"/>
          <w:lang w:eastAsia="cs-CZ"/>
        </w:rPr>
        <w:t>y</w:t>
      </w:r>
      <w:r w:rsidRPr="001729C2">
        <w:rPr>
          <w:rFonts w:ascii="Verdana" w:hAnsi="Verdana"/>
          <w:sz w:val="20"/>
          <w:lang w:eastAsia="cs-CZ"/>
        </w:rPr>
        <w:t xml:space="preserve"> (PBTK)</w:t>
      </w:r>
      <w:r>
        <w:rPr>
          <w:rFonts w:ascii="Verdana" w:hAnsi="Verdana"/>
          <w:sz w:val="20"/>
          <w:lang w:eastAsia="cs-CZ"/>
        </w:rPr>
        <w:t xml:space="preserve">, a to </w:t>
      </w:r>
      <w:r w:rsidRPr="00C66F95">
        <w:rPr>
          <w:rFonts w:ascii="Verdana" w:hAnsi="Verdana"/>
          <w:sz w:val="20"/>
          <w:lang w:eastAsia="cs-CZ"/>
        </w:rPr>
        <w:t xml:space="preserve">za paušální úhradu ve výši </w:t>
      </w:r>
      <w:r w:rsidR="00724AB9" w:rsidRPr="00724AB9">
        <w:rPr>
          <w:rFonts w:ascii="Verdana" w:hAnsi="Verdana"/>
          <w:sz w:val="20"/>
          <w:lang w:eastAsia="cs-CZ"/>
        </w:rPr>
        <w:t>19.205,-</w:t>
      </w:r>
      <w:r w:rsidRPr="00724AB9">
        <w:rPr>
          <w:rFonts w:ascii="Verdana" w:hAnsi="Verdana"/>
          <w:sz w:val="20"/>
          <w:lang w:eastAsia="cs-CZ"/>
        </w:rPr>
        <w:t xml:space="preserve"> Kč ročně. Tato částka</w:t>
      </w:r>
      <w:r w:rsidRPr="00C66F95">
        <w:rPr>
          <w:rFonts w:ascii="Verdana" w:hAnsi="Verdana"/>
          <w:sz w:val="20"/>
          <w:lang w:eastAsia="cs-CZ"/>
        </w:rPr>
        <w:t xml:space="preserve"> zahrnuje veškeré náklady spojené s prováděním </w:t>
      </w:r>
      <w:r>
        <w:rPr>
          <w:rFonts w:ascii="Verdana" w:hAnsi="Verdana"/>
          <w:sz w:val="20"/>
          <w:lang w:eastAsia="cs-CZ"/>
        </w:rPr>
        <w:t>těchto servisních služeb</w:t>
      </w:r>
      <w:r w:rsidRPr="00C66F95">
        <w:rPr>
          <w:rFonts w:ascii="Verdana" w:hAnsi="Verdana"/>
          <w:sz w:val="20"/>
          <w:lang w:eastAsia="cs-CZ"/>
        </w:rPr>
        <w:t xml:space="preserve"> včetně práce technika, dopravy a </w:t>
      </w:r>
      <w:r>
        <w:rPr>
          <w:rFonts w:ascii="Verdana" w:hAnsi="Verdana"/>
          <w:sz w:val="20"/>
          <w:lang w:eastAsia="cs-CZ"/>
        </w:rPr>
        <w:t>ztrátového času na cestě</w:t>
      </w:r>
      <w:r w:rsidRPr="00C66F95">
        <w:rPr>
          <w:rFonts w:ascii="Verdana" w:hAnsi="Verdana"/>
          <w:sz w:val="20"/>
          <w:lang w:eastAsia="cs-CZ"/>
        </w:rPr>
        <w:t xml:space="preserve">. </w:t>
      </w:r>
    </w:p>
    <w:p w14:paraId="6DC3FE98"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t>Prodávající se dále zavazuje zajišťovat po dobu 8 let od dodání zařízení mimozáruční servis zařízení, včetně oprav zařízení, či dodávek náhradních dílů.</w:t>
      </w:r>
    </w:p>
    <w:p w14:paraId="130AF659" w14:textId="77777777" w:rsidR="00537557" w:rsidRDefault="00537557" w:rsidP="00537557">
      <w:pPr>
        <w:pStyle w:val="Nadpis2"/>
        <w:keepNext w:val="0"/>
        <w:spacing w:after="60"/>
        <w:jc w:val="both"/>
        <w:rPr>
          <w:rFonts w:ascii="Verdana" w:hAnsi="Verdana"/>
          <w:sz w:val="20"/>
          <w:lang w:eastAsia="cs-CZ"/>
        </w:rPr>
      </w:pPr>
      <w:r>
        <w:rPr>
          <w:rFonts w:ascii="Verdana" w:hAnsi="Verdana"/>
          <w:sz w:val="20"/>
          <w:lang w:eastAsia="cs-CZ"/>
        </w:rPr>
        <w:lastRenderedPageBreak/>
        <w:t>Cena za provádění mimozáručního servisu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servisu zařízení je do </w:t>
      </w:r>
      <w:r w:rsidRPr="002B5AA8">
        <w:rPr>
          <w:rFonts w:ascii="Verdana" w:hAnsi="Verdana"/>
          <w:sz w:val="20"/>
          <w:lang w:eastAsia="cs-CZ"/>
        </w:rPr>
        <w:t>30 dnů od jejího doručení kupujícímu.</w:t>
      </w:r>
    </w:p>
    <w:p w14:paraId="269961D1" w14:textId="77777777" w:rsidR="00537557" w:rsidRPr="00DB44C2" w:rsidRDefault="00537557" w:rsidP="00537557">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3540A56C" w14:textId="5B7DC733"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p>
    <w:p w14:paraId="0C16E7CB" w14:textId="3524AFEC"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tel: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65C71C21" w14:textId="4E913ED7"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email:</w:t>
      </w:r>
      <w:r w:rsidRPr="00310B7E">
        <w:rPr>
          <w:rFonts w:ascii="Verdana" w:hAnsi="Verdana"/>
          <w:sz w:val="20"/>
          <w:lang w:eastAsia="cs-CZ"/>
        </w:rPr>
        <w:tab/>
      </w:r>
      <w:r w:rsidRPr="00310B7E">
        <w:rPr>
          <w:rFonts w:ascii="Verdana" w:hAnsi="Verdana"/>
          <w:sz w:val="20"/>
          <w:lang w:eastAsia="cs-CZ"/>
        </w:rPr>
        <w:tab/>
      </w:r>
      <w:r w:rsidRPr="00310B7E">
        <w:rPr>
          <w:rFonts w:ascii="Verdana" w:hAnsi="Verdana"/>
          <w:sz w:val="20"/>
          <w:lang w:eastAsia="cs-CZ"/>
        </w:rPr>
        <w:tab/>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62EB847F" w14:textId="034FE0E6" w:rsidR="00BA5B0B" w:rsidRPr="00724AB9" w:rsidRDefault="00BA5B0B" w:rsidP="00BA5B0B">
      <w:pPr>
        <w:pStyle w:val="Nadpis2"/>
        <w:keepNext w:val="0"/>
        <w:numPr>
          <w:ilvl w:val="0"/>
          <w:numId w:val="0"/>
        </w:numPr>
        <w:spacing w:after="60"/>
        <w:ind w:left="567"/>
        <w:jc w:val="both"/>
        <w:rPr>
          <w:rFonts w:ascii="Verdana" w:hAnsi="Verdana"/>
          <w:sz w:val="20"/>
          <w:lang w:eastAsia="cs-CZ"/>
        </w:rPr>
      </w:pPr>
      <w:r w:rsidRPr="00724AB9">
        <w:rPr>
          <w:rFonts w:ascii="Verdana" w:hAnsi="Verdana"/>
          <w:sz w:val="20"/>
          <w:lang w:eastAsia="cs-CZ"/>
        </w:rPr>
        <w:t>Jméno a příjmení:</w:t>
      </w:r>
      <w:r w:rsidRPr="00724AB9">
        <w:rPr>
          <w:rFonts w:ascii="Verdana" w:hAnsi="Verdana"/>
          <w:sz w:val="20"/>
          <w:lang w:eastAsia="cs-CZ"/>
        </w:rPr>
        <w:tab/>
      </w:r>
    </w:p>
    <w:p w14:paraId="0046D72E" w14:textId="2A738437" w:rsidR="00BA5B0B" w:rsidRPr="00724AB9" w:rsidRDefault="00BA5B0B" w:rsidP="00BA5B0B">
      <w:pPr>
        <w:pStyle w:val="Nadpis2"/>
        <w:keepNext w:val="0"/>
        <w:numPr>
          <w:ilvl w:val="0"/>
          <w:numId w:val="0"/>
        </w:numPr>
        <w:spacing w:after="60"/>
        <w:ind w:left="567"/>
        <w:jc w:val="both"/>
        <w:rPr>
          <w:rFonts w:ascii="Verdana" w:hAnsi="Verdana"/>
          <w:sz w:val="20"/>
          <w:lang w:eastAsia="cs-CZ"/>
        </w:rPr>
      </w:pPr>
      <w:r w:rsidRPr="00724AB9">
        <w:rPr>
          <w:rFonts w:ascii="Verdana" w:hAnsi="Verdana"/>
          <w:sz w:val="20"/>
          <w:lang w:eastAsia="cs-CZ"/>
        </w:rPr>
        <w:t>tel:</w:t>
      </w:r>
      <w:r w:rsidRPr="00724AB9">
        <w:rPr>
          <w:rFonts w:ascii="Verdana" w:hAnsi="Verdana"/>
          <w:sz w:val="20"/>
          <w:lang w:eastAsia="cs-CZ"/>
        </w:rPr>
        <w:tab/>
      </w:r>
      <w:r w:rsidRPr="00724AB9">
        <w:rPr>
          <w:rFonts w:ascii="Verdana" w:hAnsi="Verdana"/>
          <w:sz w:val="20"/>
          <w:lang w:eastAsia="cs-CZ"/>
        </w:rPr>
        <w:tab/>
      </w:r>
      <w:r w:rsidRPr="00724AB9">
        <w:rPr>
          <w:rFonts w:ascii="Verdana" w:hAnsi="Verdana"/>
          <w:sz w:val="20"/>
          <w:lang w:eastAsia="cs-CZ"/>
        </w:rPr>
        <w:tab/>
      </w:r>
    </w:p>
    <w:p w14:paraId="38B9A76C" w14:textId="2CA3EF5A" w:rsidR="00BA5B0B" w:rsidRPr="00310B7E" w:rsidRDefault="00BA5B0B" w:rsidP="00BA5B0B">
      <w:pPr>
        <w:pStyle w:val="Nadpis2"/>
        <w:keepNext w:val="0"/>
        <w:numPr>
          <w:ilvl w:val="0"/>
          <w:numId w:val="0"/>
        </w:numPr>
        <w:spacing w:after="60"/>
        <w:ind w:left="567"/>
        <w:jc w:val="both"/>
        <w:rPr>
          <w:rFonts w:ascii="Verdana" w:hAnsi="Verdana"/>
          <w:sz w:val="20"/>
          <w:lang w:eastAsia="cs-CZ"/>
        </w:rPr>
      </w:pPr>
      <w:r w:rsidRPr="00724AB9">
        <w:rPr>
          <w:rFonts w:ascii="Verdana" w:hAnsi="Verdana"/>
          <w:sz w:val="20"/>
          <w:lang w:eastAsia="cs-CZ"/>
        </w:rPr>
        <w:t>email:</w:t>
      </w:r>
      <w:r w:rsidRPr="00724AB9">
        <w:rPr>
          <w:rFonts w:ascii="Verdana" w:hAnsi="Verdana"/>
          <w:sz w:val="20"/>
          <w:lang w:eastAsia="cs-CZ"/>
        </w:rPr>
        <w:tab/>
      </w:r>
      <w:r w:rsidRPr="00724AB9">
        <w:rPr>
          <w:rFonts w:ascii="Verdana" w:hAnsi="Verdana"/>
          <w:sz w:val="20"/>
          <w:lang w:eastAsia="cs-CZ"/>
        </w:rPr>
        <w:tab/>
      </w:r>
      <w:r w:rsidRPr="00724AB9">
        <w:rPr>
          <w:rFonts w:ascii="Verdana" w:hAnsi="Verdana"/>
          <w:sz w:val="20"/>
          <w:lang w:eastAsia="cs-CZ"/>
        </w:rPr>
        <w:tab/>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6E4E861" w14:textId="29D4A4DA" w:rsidR="0038078B" w:rsidRPr="00537557" w:rsidRDefault="00BA5B0B" w:rsidP="00E879C9">
      <w:pPr>
        <w:pStyle w:val="Nadpis2"/>
        <w:keepNext w:val="0"/>
        <w:spacing w:after="60"/>
        <w:jc w:val="both"/>
        <w:rPr>
          <w:rFonts w:ascii="Verdana" w:hAnsi="Verdana"/>
          <w:sz w:val="20"/>
          <w:lang w:eastAsia="cs-CZ"/>
        </w:rPr>
      </w:pPr>
      <w:r w:rsidRPr="00310B7E">
        <w:rPr>
          <w:rFonts w:ascii="Verdana" w:hAnsi="Verdana"/>
          <w:sz w:val="20"/>
          <w:lang w:eastAsia="cs-CZ"/>
        </w:rPr>
        <w:t xml:space="preserve">Prodávající bere na vědomí, že se podpisem této smlouvy stává, v souladu s ustanovením § 2 písm. e) zákona č. 320/2001 Sb., o finanční kontrole ve veřejné správě a o změně některých zákonů, ve znění pozdějších předpisů, osobou povinnou </w:t>
      </w:r>
      <w:r w:rsidRPr="00310B7E">
        <w:rPr>
          <w:rFonts w:ascii="Verdana" w:hAnsi="Verdana"/>
          <w:sz w:val="20"/>
          <w:lang w:eastAsia="cs-CZ"/>
        </w:rPr>
        <w:lastRenderedPageBreak/>
        <w:t>spolupůsobit při výkonu finanční kontroly prováděné v souvislosti s úhradou zařízení nebo služeb z veřejných výdajů nebo z veřejné finanční podpory.</w:t>
      </w:r>
    </w:p>
    <w:p w14:paraId="4DE6F2D5" w14:textId="77777777" w:rsidR="00BA5B0B" w:rsidRPr="00310B7E" w:rsidRDefault="00BA5B0B" w:rsidP="00A96FBE">
      <w:pPr>
        <w:pStyle w:val="Nadpis1"/>
        <w:keepNext w:val="0"/>
        <w:keepLines w:val="0"/>
        <w:spacing w:before="20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553505"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553505">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310B7E" w14:paraId="1E3038EF" w14:textId="77777777" w:rsidTr="00C07CE2">
        <w:trPr>
          <w:jc w:val="center"/>
        </w:trPr>
        <w:tc>
          <w:tcPr>
            <w:tcW w:w="4535" w:type="dxa"/>
          </w:tcPr>
          <w:p w14:paraId="3D15B90B" w14:textId="2DC4E6A6" w:rsidR="00BA5B0B" w:rsidRPr="00310B7E" w:rsidRDefault="00BA5B0B" w:rsidP="003E2A0C">
            <w:pPr>
              <w:spacing w:after="0" w:line="240" w:lineRule="auto"/>
              <w:rPr>
                <w:sz w:val="20"/>
                <w:szCs w:val="20"/>
                <w:lang w:eastAsia="cs-CZ"/>
              </w:rPr>
            </w:pPr>
            <w:r w:rsidRPr="00310B7E">
              <w:rPr>
                <w:sz w:val="20"/>
                <w:szCs w:val="20"/>
                <w:lang w:eastAsia="cs-CZ"/>
              </w:rPr>
              <w:t>V </w:t>
            </w:r>
            <w:r w:rsidR="00724AB9">
              <w:rPr>
                <w:sz w:val="20"/>
                <w:szCs w:val="20"/>
                <w:lang w:eastAsia="cs-CZ"/>
              </w:rPr>
              <w:t>Praze</w:t>
            </w:r>
            <w:r w:rsidRPr="00310B7E">
              <w:rPr>
                <w:sz w:val="20"/>
                <w:szCs w:val="20"/>
                <w:lang w:eastAsia="cs-CZ"/>
              </w:rPr>
              <w:t xml:space="preserve"> dne </w:t>
            </w:r>
            <w:r w:rsidRPr="00724AB9">
              <w:rPr>
                <w:sz w:val="20"/>
                <w:szCs w:val="20"/>
                <w:lang w:eastAsia="cs-CZ"/>
              </w:rPr>
              <w:t>_______________</w:t>
            </w:r>
          </w:p>
        </w:tc>
        <w:tc>
          <w:tcPr>
            <w:tcW w:w="4535" w:type="dxa"/>
          </w:tcPr>
          <w:p w14:paraId="0568BD3B" w14:textId="77777777" w:rsidR="00BA5B0B" w:rsidRPr="00310B7E" w:rsidRDefault="00BA5B0B" w:rsidP="003E2A0C">
            <w:pPr>
              <w:spacing w:after="0" w:line="240" w:lineRule="auto"/>
              <w:rPr>
                <w:sz w:val="20"/>
                <w:szCs w:val="20"/>
                <w:lang w:eastAsia="cs-CZ"/>
              </w:rPr>
            </w:pPr>
            <w:r w:rsidRPr="00310B7E">
              <w:rPr>
                <w:sz w:val="20"/>
                <w:szCs w:val="20"/>
                <w:lang w:eastAsia="cs-CZ"/>
              </w:rPr>
              <w:t xml:space="preserve">V Mladé Boleslavi dne </w:t>
            </w:r>
            <w:r w:rsidRPr="00553505">
              <w:rPr>
                <w:sz w:val="20"/>
                <w:szCs w:val="20"/>
                <w:lang w:eastAsia="cs-CZ"/>
              </w:rPr>
              <w:t>________________</w:t>
            </w:r>
          </w:p>
        </w:tc>
      </w:tr>
      <w:tr w:rsidR="00BA5B0B" w:rsidRPr="00310B7E" w14:paraId="4F7138A5" w14:textId="77777777" w:rsidTr="00C07CE2">
        <w:trPr>
          <w:trHeight w:val="120"/>
          <w:jc w:val="center"/>
        </w:trPr>
        <w:tc>
          <w:tcPr>
            <w:tcW w:w="4535" w:type="dxa"/>
          </w:tcPr>
          <w:p w14:paraId="3B04DAA7" w14:textId="77777777" w:rsidR="00BA5B0B" w:rsidRPr="00310B7E" w:rsidRDefault="00BA5B0B" w:rsidP="003E2A0C">
            <w:pPr>
              <w:spacing w:after="0" w:line="240" w:lineRule="auto"/>
              <w:jc w:val="center"/>
              <w:rPr>
                <w:sz w:val="20"/>
                <w:szCs w:val="20"/>
                <w:lang w:eastAsia="cs-CZ"/>
              </w:rPr>
            </w:pPr>
          </w:p>
          <w:p w14:paraId="3049CCA5" w14:textId="77777777" w:rsidR="00BA5B0B" w:rsidRPr="00310B7E" w:rsidRDefault="00BA5B0B" w:rsidP="00537557">
            <w:pPr>
              <w:spacing w:after="0" w:line="240" w:lineRule="auto"/>
              <w:rPr>
                <w:sz w:val="20"/>
                <w:szCs w:val="20"/>
                <w:lang w:eastAsia="cs-CZ"/>
              </w:rPr>
            </w:pPr>
          </w:p>
          <w:p w14:paraId="7CC6D600" w14:textId="77777777" w:rsidR="00AE6EE7" w:rsidRPr="00310B7E" w:rsidRDefault="00AE6EE7" w:rsidP="003E2A0C">
            <w:pPr>
              <w:spacing w:after="0" w:line="240" w:lineRule="auto"/>
              <w:jc w:val="center"/>
              <w:rPr>
                <w:sz w:val="20"/>
                <w:szCs w:val="20"/>
                <w:lang w:eastAsia="cs-CZ"/>
              </w:rPr>
            </w:pPr>
          </w:p>
          <w:p w14:paraId="1A3CA272"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7D8A70E5" w14:textId="77777777" w:rsidR="00BA5B0B" w:rsidRDefault="00724AB9" w:rsidP="003E2A0C">
            <w:pPr>
              <w:spacing w:after="0" w:line="240" w:lineRule="auto"/>
              <w:jc w:val="center"/>
              <w:rPr>
                <w:b/>
                <w:sz w:val="20"/>
                <w:szCs w:val="20"/>
                <w:lang w:eastAsia="cs-CZ"/>
              </w:rPr>
            </w:pPr>
            <w:r>
              <w:rPr>
                <w:b/>
                <w:sz w:val="20"/>
                <w:szCs w:val="20"/>
                <w:lang w:eastAsia="cs-CZ"/>
              </w:rPr>
              <w:t>SNT Plus s.r.o.</w:t>
            </w:r>
          </w:p>
          <w:p w14:paraId="5EC10F2D" w14:textId="77777777" w:rsidR="00724AB9" w:rsidRPr="00724AB9" w:rsidRDefault="00724AB9" w:rsidP="003E2A0C">
            <w:pPr>
              <w:spacing w:after="0" w:line="240" w:lineRule="auto"/>
              <w:jc w:val="center"/>
              <w:rPr>
                <w:bCs/>
                <w:sz w:val="20"/>
                <w:szCs w:val="20"/>
                <w:lang w:eastAsia="cs-CZ"/>
              </w:rPr>
            </w:pPr>
            <w:r w:rsidRPr="00724AB9">
              <w:rPr>
                <w:bCs/>
                <w:sz w:val="20"/>
                <w:szCs w:val="20"/>
                <w:lang w:eastAsia="cs-CZ"/>
              </w:rPr>
              <w:t xml:space="preserve">Ing. Ludvík </w:t>
            </w:r>
            <w:proofErr w:type="spellStart"/>
            <w:r w:rsidRPr="00724AB9">
              <w:rPr>
                <w:bCs/>
                <w:sz w:val="20"/>
                <w:szCs w:val="20"/>
                <w:lang w:eastAsia="cs-CZ"/>
              </w:rPr>
              <w:t>Tót</w:t>
            </w:r>
            <w:proofErr w:type="spellEnd"/>
          </w:p>
          <w:p w14:paraId="2330B45A" w14:textId="7F56E546" w:rsidR="00724AB9" w:rsidRPr="00310B7E" w:rsidRDefault="00724AB9" w:rsidP="003E2A0C">
            <w:pPr>
              <w:spacing w:after="0" w:line="240" w:lineRule="auto"/>
              <w:jc w:val="center"/>
              <w:rPr>
                <w:b/>
                <w:sz w:val="20"/>
                <w:szCs w:val="20"/>
                <w:lang w:eastAsia="cs-CZ"/>
              </w:rPr>
            </w:pPr>
            <w:r w:rsidRPr="00724AB9">
              <w:rPr>
                <w:bCs/>
                <w:sz w:val="20"/>
                <w:szCs w:val="20"/>
                <w:lang w:eastAsia="cs-CZ"/>
              </w:rPr>
              <w:t>jednatel</w:t>
            </w:r>
          </w:p>
        </w:tc>
        <w:tc>
          <w:tcPr>
            <w:tcW w:w="4535" w:type="dxa"/>
          </w:tcPr>
          <w:p w14:paraId="1E83985F" w14:textId="77777777" w:rsidR="00BA5B0B" w:rsidRPr="00310B7E" w:rsidRDefault="00BA5B0B" w:rsidP="003E2A0C">
            <w:pPr>
              <w:spacing w:after="0" w:line="240" w:lineRule="auto"/>
              <w:jc w:val="center"/>
              <w:rPr>
                <w:sz w:val="20"/>
                <w:szCs w:val="20"/>
                <w:lang w:eastAsia="cs-CZ"/>
              </w:rPr>
            </w:pPr>
          </w:p>
          <w:p w14:paraId="77C3894B" w14:textId="77777777" w:rsidR="00BA5B0B" w:rsidRPr="00310B7E" w:rsidRDefault="00BA5B0B" w:rsidP="003E2A0C">
            <w:pPr>
              <w:spacing w:after="0" w:line="240" w:lineRule="auto"/>
              <w:jc w:val="center"/>
              <w:rPr>
                <w:sz w:val="20"/>
                <w:szCs w:val="20"/>
                <w:lang w:eastAsia="cs-CZ"/>
              </w:rPr>
            </w:pPr>
          </w:p>
          <w:p w14:paraId="1658DFC2" w14:textId="77777777" w:rsidR="00C07CE2" w:rsidRPr="00310B7E" w:rsidRDefault="00C07CE2" w:rsidP="00537557">
            <w:pPr>
              <w:spacing w:after="0" w:line="240" w:lineRule="auto"/>
              <w:rPr>
                <w:sz w:val="20"/>
                <w:szCs w:val="20"/>
                <w:lang w:eastAsia="cs-CZ"/>
              </w:rPr>
            </w:pPr>
          </w:p>
          <w:p w14:paraId="290D1749"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7643147F"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6764932"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364B0736" w14:textId="77777777" w:rsidR="00C07CE2" w:rsidRPr="00310B7E" w:rsidRDefault="00C07CE2" w:rsidP="00537557">
            <w:pPr>
              <w:spacing w:after="0" w:line="240" w:lineRule="auto"/>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8"/>
      <w:footerReference w:type="even" r:id="rId9"/>
      <w:footerReference w:type="default" r:id="rId10"/>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3671" w14:textId="77777777" w:rsidR="00BF5933" w:rsidRDefault="00BF5933">
      <w:pPr>
        <w:spacing w:after="0" w:line="240" w:lineRule="auto"/>
      </w:pPr>
      <w:r>
        <w:separator/>
      </w:r>
    </w:p>
  </w:endnote>
  <w:endnote w:type="continuationSeparator" w:id="0">
    <w:p w14:paraId="2D6466E2" w14:textId="77777777" w:rsidR="00BF5933" w:rsidRDefault="00BF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89B83"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C6882" w14:textId="77777777" w:rsidR="00BF5933" w:rsidRDefault="00BF5933">
      <w:pPr>
        <w:spacing w:after="0" w:line="240" w:lineRule="auto"/>
      </w:pPr>
      <w:r>
        <w:separator/>
      </w:r>
    </w:p>
  </w:footnote>
  <w:footnote w:type="continuationSeparator" w:id="0">
    <w:p w14:paraId="233BFB99" w14:textId="77777777" w:rsidR="00BF5933" w:rsidRDefault="00BF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921599820">
    <w:abstractNumId w:val="2"/>
  </w:num>
  <w:num w:numId="2" w16cid:durableId="1312443396">
    <w:abstractNumId w:val="0"/>
  </w:num>
  <w:num w:numId="3" w16cid:durableId="337772694">
    <w:abstractNumId w:val="3"/>
  </w:num>
  <w:num w:numId="4" w16cid:durableId="1379285208">
    <w:abstractNumId w:val="1"/>
  </w:num>
  <w:num w:numId="5" w16cid:durableId="1764112044">
    <w:abstractNumId w:val="2"/>
  </w:num>
  <w:num w:numId="6" w16cid:durableId="1696685744">
    <w:abstractNumId w:val="2"/>
  </w:num>
  <w:num w:numId="7" w16cid:durableId="759788993">
    <w:abstractNumId w:val="2"/>
  </w:num>
  <w:num w:numId="8" w16cid:durableId="2112580556">
    <w:abstractNumId w:val="2"/>
  </w:num>
  <w:num w:numId="9" w16cid:durableId="496727282">
    <w:abstractNumId w:val="2"/>
  </w:num>
  <w:num w:numId="10" w16cid:durableId="748888450">
    <w:abstractNumId w:val="2"/>
  </w:num>
  <w:num w:numId="11" w16cid:durableId="684744460">
    <w:abstractNumId w:val="2"/>
  </w:num>
  <w:num w:numId="12" w16cid:durableId="1642731212">
    <w:abstractNumId w:val="2"/>
  </w:num>
  <w:num w:numId="13" w16cid:durableId="481585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0253D"/>
    <w:rsid w:val="000C25CD"/>
    <w:rsid w:val="00126B86"/>
    <w:rsid w:val="00193F11"/>
    <w:rsid w:val="001A1422"/>
    <w:rsid w:val="001A59F8"/>
    <w:rsid w:val="001C0F26"/>
    <w:rsid w:val="001C5274"/>
    <w:rsid w:val="00205A65"/>
    <w:rsid w:val="00242559"/>
    <w:rsid w:val="00275C2F"/>
    <w:rsid w:val="002E4F1A"/>
    <w:rsid w:val="002F21CC"/>
    <w:rsid w:val="00310B7E"/>
    <w:rsid w:val="00335AB3"/>
    <w:rsid w:val="003532D7"/>
    <w:rsid w:val="0037153A"/>
    <w:rsid w:val="0038078B"/>
    <w:rsid w:val="003956C2"/>
    <w:rsid w:val="003B0747"/>
    <w:rsid w:val="003B6DCE"/>
    <w:rsid w:val="004034E4"/>
    <w:rsid w:val="00537557"/>
    <w:rsid w:val="005512BC"/>
    <w:rsid w:val="00553505"/>
    <w:rsid w:val="0058095A"/>
    <w:rsid w:val="005818E5"/>
    <w:rsid w:val="005E37B1"/>
    <w:rsid w:val="00670EF8"/>
    <w:rsid w:val="00673ED8"/>
    <w:rsid w:val="006F5596"/>
    <w:rsid w:val="007168B7"/>
    <w:rsid w:val="00717DB3"/>
    <w:rsid w:val="00724AB9"/>
    <w:rsid w:val="00742088"/>
    <w:rsid w:val="00782E4F"/>
    <w:rsid w:val="007C768C"/>
    <w:rsid w:val="00805185"/>
    <w:rsid w:val="00836A8D"/>
    <w:rsid w:val="00860B73"/>
    <w:rsid w:val="008E63A2"/>
    <w:rsid w:val="009227B0"/>
    <w:rsid w:val="009434BB"/>
    <w:rsid w:val="00967F91"/>
    <w:rsid w:val="00A1457B"/>
    <w:rsid w:val="00A654A7"/>
    <w:rsid w:val="00A9335E"/>
    <w:rsid w:val="00A96FBE"/>
    <w:rsid w:val="00AD6E91"/>
    <w:rsid w:val="00AE6EE7"/>
    <w:rsid w:val="00B07FA2"/>
    <w:rsid w:val="00B2472C"/>
    <w:rsid w:val="00B33DE7"/>
    <w:rsid w:val="00B71FE7"/>
    <w:rsid w:val="00B86CB2"/>
    <w:rsid w:val="00BA5B0B"/>
    <w:rsid w:val="00BF404F"/>
    <w:rsid w:val="00BF5933"/>
    <w:rsid w:val="00C07CE2"/>
    <w:rsid w:val="00C316AB"/>
    <w:rsid w:val="00C517C6"/>
    <w:rsid w:val="00C61332"/>
    <w:rsid w:val="00C77920"/>
    <w:rsid w:val="00C80A8F"/>
    <w:rsid w:val="00CC3F81"/>
    <w:rsid w:val="00D1706C"/>
    <w:rsid w:val="00D20446"/>
    <w:rsid w:val="00D33A8F"/>
    <w:rsid w:val="00D74E6E"/>
    <w:rsid w:val="00DA14A2"/>
    <w:rsid w:val="00DB1CC8"/>
    <w:rsid w:val="00E01D97"/>
    <w:rsid w:val="00E410CC"/>
    <w:rsid w:val="00E63B14"/>
    <w:rsid w:val="00E82070"/>
    <w:rsid w:val="00E83540"/>
    <w:rsid w:val="00E83AA1"/>
    <w:rsid w:val="00E879C9"/>
    <w:rsid w:val="00EB223B"/>
    <w:rsid w:val="00ED7EC7"/>
    <w:rsid w:val="00F3270B"/>
    <w:rsid w:val="00F9148E"/>
    <w:rsid w:val="00F952E3"/>
    <w:rsid w:val="00FA45C2"/>
    <w:rsid w:val="00FE7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5535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5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1003-ADE5-473D-B355-8C0B3D93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2472</Words>
  <Characters>14587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 | ONMB</cp:lastModifiedBy>
  <cp:revision>6</cp:revision>
  <cp:lastPrinted>2025-04-01T11:50:00Z</cp:lastPrinted>
  <dcterms:created xsi:type="dcterms:W3CDTF">2025-03-31T12:24:00Z</dcterms:created>
  <dcterms:modified xsi:type="dcterms:W3CDTF">2025-04-23T05:14:00Z</dcterms:modified>
</cp:coreProperties>
</file>