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046" w:rsidRDefault="00F53D2D">
      <w:pPr>
        <w:pStyle w:val="Heading310"/>
        <w:keepNext/>
        <w:keepLines/>
        <w:spacing w:line="264" w:lineRule="auto"/>
      </w:pPr>
      <w:bookmarkStart w:id="0" w:name="bookmark0"/>
      <w:r>
        <w:rPr>
          <w:rStyle w:val="Heading31"/>
          <w:b/>
          <w:bCs/>
        </w:rPr>
        <w:t>Cooperation Agreement</w:t>
      </w:r>
      <w:bookmarkEnd w:id="0"/>
    </w:p>
    <w:p w:rsidR="00740046" w:rsidRDefault="00F53D2D">
      <w:pPr>
        <w:pStyle w:val="Bodytext10"/>
        <w:spacing w:line="264" w:lineRule="auto"/>
        <w:jc w:val="both"/>
      </w:pPr>
      <w:r>
        <w:rPr>
          <w:rStyle w:val="Bodytext1"/>
        </w:rPr>
        <w:t>entered into on […] by and between</w:t>
      </w:r>
    </w:p>
    <w:p w:rsidR="00740046" w:rsidRDefault="00F53D2D">
      <w:pPr>
        <w:pStyle w:val="Bodytext10"/>
        <w:tabs>
          <w:tab w:val="left" w:pos="1757"/>
        </w:tabs>
        <w:spacing w:after="0"/>
        <w:jc w:val="both"/>
      </w:pPr>
      <w:r>
        <w:rPr>
          <w:rStyle w:val="Bodytext1"/>
          <w:b/>
          <w:bCs/>
        </w:rPr>
        <w:t>ACCORD HEALTHCARE s.r.o.</w:t>
      </w:r>
      <w:r>
        <w:rPr>
          <w:rStyle w:val="Bodytext1"/>
        </w:rPr>
        <w:t xml:space="preserve">, having its registered office at Na strži 2097/63, Krč, 140 00 Prague 4, ID No.: 03031659, company </w:t>
      </w:r>
      <w:r>
        <w:rPr>
          <w:rStyle w:val="Bodytext1"/>
          <w:rFonts w:ascii="Calibri" w:eastAsia="Calibri" w:hAnsi="Calibri" w:cs="Calibri"/>
          <w:sz w:val="22"/>
          <w:szCs w:val="22"/>
        </w:rPr>
        <w:t xml:space="preserve">registered in the Commercial Register kept by the Municipal Court in Prague, file No. C 274586 </w:t>
      </w:r>
      <w:r>
        <w:rPr>
          <w:rStyle w:val="Bodytext1"/>
        </w:rPr>
        <w:t>represented by:</w:t>
      </w:r>
      <w:r>
        <w:rPr>
          <w:rStyle w:val="Bodytext1"/>
        </w:rPr>
        <w:tab/>
        <w:t>Gustav Svěrák, Executive</w:t>
      </w:r>
    </w:p>
    <w:p w:rsidR="00740046" w:rsidRDefault="00F53D2D">
      <w:pPr>
        <w:pStyle w:val="Bodytext10"/>
        <w:spacing w:after="0" w:line="262" w:lineRule="auto"/>
        <w:jc w:val="both"/>
      </w:pPr>
      <w:r>
        <w:rPr>
          <w:rStyle w:val="Bodytext1"/>
        </w:rPr>
        <w:t>director</w:t>
      </w:r>
    </w:p>
    <w:p w:rsidR="00740046" w:rsidRDefault="00F53D2D">
      <w:pPr>
        <w:pStyle w:val="Bodytext10"/>
        <w:jc w:val="both"/>
      </w:pPr>
      <w:r>
        <w:rPr>
          <w:rStyle w:val="Bodytext1"/>
        </w:rPr>
        <w:t>(hereinafter: ”</w:t>
      </w:r>
      <w:r>
        <w:rPr>
          <w:rStyle w:val="Bodytext1"/>
          <w:b/>
          <w:bCs/>
        </w:rPr>
        <w:t>Accord</w:t>
      </w:r>
      <w:r>
        <w:rPr>
          <w:rStyle w:val="Bodytext1"/>
        </w:rPr>
        <w:t>”)</w:t>
      </w:r>
    </w:p>
    <w:p w:rsidR="00740046" w:rsidRDefault="00F53D2D">
      <w:pPr>
        <w:pStyle w:val="Bodytext10"/>
        <w:spacing w:line="264" w:lineRule="auto"/>
        <w:jc w:val="both"/>
      </w:pPr>
      <w:r>
        <w:rPr>
          <w:rStyle w:val="Bodytext1"/>
        </w:rPr>
        <w:t>and</w:t>
      </w:r>
    </w:p>
    <w:p w:rsidR="00740046" w:rsidRDefault="00F53D2D">
      <w:pPr>
        <w:pStyle w:val="Heading310"/>
        <w:keepNext/>
        <w:keepLines/>
        <w:spacing w:after="120" w:line="211" w:lineRule="auto"/>
        <w:jc w:val="both"/>
        <w:rPr>
          <w:sz w:val="22"/>
          <w:szCs w:val="22"/>
        </w:rPr>
      </w:pPr>
      <w:bookmarkStart w:id="1" w:name="bookmark2"/>
      <w:r>
        <w:rPr>
          <w:rStyle w:val="Heading31"/>
          <w:rFonts w:ascii="Calibri" w:eastAsia="Calibri" w:hAnsi="Calibri" w:cs="Calibri"/>
          <w:b/>
          <w:bCs/>
          <w:sz w:val="22"/>
          <w:szCs w:val="22"/>
        </w:rPr>
        <w:t>Krajská nemocnice T. Bati, a. s.</w:t>
      </w:r>
      <w:bookmarkEnd w:id="1"/>
    </w:p>
    <w:p w:rsidR="00740046" w:rsidRDefault="00F53D2D">
      <w:pPr>
        <w:pStyle w:val="Bodytext20"/>
        <w:spacing w:after="0" w:line="240" w:lineRule="auto"/>
        <w:ind w:left="0"/>
        <w:jc w:val="both"/>
        <w:rPr>
          <w:sz w:val="22"/>
          <w:szCs w:val="22"/>
        </w:rPr>
      </w:pPr>
      <w:r>
        <w:rPr>
          <w:rStyle w:val="Bodytext2"/>
          <w:sz w:val="22"/>
          <w:szCs w:val="22"/>
        </w:rPr>
        <w:t>with its registered office: Havlíčkovo nábřeží 600</w:t>
      </w:r>
      <w:r>
        <w:rPr>
          <w:rStyle w:val="Bodytext2"/>
          <w:sz w:val="22"/>
          <w:szCs w:val="22"/>
        </w:rPr>
        <w:t>, 762 65 Zlín</w:t>
      </w:r>
    </w:p>
    <w:p w:rsidR="00740046" w:rsidRDefault="00F53D2D">
      <w:pPr>
        <w:pStyle w:val="Bodytext20"/>
        <w:spacing w:after="0" w:line="240" w:lineRule="auto"/>
        <w:ind w:left="0"/>
        <w:jc w:val="both"/>
        <w:rPr>
          <w:sz w:val="22"/>
          <w:szCs w:val="22"/>
        </w:rPr>
      </w:pPr>
      <w:r>
        <w:rPr>
          <w:rStyle w:val="Bodytext2"/>
          <w:sz w:val="22"/>
          <w:szCs w:val="22"/>
        </w:rPr>
        <w:t>company registration no.: 27661989</w:t>
      </w:r>
    </w:p>
    <w:p w:rsidR="00740046" w:rsidRDefault="00F53D2D">
      <w:pPr>
        <w:pStyle w:val="Bodytext20"/>
        <w:spacing w:after="0" w:line="240" w:lineRule="auto"/>
        <w:ind w:left="0"/>
        <w:jc w:val="both"/>
        <w:rPr>
          <w:sz w:val="22"/>
          <w:szCs w:val="22"/>
        </w:rPr>
      </w:pPr>
      <w:r>
        <w:rPr>
          <w:rStyle w:val="Bodytext2"/>
          <w:sz w:val="22"/>
          <w:szCs w:val="22"/>
        </w:rPr>
        <w:t>VAT number: CZ27661989</w:t>
      </w:r>
    </w:p>
    <w:p w:rsidR="00740046" w:rsidRDefault="00F53D2D">
      <w:pPr>
        <w:pStyle w:val="Bodytext20"/>
        <w:spacing w:after="0" w:line="240" w:lineRule="auto"/>
        <w:ind w:left="0"/>
        <w:jc w:val="both"/>
        <w:rPr>
          <w:sz w:val="22"/>
          <w:szCs w:val="22"/>
        </w:rPr>
      </w:pPr>
      <w:r>
        <w:rPr>
          <w:rStyle w:val="Bodytext2"/>
          <w:sz w:val="22"/>
          <w:szCs w:val="22"/>
        </w:rPr>
        <w:t>registered in the commercial register of the Regional Court in Brno, Section B, Insert 4437 represented by:</w:t>
      </w:r>
    </w:p>
    <w:p w:rsidR="00740046" w:rsidRDefault="00F53D2D">
      <w:pPr>
        <w:pStyle w:val="Bodytext20"/>
        <w:spacing w:after="0" w:line="240" w:lineRule="auto"/>
        <w:ind w:left="0"/>
        <w:jc w:val="both"/>
        <w:rPr>
          <w:sz w:val="22"/>
          <w:szCs w:val="22"/>
        </w:rPr>
      </w:pPr>
      <w:r>
        <w:rPr>
          <w:rStyle w:val="Bodytext2"/>
          <w:sz w:val="22"/>
          <w:szCs w:val="22"/>
        </w:rPr>
        <w:t>Jan Hrdý – Chairman of the Board</w:t>
      </w:r>
    </w:p>
    <w:p w:rsidR="00740046" w:rsidRDefault="00F53D2D">
      <w:pPr>
        <w:pStyle w:val="Bodytext20"/>
        <w:spacing w:after="200" w:line="240" w:lineRule="auto"/>
        <w:ind w:left="0"/>
        <w:jc w:val="both"/>
        <w:rPr>
          <w:sz w:val="18"/>
          <w:szCs w:val="18"/>
        </w:rPr>
      </w:pPr>
      <w:r>
        <w:rPr>
          <w:rStyle w:val="Bodytext2"/>
          <w:sz w:val="22"/>
          <w:szCs w:val="22"/>
        </w:rPr>
        <w:t xml:space="preserve">Martin Déva – Member of the Board </w:t>
      </w:r>
      <w:r>
        <w:rPr>
          <w:rStyle w:val="Bodytext2"/>
          <w:rFonts w:ascii="Verdana" w:eastAsia="Verdana" w:hAnsi="Verdana" w:cs="Verdana"/>
          <w:sz w:val="18"/>
          <w:szCs w:val="18"/>
        </w:rPr>
        <w:t>(hereinaf</w:t>
      </w:r>
      <w:r>
        <w:rPr>
          <w:rStyle w:val="Bodytext2"/>
          <w:rFonts w:ascii="Verdana" w:eastAsia="Verdana" w:hAnsi="Verdana" w:cs="Verdana"/>
          <w:sz w:val="18"/>
          <w:szCs w:val="18"/>
        </w:rPr>
        <w:t>ter the “</w:t>
      </w:r>
      <w:r>
        <w:rPr>
          <w:rStyle w:val="Bodytext2"/>
          <w:rFonts w:ascii="Verdana" w:eastAsia="Verdana" w:hAnsi="Verdana" w:cs="Verdana"/>
          <w:b/>
          <w:bCs/>
          <w:sz w:val="18"/>
          <w:szCs w:val="18"/>
        </w:rPr>
        <w:t>Recipient</w:t>
      </w:r>
      <w:r>
        <w:rPr>
          <w:rStyle w:val="Bodytext2"/>
          <w:rFonts w:ascii="Verdana" w:eastAsia="Verdana" w:hAnsi="Verdana" w:cs="Verdana"/>
          <w:sz w:val="18"/>
          <w:szCs w:val="18"/>
        </w:rPr>
        <w:t>”)</w:t>
      </w:r>
    </w:p>
    <w:p w:rsidR="00740046" w:rsidRDefault="00F53D2D">
      <w:pPr>
        <w:pStyle w:val="Bodytext10"/>
        <w:spacing w:after="420"/>
        <w:jc w:val="both"/>
      </w:pPr>
      <w:r>
        <w:rPr>
          <w:rStyle w:val="Bodytext1"/>
        </w:rPr>
        <w:t>individually hereinafter also referred to as “Party” and collectively as “Parties”</w:t>
      </w:r>
    </w:p>
    <w:p w:rsidR="00740046" w:rsidRDefault="00F53D2D">
      <w:pPr>
        <w:pStyle w:val="Heading310"/>
        <w:keepNext/>
        <w:keepLines/>
        <w:spacing w:after="0"/>
      </w:pPr>
      <w:bookmarkStart w:id="2" w:name="bookmark4"/>
      <w:r>
        <w:rPr>
          <w:rStyle w:val="Heading31"/>
          <w:b/>
          <w:bCs/>
        </w:rPr>
        <w:t>§ 1</w:t>
      </w:r>
      <w:bookmarkEnd w:id="2"/>
    </w:p>
    <w:p w:rsidR="00740046" w:rsidRDefault="00F53D2D">
      <w:pPr>
        <w:pStyle w:val="Heading310"/>
        <w:keepNext/>
        <w:keepLines/>
      </w:pPr>
      <w:r>
        <w:rPr>
          <w:rStyle w:val="Heading31"/>
          <w:b/>
          <w:bCs/>
        </w:rPr>
        <w:t>Subject of the agreement</w:t>
      </w:r>
    </w:p>
    <w:p w:rsidR="00740046" w:rsidRDefault="00F53D2D">
      <w:pPr>
        <w:pStyle w:val="Bodytext10"/>
        <w:numPr>
          <w:ilvl w:val="0"/>
          <w:numId w:val="1"/>
        </w:numPr>
        <w:tabs>
          <w:tab w:val="left" w:pos="403"/>
        </w:tabs>
        <w:ind w:left="440" w:hanging="440"/>
        <w:jc w:val="both"/>
      </w:pPr>
      <w:r>
        <w:rPr>
          <w:rStyle w:val="Bodytext1"/>
        </w:rPr>
        <w:t xml:space="preserve">The Recipient is purchasing Accord´s products listed in the Appendix no 1 hereto [hereinafter: </w:t>
      </w:r>
      <w:r>
        <w:rPr>
          <w:rStyle w:val="Bodytext1"/>
          <w:b/>
          <w:bCs/>
        </w:rPr>
        <w:t>the Products</w:t>
      </w:r>
      <w:r>
        <w:rPr>
          <w:rStyle w:val="Bodytext1"/>
        </w:rPr>
        <w:t xml:space="preserve">]. The Products are supplied to the Recipient by Accord through distributors for the purposes of deliveries within the Czech market [hereinafter: </w:t>
      </w:r>
      <w:r>
        <w:rPr>
          <w:rStyle w:val="Bodytext1"/>
          <w:b/>
          <w:bCs/>
        </w:rPr>
        <w:t>the Territory</w:t>
      </w:r>
      <w:r>
        <w:rPr>
          <w:rStyle w:val="Bodytext1"/>
        </w:rPr>
        <w:t>].</w:t>
      </w:r>
    </w:p>
    <w:p w:rsidR="00740046" w:rsidRDefault="00F53D2D">
      <w:pPr>
        <w:pStyle w:val="Bodytext10"/>
        <w:numPr>
          <w:ilvl w:val="0"/>
          <w:numId w:val="1"/>
        </w:numPr>
        <w:tabs>
          <w:tab w:val="left" w:pos="403"/>
        </w:tabs>
        <w:ind w:left="440" w:hanging="440"/>
        <w:jc w:val="both"/>
      </w:pPr>
      <w:r>
        <w:rPr>
          <w:rStyle w:val="Bodytext1"/>
        </w:rPr>
        <w:t xml:space="preserve">Accord’s distributors in Czech Republic, with whom Accord has concluded agreements for supply </w:t>
      </w:r>
      <w:r>
        <w:rPr>
          <w:rStyle w:val="Bodytext1"/>
        </w:rPr>
        <w:t xml:space="preserve">of the Products in the Territory, and from whom Recipient purchases the Products are specified in Appendix No. 3 hereto and hereinafter referred to as </w:t>
      </w:r>
      <w:r>
        <w:rPr>
          <w:rStyle w:val="Bodytext1"/>
          <w:b/>
          <w:bCs/>
        </w:rPr>
        <w:t>Distributors</w:t>
      </w:r>
      <w:r>
        <w:rPr>
          <w:rStyle w:val="Bodytext1"/>
        </w:rPr>
        <w:t>. The Distributors list can be amended according § 6 par. 2 of this Agreement.</w:t>
      </w:r>
    </w:p>
    <w:p w:rsidR="00740046" w:rsidRDefault="00F53D2D">
      <w:pPr>
        <w:pStyle w:val="Bodytext10"/>
        <w:numPr>
          <w:ilvl w:val="0"/>
          <w:numId w:val="1"/>
        </w:numPr>
        <w:tabs>
          <w:tab w:val="left" w:pos="403"/>
        </w:tabs>
        <w:ind w:left="440" w:hanging="440"/>
        <w:jc w:val="both"/>
      </w:pPr>
      <w:r>
        <w:rPr>
          <w:rStyle w:val="Bodytext1"/>
        </w:rPr>
        <w:t xml:space="preserve">The terms and </w:t>
      </w:r>
      <w:r>
        <w:rPr>
          <w:rStyle w:val="Bodytext1"/>
        </w:rPr>
        <w:t xml:space="preserve">conditions of the purchase of Products by the Recipient from Distributors shall not be affected by this Cooperation Agreement [hereinafter: </w:t>
      </w:r>
      <w:r>
        <w:rPr>
          <w:rStyle w:val="Bodytext1"/>
          <w:b/>
          <w:bCs/>
        </w:rPr>
        <w:t>the Agreement</w:t>
      </w:r>
      <w:r>
        <w:rPr>
          <w:rStyle w:val="Bodytext1"/>
        </w:rPr>
        <w:t>] in any manner. Recipient represents that it has purchased the Products through the Distributor in suc</w:t>
      </w:r>
      <w:r>
        <w:rPr>
          <w:rStyle w:val="Bodytext1"/>
        </w:rPr>
        <w:t>h quantity that is needed for the Recipient’s</w:t>
      </w:r>
    </w:p>
    <w:p w:rsidR="00740046" w:rsidRDefault="00F53D2D">
      <w:pPr>
        <w:pStyle w:val="Heading310"/>
        <w:keepNext/>
        <w:keepLines/>
      </w:pPr>
      <w:bookmarkStart w:id="3" w:name="bookmark7"/>
      <w:r>
        <w:rPr>
          <w:rStyle w:val="Heading31"/>
          <w:b/>
          <w:bCs/>
        </w:rPr>
        <w:t>Smlouva o spolupráci</w:t>
      </w:r>
      <w:bookmarkEnd w:id="3"/>
    </w:p>
    <w:p w:rsidR="00740046" w:rsidRDefault="00F53D2D">
      <w:pPr>
        <w:pStyle w:val="Bodytext10"/>
      </w:pPr>
      <w:r>
        <w:rPr>
          <w:rStyle w:val="Bodytext1"/>
        </w:rPr>
        <w:t>uzavřená dne […] mezi</w:t>
      </w:r>
    </w:p>
    <w:p w:rsidR="00740046" w:rsidRDefault="00F53D2D">
      <w:pPr>
        <w:pStyle w:val="Bodytext10"/>
        <w:tabs>
          <w:tab w:val="left" w:pos="682"/>
          <w:tab w:val="left" w:pos="2054"/>
          <w:tab w:val="left" w:pos="3451"/>
        </w:tabs>
        <w:spacing w:after="0"/>
        <w:jc w:val="both"/>
      </w:pPr>
      <w:r>
        <w:rPr>
          <w:rStyle w:val="Bodytext1"/>
          <w:b/>
          <w:bCs/>
        </w:rPr>
        <w:t>ACCORD HEALTHCARE s.r.o.</w:t>
      </w:r>
      <w:r>
        <w:rPr>
          <w:rStyle w:val="Bodytext1"/>
        </w:rPr>
        <w:t>, se sídlem na adrese Na strži 2097/63, Krč, 140 00 Praha 4, IČ:</w:t>
      </w:r>
      <w:r>
        <w:rPr>
          <w:rStyle w:val="Bodytext1"/>
        </w:rPr>
        <w:tab/>
        <w:t>03031659,</w:t>
      </w:r>
      <w:r>
        <w:rPr>
          <w:rStyle w:val="Bodytext1"/>
        </w:rPr>
        <w:tab/>
        <w:t>společností</w:t>
      </w:r>
      <w:r>
        <w:rPr>
          <w:rStyle w:val="Bodytext1"/>
        </w:rPr>
        <w:tab/>
        <w:t>zapsanou</w:t>
      </w:r>
    </w:p>
    <w:p w:rsidR="00740046" w:rsidRDefault="00F53D2D">
      <w:pPr>
        <w:pStyle w:val="Bodytext10"/>
        <w:tabs>
          <w:tab w:val="left" w:pos="1471"/>
        </w:tabs>
        <w:spacing w:after="0"/>
        <w:jc w:val="both"/>
      </w:pPr>
      <w:r>
        <w:rPr>
          <w:rStyle w:val="Bodytext1"/>
        </w:rPr>
        <w:t>v obchodním rejstříku vedeném Městským soudem v</w:t>
      </w:r>
      <w:r>
        <w:rPr>
          <w:rStyle w:val="Bodytext1"/>
        </w:rPr>
        <w:t xml:space="preserve"> Praze, sp. zn. C 274586 zastoupenou:</w:t>
      </w:r>
      <w:r>
        <w:rPr>
          <w:rStyle w:val="Bodytext1"/>
        </w:rPr>
        <w:tab/>
        <w:t>Ing. Gustavem Svěrákem,</w:t>
      </w:r>
    </w:p>
    <w:p w:rsidR="00740046" w:rsidRDefault="00F53D2D">
      <w:pPr>
        <w:pStyle w:val="Bodytext10"/>
        <w:spacing w:after="0"/>
      </w:pPr>
      <w:r>
        <w:rPr>
          <w:rStyle w:val="Bodytext1"/>
        </w:rPr>
        <w:t>jednatelem</w:t>
      </w:r>
    </w:p>
    <w:p w:rsidR="00740046" w:rsidRDefault="00F53D2D">
      <w:pPr>
        <w:pStyle w:val="Bodytext10"/>
        <w:spacing w:after="260"/>
      </w:pPr>
      <w:r>
        <w:rPr>
          <w:rStyle w:val="Bodytext1"/>
        </w:rPr>
        <w:t>(dále jen jako: „</w:t>
      </w:r>
      <w:r>
        <w:rPr>
          <w:rStyle w:val="Bodytext1"/>
          <w:b/>
          <w:bCs/>
        </w:rPr>
        <w:t>Accord</w:t>
      </w:r>
      <w:r>
        <w:rPr>
          <w:rStyle w:val="Bodytext1"/>
        </w:rPr>
        <w:t>”)</w:t>
      </w:r>
    </w:p>
    <w:p w:rsidR="00740046" w:rsidRDefault="00F53D2D">
      <w:pPr>
        <w:pStyle w:val="Bodytext10"/>
        <w:spacing w:after="260"/>
      </w:pPr>
      <w:r>
        <w:rPr>
          <w:rStyle w:val="Bodytext1"/>
        </w:rPr>
        <w:t>a</w:t>
      </w:r>
    </w:p>
    <w:p w:rsidR="00740046" w:rsidRDefault="00F53D2D">
      <w:pPr>
        <w:pStyle w:val="Heading310"/>
        <w:keepNext/>
        <w:keepLines/>
        <w:spacing w:after="140" w:line="192" w:lineRule="auto"/>
        <w:jc w:val="left"/>
        <w:rPr>
          <w:sz w:val="22"/>
          <w:szCs w:val="22"/>
        </w:rPr>
      </w:pPr>
      <w:bookmarkStart w:id="4" w:name="bookmark9"/>
      <w:r>
        <w:rPr>
          <w:rStyle w:val="Heading31"/>
          <w:rFonts w:ascii="Calibri" w:eastAsia="Calibri" w:hAnsi="Calibri" w:cs="Calibri"/>
          <w:b/>
          <w:bCs/>
          <w:sz w:val="22"/>
          <w:szCs w:val="22"/>
        </w:rPr>
        <w:t>Krajská nemocnice T. Bati, a. s.</w:t>
      </w:r>
      <w:bookmarkEnd w:id="4"/>
    </w:p>
    <w:p w:rsidR="00740046" w:rsidRDefault="00F53D2D">
      <w:pPr>
        <w:pStyle w:val="Bodytext20"/>
        <w:spacing w:after="140" w:line="192" w:lineRule="auto"/>
        <w:ind w:left="0"/>
        <w:rPr>
          <w:sz w:val="22"/>
          <w:szCs w:val="22"/>
        </w:rPr>
      </w:pPr>
      <w:r>
        <w:rPr>
          <w:rStyle w:val="Bodytext2"/>
          <w:sz w:val="22"/>
          <w:szCs w:val="22"/>
        </w:rPr>
        <w:t>sídlem: Havlíčkovo nábřeží 600, 762 65 Zlín</w:t>
      </w:r>
    </w:p>
    <w:p w:rsidR="00740046" w:rsidRDefault="00F53D2D">
      <w:pPr>
        <w:pStyle w:val="Bodytext20"/>
        <w:spacing w:after="0" w:line="230" w:lineRule="auto"/>
        <w:ind w:left="0"/>
        <w:rPr>
          <w:sz w:val="22"/>
          <w:szCs w:val="22"/>
        </w:rPr>
      </w:pPr>
      <w:r>
        <w:rPr>
          <w:rStyle w:val="Bodytext2"/>
          <w:sz w:val="22"/>
          <w:szCs w:val="22"/>
        </w:rPr>
        <w:t>identifikační číslo: 27661989</w:t>
      </w:r>
    </w:p>
    <w:p w:rsidR="00740046" w:rsidRDefault="00F53D2D">
      <w:pPr>
        <w:pStyle w:val="Bodytext20"/>
        <w:spacing w:after="0" w:line="230" w:lineRule="auto"/>
        <w:ind w:left="0"/>
        <w:rPr>
          <w:sz w:val="22"/>
          <w:szCs w:val="22"/>
        </w:rPr>
      </w:pPr>
      <w:r>
        <w:rPr>
          <w:rStyle w:val="Bodytext2"/>
          <w:sz w:val="22"/>
          <w:szCs w:val="22"/>
        </w:rPr>
        <w:t>DIČ: CZ27661989</w:t>
      </w:r>
    </w:p>
    <w:p w:rsidR="00740046" w:rsidRDefault="00F53D2D">
      <w:pPr>
        <w:pStyle w:val="Bodytext20"/>
        <w:spacing w:after="0" w:line="230" w:lineRule="auto"/>
        <w:ind w:left="0"/>
        <w:rPr>
          <w:sz w:val="22"/>
          <w:szCs w:val="22"/>
        </w:rPr>
      </w:pPr>
      <w:r>
        <w:rPr>
          <w:rStyle w:val="Bodytext2"/>
          <w:sz w:val="22"/>
          <w:szCs w:val="22"/>
        </w:rPr>
        <w:t>zapsaná v obchodním rejstříku ve</w:t>
      </w:r>
      <w:r>
        <w:rPr>
          <w:rStyle w:val="Bodytext2"/>
          <w:sz w:val="22"/>
          <w:szCs w:val="22"/>
        </w:rPr>
        <w:t>deném Krajským soudem v Brně, oddíl B, vložka 4437 zastoupená:</w:t>
      </w:r>
    </w:p>
    <w:p w:rsidR="00740046" w:rsidRDefault="00F53D2D">
      <w:pPr>
        <w:pStyle w:val="Bodytext20"/>
        <w:spacing w:after="420" w:line="240" w:lineRule="auto"/>
        <w:ind w:left="0"/>
        <w:rPr>
          <w:sz w:val="18"/>
          <w:szCs w:val="18"/>
        </w:rPr>
      </w:pPr>
      <w:r>
        <w:rPr>
          <w:rStyle w:val="Bodytext2"/>
          <w:sz w:val="22"/>
          <w:szCs w:val="22"/>
        </w:rPr>
        <w:t xml:space="preserve">Ing. Jan Hrdý – předseda představenstva Ing.Martin Déva – člen představenstva </w:t>
      </w:r>
      <w:r>
        <w:rPr>
          <w:rStyle w:val="Bodytext2"/>
          <w:rFonts w:ascii="Verdana" w:eastAsia="Verdana" w:hAnsi="Verdana" w:cs="Verdana"/>
          <w:sz w:val="18"/>
          <w:szCs w:val="18"/>
        </w:rPr>
        <w:t>(dále jen jako „</w:t>
      </w:r>
      <w:r>
        <w:rPr>
          <w:rStyle w:val="Bodytext2"/>
          <w:rFonts w:ascii="Verdana" w:eastAsia="Verdana" w:hAnsi="Verdana" w:cs="Verdana"/>
          <w:b/>
          <w:bCs/>
          <w:sz w:val="18"/>
          <w:szCs w:val="18"/>
        </w:rPr>
        <w:t>Příjemce</w:t>
      </w:r>
      <w:r>
        <w:rPr>
          <w:rStyle w:val="Bodytext2"/>
          <w:rFonts w:ascii="Verdana" w:eastAsia="Verdana" w:hAnsi="Verdana" w:cs="Verdana"/>
          <w:sz w:val="18"/>
          <w:szCs w:val="18"/>
        </w:rPr>
        <w:t>”)</w:t>
      </w:r>
    </w:p>
    <w:p w:rsidR="00740046" w:rsidRDefault="00F53D2D">
      <w:pPr>
        <w:pStyle w:val="Bodytext10"/>
        <w:spacing w:after="420"/>
        <w:jc w:val="both"/>
      </w:pPr>
      <w:r>
        <w:rPr>
          <w:rStyle w:val="Bodytext1"/>
        </w:rPr>
        <w:t>jednotlivě dále rovněž jako „Smluvní strana” a společně jako „Smluvní strany”</w:t>
      </w:r>
    </w:p>
    <w:p w:rsidR="00740046" w:rsidRDefault="00F53D2D">
      <w:pPr>
        <w:pStyle w:val="Heading310"/>
        <w:keepNext/>
        <w:keepLines/>
        <w:spacing w:after="0"/>
      </w:pPr>
      <w:bookmarkStart w:id="5" w:name="bookmark11"/>
      <w:r>
        <w:rPr>
          <w:rStyle w:val="Heading31"/>
          <w:b/>
          <w:bCs/>
        </w:rPr>
        <w:t>§ 1</w:t>
      </w:r>
      <w:bookmarkEnd w:id="5"/>
    </w:p>
    <w:p w:rsidR="00740046" w:rsidRDefault="00F53D2D">
      <w:pPr>
        <w:pStyle w:val="Heading310"/>
        <w:keepNext/>
        <w:keepLines/>
      </w:pPr>
      <w:r>
        <w:rPr>
          <w:rStyle w:val="Heading31"/>
          <w:b/>
          <w:bCs/>
        </w:rPr>
        <w:t>Předmět smlouvy</w:t>
      </w:r>
    </w:p>
    <w:p w:rsidR="00740046" w:rsidRDefault="00F53D2D">
      <w:pPr>
        <w:pStyle w:val="Bodytext10"/>
        <w:numPr>
          <w:ilvl w:val="0"/>
          <w:numId w:val="2"/>
        </w:numPr>
        <w:tabs>
          <w:tab w:val="left" w:pos="355"/>
          <w:tab w:val="left" w:pos="1471"/>
        </w:tabs>
        <w:spacing w:after="0"/>
        <w:ind w:left="380" w:hanging="380"/>
        <w:jc w:val="both"/>
      </w:pPr>
      <w:r>
        <w:rPr>
          <w:rStyle w:val="Bodytext1"/>
        </w:rPr>
        <w:t>Příjemce kupuje přípravky společnosti Accord uvedené v Příloze č. 1 této smlouvy [dále jen:</w:t>
      </w:r>
      <w:r>
        <w:rPr>
          <w:rStyle w:val="Bodytext1"/>
        </w:rPr>
        <w:tab/>
      </w:r>
      <w:r>
        <w:rPr>
          <w:rStyle w:val="Bodytext1"/>
          <w:b/>
          <w:bCs/>
        </w:rPr>
        <w:t>Přípravky</w:t>
      </w:r>
      <w:r>
        <w:rPr>
          <w:rStyle w:val="Bodytext1"/>
        </w:rPr>
        <w:t>]. Přípravky jsou</w:t>
      </w:r>
    </w:p>
    <w:p w:rsidR="00740046" w:rsidRDefault="00F53D2D">
      <w:pPr>
        <w:pStyle w:val="Bodytext10"/>
        <w:ind w:left="380"/>
        <w:jc w:val="both"/>
      </w:pPr>
      <w:r>
        <w:rPr>
          <w:rStyle w:val="Bodytext1"/>
        </w:rPr>
        <w:t xml:space="preserve">Příjemci dodávány společností Accord prostřednictvím distributorů, a to pro účely dodávek na českém trhu [dále jen: </w:t>
      </w:r>
      <w:r>
        <w:rPr>
          <w:rStyle w:val="Bodytext1"/>
          <w:b/>
          <w:bCs/>
        </w:rPr>
        <w:t>Přísl</w:t>
      </w:r>
      <w:r>
        <w:rPr>
          <w:rStyle w:val="Bodytext1"/>
          <w:b/>
          <w:bCs/>
        </w:rPr>
        <w:t>ušné území</w:t>
      </w:r>
      <w:r>
        <w:rPr>
          <w:rStyle w:val="Bodytext1"/>
        </w:rPr>
        <w:t>].</w:t>
      </w:r>
    </w:p>
    <w:p w:rsidR="00740046" w:rsidRDefault="00F53D2D">
      <w:pPr>
        <w:pStyle w:val="Bodytext10"/>
        <w:numPr>
          <w:ilvl w:val="0"/>
          <w:numId w:val="2"/>
        </w:numPr>
        <w:tabs>
          <w:tab w:val="left" w:pos="355"/>
        </w:tabs>
        <w:ind w:left="380" w:hanging="380"/>
        <w:jc w:val="both"/>
      </w:pPr>
      <w:r>
        <w:rPr>
          <w:rStyle w:val="Bodytext1"/>
        </w:rPr>
        <w:t>Distributoři společnosti Accord působící v České republice, s nimiž společnost Accord uzavřela smlouvy o dodávkách Přípravků na Příslušném území a od nichž Příjemce přípravky kupuje, jsou uvedeni v Příloze č. 3 této smlouvy a dále jsou označov</w:t>
      </w:r>
      <w:r>
        <w:rPr>
          <w:rStyle w:val="Bodytext1"/>
        </w:rPr>
        <w:t xml:space="preserve">ání jako </w:t>
      </w:r>
      <w:r>
        <w:rPr>
          <w:rStyle w:val="Bodytext1"/>
          <w:b/>
          <w:bCs/>
        </w:rPr>
        <w:t>Distributoři</w:t>
      </w:r>
      <w:r>
        <w:rPr>
          <w:rStyle w:val="Bodytext1"/>
        </w:rPr>
        <w:t>. Seznam Distributorů lze upravovat v souladu s ustanovením § 6 odst. 2 této smlouvy.</w:t>
      </w:r>
    </w:p>
    <w:p w:rsidR="00740046" w:rsidRDefault="00F53D2D">
      <w:pPr>
        <w:pStyle w:val="Bodytext10"/>
        <w:numPr>
          <w:ilvl w:val="0"/>
          <w:numId w:val="2"/>
        </w:numPr>
        <w:tabs>
          <w:tab w:val="left" w:pos="355"/>
          <w:tab w:val="left" w:pos="1471"/>
          <w:tab w:val="left" w:pos="2885"/>
        </w:tabs>
        <w:spacing w:after="0"/>
        <w:ind w:left="380" w:hanging="380"/>
        <w:jc w:val="both"/>
      </w:pPr>
      <w:r>
        <w:rPr>
          <w:rStyle w:val="Bodytext1"/>
        </w:rPr>
        <w:t xml:space="preserve">Podmínky nákupu Přípravků Příjemce od Distributorů nejsou touto Smlouvou o spolupráci [dále jen: </w:t>
      </w:r>
      <w:r>
        <w:rPr>
          <w:rStyle w:val="Bodytext1"/>
          <w:b/>
          <w:bCs/>
        </w:rPr>
        <w:t>Smlouva</w:t>
      </w:r>
      <w:r>
        <w:rPr>
          <w:rStyle w:val="Bodytext1"/>
        </w:rPr>
        <w:t>] žádným způsobem dotčeny. Příjemce prohlašuj</w:t>
      </w:r>
      <w:r>
        <w:rPr>
          <w:rStyle w:val="Bodytext1"/>
        </w:rPr>
        <w:t>e, že koupil</w:t>
      </w:r>
      <w:r>
        <w:rPr>
          <w:rStyle w:val="Bodytext1"/>
        </w:rPr>
        <w:tab/>
        <w:t>Přípravky</w:t>
      </w:r>
      <w:r>
        <w:rPr>
          <w:rStyle w:val="Bodytext1"/>
        </w:rPr>
        <w:tab/>
        <w:t>prostřednictvím</w:t>
      </w:r>
    </w:p>
    <w:p w:rsidR="00740046" w:rsidRDefault="00F53D2D">
      <w:pPr>
        <w:pStyle w:val="Bodytext10"/>
        <w:tabs>
          <w:tab w:val="left" w:pos="1471"/>
          <w:tab w:val="left" w:pos="2559"/>
        </w:tabs>
        <w:spacing w:after="0"/>
        <w:ind w:left="380"/>
        <w:jc w:val="both"/>
      </w:pPr>
      <w:r>
        <w:rPr>
          <w:rStyle w:val="Bodytext1"/>
        </w:rPr>
        <w:t>Distributora v takovém množství, které je nezbytné</w:t>
      </w:r>
      <w:r>
        <w:rPr>
          <w:rStyle w:val="Bodytext1"/>
        </w:rPr>
        <w:tab/>
        <w:t>pro jeho</w:t>
      </w:r>
      <w:r>
        <w:rPr>
          <w:rStyle w:val="Bodytext1"/>
        </w:rPr>
        <w:tab/>
        <w:t>činnost. Příjemce</w:t>
      </w:r>
    </w:p>
    <w:p w:rsidR="00740046" w:rsidRDefault="00F53D2D">
      <w:pPr>
        <w:pStyle w:val="Bodytext10"/>
        <w:ind w:left="380"/>
        <w:jc w:val="both"/>
      </w:pPr>
      <w:r>
        <w:rPr>
          <w:rStyle w:val="Bodytext1"/>
        </w:rPr>
        <w:t xml:space="preserve">prohlašuje, že ve smlouvě uzavřené mezi activities. Recipient states that in the agreement as entered into by and between </w:t>
      </w:r>
      <w:r>
        <w:rPr>
          <w:rStyle w:val="Bodytext1"/>
        </w:rPr>
        <w:lastRenderedPageBreak/>
        <w:t>the Recipient and</w:t>
      </w:r>
      <w:r>
        <w:rPr>
          <w:rStyle w:val="Bodytext1"/>
        </w:rPr>
        <w:t xml:space="preserve"> the Distributor, the business relations are regulated with focus mainly on the method of placing orders and supplying of the Products, requirements in respect of the Products, method of acceptance of the </w:t>
      </w:r>
      <w:proofErr w:type="gramStart"/>
      <w:r>
        <w:rPr>
          <w:rStyle w:val="Bodytext1"/>
        </w:rPr>
        <w:t>Products,</w:t>
      </w:r>
      <w:proofErr w:type="gramEnd"/>
      <w:r>
        <w:rPr>
          <w:rStyle w:val="Bodytext1"/>
        </w:rPr>
        <w:t xml:space="preserve"> etc. It is clarified that agreement betwe</w:t>
      </w:r>
      <w:r>
        <w:rPr>
          <w:rStyle w:val="Bodytext1"/>
        </w:rPr>
        <w:t>en the Recipient and the Distributor shall be absolutely independent of this Agreement or its provisions.</w:t>
      </w:r>
    </w:p>
    <w:p w:rsidR="00740046" w:rsidRDefault="00F53D2D">
      <w:pPr>
        <w:pStyle w:val="Bodytext10"/>
        <w:numPr>
          <w:ilvl w:val="0"/>
          <w:numId w:val="2"/>
        </w:numPr>
        <w:tabs>
          <w:tab w:val="left" w:pos="355"/>
        </w:tabs>
        <w:ind w:left="440" w:hanging="440"/>
        <w:jc w:val="both"/>
      </w:pPr>
      <w:r>
        <w:rPr>
          <w:rStyle w:val="Bodytext1"/>
        </w:rPr>
        <w:t xml:space="preserve">Accord undertakes to grant financial bonuses [hereinafter: </w:t>
      </w:r>
      <w:r>
        <w:rPr>
          <w:rStyle w:val="Bodytext1"/>
          <w:b/>
          <w:bCs/>
        </w:rPr>
        <w:t>the Bonus</w:t>
      </w:r>
      <w:r>
        <w:rPr>
          <w:rStyle w:val="Bodytext1"/>
        </w:rPr>
        <w:t xml:space="preserve">] for the purchase of the Products to the Recipient when the cumulative purchases </w:t>
      </w:r>
      <w:r>
        <w:rPr>
          <w:rStyle w:val="Bodytext1"/>
        </w:rPr>
        <w:t xml:space="preserve">made by the Recipient from the Distributors achieve agreed level within the agreed settlement period as specified in Appendix No. 2 hereto [hereinafter: </w:t>
      </w:r>
      <w:r>
        <w:rPr>
          <w:rStyle w:val="Bodytext1"/>
          <w:b/>
          <w:bCs/>
        </w:rPr>
        <w:t>the Threshold</w:t>
      </w:r>
      <w:r>
        <w:rPr>
          <w:rStyle w:val="Bodytext1"/>
        </w:rPr>
        <w:t>].</w:t>
      </w:r>
    </w:p>
    <w:p w:rsidR="00740046" w:rsidRDefault="00F53D2D">
      <w:pPr>
        <w:pStyle w:val="Bodytext10"/>
        <w:numPr>
          <w:ilvl w:val="0"/>
          <w:numId w:val="2"/>
        </w:numPr>
        <w:tabs>
          <w:tab w:val="left" w:pos="355"/>
          <w:tab w:val="left" w:pos="2381"/>
        </w:tabs>
        <w:spacing w:after="0"/>
        <w:ind w:left="440" w:hanging="440"/>
        <w:jc w:val="both"/>
      </w:pPr>
      <w:r>
        <w:rPr>
          <w:rStyle w:val="Bodytext1"/>
        </w:rPr>
        <w:t xml:space="preserve">The Parties agree that settlement period is a settlement period for calculation of the </w:t>
      </w:r>
      <w:r>
        <w:rPr>
          <w:rStyle w:val="Bodytext1"/>
        </w:rPr>
        <w:t>Bonus as specified</w:t>
      </w:r>
      <w:r>
        <w:rPr>
          <w:rStyle w:val="Bodytext1"/>
        </w:rPr>
        <w:tab/>
        <w:t>in Appendix No. 2.</w:t>
      </w:r>
    </w:p>
    <w:p w:rsidR="00740046" w:rsidRDefault="00F53D2D">
      <w:pPr>
        <w:pStyle w:val="Bodytext10"/>
        <w:spacing w:after="0"/>
        <w:ind w:firstLine="440"/>
        <w:jc w:val="both"/>
      </w:pPr>
      <w:r>
        <w:rPr>
          <w:rStyle w:val="Bodytext1"/>
        </w:rPr>
        <w:t xml:space="preserve">[hereinafter: </w:t>
      </w:r>
      <w:r>
        <w:rPr>
          <w:rStyle w:val="Bodytext1"/>
          <w:b/>
          <w:bCs/>
        </w:rPr>
        <w:t>the Settlement Period</w:t>
      </w:r>
      <w:r>
        <w:rPr>
          <w:rStyle w:val="Bodytext1"/>
        </w:rPr>
        <w:t>]</w:t>
      </w:r>
    </w:p>
    <w:p w:rsidR="00740046" w:rsidRDefault="00F53D2D">
      <w:pPr>
        <w:pStyle w:val="Bodytext10"/>
        <w:ind w:left="360"/>
        <w:jc w:val="both"/>
      </w:pPr>
      <w:r>
        <w:rPr>
          <w:rStyle w:val="Bodytext1"/>
        </w:rPr>
        <w:t xml:space="preserve">Příjemcem </w:t>
      </w:r>
      <w:r>
        <w:rPr>
          <w:rStyle w:val="Bodytext1"/>
          <w:lang w:val="en-US" w:eastAsia="en-US" w:bidi="en-US"/>
        </w:rPr>
        <w:t xml:space="preserve">a Distributorem jsou </w:t>
      </w:r>
      <w:r>
        <w:rPr>
          <w:rStyle w:val="Bodytext1"/>
        </w:rPr>
        <w:t xml:space="preserve">obchodní </w:t>
      </w:r>
      <w:r>
        <w:rPr>
          <w:rStyle w:val="Bodytext1"/>
          <w:lang w:val="en-US" w:eastAsia="en-US" w:bidi="en-US"/>
        </w:rPr>
        <w:t xml:space="preserve">vztahy upraveny </w:t>
      </w:r>
      <w:r>
        <w:rPr>
          <w:rStyle w:val="Bodytext1"/>
        </w:rPr>
        <w:t xml:space="preserve">zejména </w:t>
      </w:r>
      <w:r>
        <w:rPr>
          <w:rStyle w:val="Bodytext1"/>
          <w:lang w:val="en-US" w:eastAsia="en-US" w:bidi="en-US"/>
        </w:rPr>
        <w:t xml:space="preserve">s ohledem na </w:t>
      </w:r>
      <w:r>
        <w:rPr>
          <w:rStyle w:val="Bodytext1"/>
        </w:rPr>
        <w:t xml:space="preserve">způsob objednávání </w:t>
      </w:r>
      <w:r>
        <w:rPr>
          <w:rStyle w:val="Bodytext1"/>
          <w:lang w:val="en-US" w:eastAsia="en-US" w:bidi="en-US"/>
        </w:rPr>
        <w:t xml:space="preserve">a </w:t>
      </w:r>
      <w:r>
        <w:rPr>
          <w:rStyle w:val="Bodytext1"/>
        </w:rPr>
        <w:t xml:space="preserve">dodávání Přípravků, požadavky ohledně Přípravků, způsob </w:t>
      </w:r>
      <w:r>
        <w:rPr>
          <w:rStyle w:val="Bodytext1"/>
          <w:lang w:val="en-US" w:eastAsia="en-US" w:bidi="en-US"/>
        </w:rPr>
        <w:t xml:space="preserve">jejich akceptace apod. Stanovuje se, </w:t>
      </w:r>
      <w:r>
        <w:rPr>
          <w:rStyle w:val="Bodytext1"/>
        </w:rPr>
        <w:t xml:space="preserve">že </w:t>
      </w:r>
      <w:r>
        <w:rPr>
          <w:rStyle w:val="Bodytext1"/>
          <w:lang w:val="en-US" w:eastAsia="en-US" w:bidi="en-US"/>
        </w:rPr>
        <w:t xml:space="preserve">dohoda mezi </w:t>
      </w:r>
      <w:r>
        <w:rPr>
          <w:rStyle w:val="Bodytext1"/>
        </w:rPr>
        <w:t xml:space="preserve">Příjemcem </w:t>
      </w:r>
      <w:r>
        <w:rPr>
          <w:rStyle w:val="Bodytext1"/>
          <w:lang w:val="en-US" w:eastAsia="en-US" w:bidi="en-US"/>
        </w:rPr>
        <w:t xml:space="preserve">a Distributorem bude zcela </w:t>
      </w:r>
      <w:r>
        <w:rPr>
          <w:rStyle w:val="Bodytext1"/>
        </w:rPr>
        <w:t xml:space="preserve">nezávislá </w:t>
      </w:r>
      <w:r>
        <w:rPr>
          <w:rStyle w:val="Bodytext1"/>
          <w:lang w:val="en-US" w:eastAsia="en-US" w:bidi="en-US"/>
        </w:rPr>
        <w:t xml:space="preserve">na </w:t>
      </w:r>
      <w:r>
        <w:rPr>
          <w:rStyle w:val="Bodytext1"/>
        </w:rPr>
        <w:t xml:space="preserve">této Smlouvě </w:t>
      </w:r>
      <w:r>
        <w:rPr>
          <w:rStyle w:val="Bodytext1"/>
          <w:lang w:val="en-US" w:eastAsia="en-US" w:bidi="en-US"/>
        </w:rPr>
        <w:t xml:space="preserve">a </w:t>
      </w:r>
      <w:r>
        <w:rPr>
          <w:rStyle w:val="Bodytext1"/>
        </w:rPr>
        <w:t>jejích ustanoveních.</w:t>
      </w:r>
    </w:p>
    <w:p w:rsidR="00740046" w:rsidRDefault="00F53D2D">
      <w:pPr>
        <w:pStyle w:val="Bodytext10"/>
        <w:numPr>
          <w:ilvl w:val="0"/>
          <w:numId w:val="3"/>
        </w:numPr>
        <w:tabs>
          <w:tab w:val="left" w:pos="365"/>
          <w:tab w:val="left" w:pos="1906"/>
          <w:tab w:val="left" w:pos="3624"/>
        </w:tabs>
        <w:spacing w:after="0"/>
        <w:ind w:left="360" w:hanging="360"/>
        <w:jc w:val="both"/>
      </w:pPr>
      <w:r>
        <w:rPr>
          <w:rStyle w:val="Bodytext1"/>
          <w:lang w:val="en-US" w:eastAsia="en-US" w:bidi="en-US"/>
        </w:rPr>
        <w:t xml:space="preserve">Za </w:t>
      </w:r>
      <w:r>
        <w:rPr>
          <w:rStyle w:val="Bodytext1"/>
        </w:rPr>
        <w:t xml:space="preserve">nákup Přípravků </w:t>
      </w:r>
      <w:r>
        <w:rPr>
          <w:rStyle w:val="Bodytext1"/>
          <w:lang w:val="en-US" w:eastAsia="en-US" w:bidi="en-US"/>
        </w:rPr>
        <w:t xml:space="preserve">se </w:t>
      </w:r>
      <w:r>
        <w:rPr>
          <w:rStyle w:val="Bodytext1"/>
        </w:rPr>
        <w:t xml:space="preserve">společnost </w:t>
      </w:r>
      <w:r>
        <w:rPr>
          <w:rStyle w:val="Bodytext1"/>
          <w:lang w:val="en-US" w:eastAsia="en-US" w:bidi="en-US"/>
        </w:rPr>
        <w:t xml:space="preserve">Accord zavazuje poskytovat </w:t>
      </w:r>
      <w:r>
        <w:rPr>
          <w:rStyle w:val="Bodytext1"/>
        </w:rPr>
        <w:t xml:space="preserve">Příjemci finanční </w:t>
      </w:r>
      <w:r>
        <w:rPr>
          <w:rStyle w:val="Bodytext1"/>
          <w:lang w:val="en-US" w:eastAsia="en-US" w:bidi="en-US"/>
        </w:rPr>
        <w:t xml:space="preserve">bonusy </w:t>
      </w:r>
      <w:r>
        <w:rPr>
          <w:rStyle w:val="Bodytext1"/>
        </w:rPr>
        <w:t xml:space="preserve">[dále </w:t>
      </w:r>
      <w:r>
        <w:rPr>
          <w:rStyle w:val="Bodytext1"/>
          <w:lang w:val="en-US" w:eastAsia="en-US" w:bidi="en-US"/>
        </w:rPr>
        <w:t xml:space="preserve">jen: </w:t>
      </w:r>
      <w:r>
        <w:rPr>
          <w:rStyle w:val="Bodytext1"/>
          <w:b/>
          <w:bCs/>
          <w:lang w:val="en-US" w:eastAsia="en-US" w:bidi="en-US"/>
        </w:rPr>
        <w:t>Bonus</w:t>
      </w:r>
      <w:r>
        <w:rPr>
          <w:rStyle w:val="Bodytext1"/>
          <w:lang w:val="en-US" w:eastAsia="en-US" w:bidi="en-US"/>
        </w:rPr>
        <w:t xml:space="preserve">], pokud </w:t>
      </w:r>
      <w:r>
        <w:rPr>
          <w:rStyle w:val="Bodytext1"/>
        </w:rPr>
        <w:t>souhrnné</w:t>
      </w:r>
      <w:r>
        <w:rPr>
          <w:rStyle w:val="Bodytext1"/>
        </w:rPr>
        <w:t xml:space="preserve"> nákupy </w:t>
      </w:r>
      <w:r>
        <w:rPr>
          <w:rStyle w:val="Bodytext1"/>
          <w:lang w:val="en-US" w:eastAsia="en-US" w:bidi="en-US"/>
        </w:rPr>
        <w:t xml:space="preserve">ze strany </w:t>
      </w:r>
      <w:r>
        <w:rPr>
          <w:rStyle w:val="Bodytext1"/>
        </w:rPr>
        <w:t xml:space="preserve">Příjemce </w:t>
      </w:r>
      <w:r>
        <w:rPr>
          <w:rStyle w:val="Bodytext1"/>
          <w:lang w:val="en-US" w:eastAsia="en-US" w:bidi="en-US"/>
        </w:rPr>
        <w:t xml:space="preserve">od Distributora </w:t>
      </w:r>
      <w:r>
        <w:rPr>
          <w:rStyle w:val="Bodytext1"/>
        </w:rPr>
        <w:t>dosáhnou</w:t>
      </w:r>
      <w:r>
        <w:rPr>
          <w:rStyle w:val="Bodytext1"/>
        </w:rPr>
        <w:tab/>
        <w:t>ujednaného</w:t>
      </w:r>
      <w:r>
        <w:rPr>
          <w:rStyle w:val="Bodytext1"/>
        </w:rPr>
        <w:tab/>
      </w:r>
      <w:r>
        <w:rPr>
          <w:rStyle w:val="Bodytext1"/>
          <w:lang w:val="en-US" w:eastAsia="en-US" w:bidi="en-US"/>
        </w:rPr>
        <w:t>objemu</w:t>
      </w:r>
    </w:p>
    <w:p w:rsidR="00740046" w:rsidRDefault="00F53D2D">
      <w:pPr>
        <w:pStyle w:val="Bodytext10"/>
        <w:tabs>
          <w:tab w:val="left" w:pos="1642"/>
          <w:tab w:val="left" w:pos="2611"/>
        </w:tabs>
        <w:spacing w:after="0"/>
        <w:ind w:left="360"/>
        <w:jc w:val="both"/>
      </w:pPr>
      <w:r>
        <w:rPr>
          <w:rStyle w:val="Bodytext1"/>
          <w:lang w:val="en-US" w:eastAsia="en-US" w:bidi="en-US"/>
        </w:rPr>
        <w:t xml:space="preserve">v </w:t>
      </w:r>
      <w:r>
        <w:rPr>
          <w:rStyle w:val="Bodytext1"/>
        </w:rPr>
        <w:t xml:space="preserve">dohodnutém zúčtovacím období, </w:t>
      </w:r>
      <w:r>
        <w:rPr>
          <w:rStyle w:val="Bodytext1"/>
          <w:lang w:val="en-US" w:eastAsia="en-US" w:bidi="en-US"/>
        </w:rPr>
        <w:t xml:space="preserve">jak je </w:t>
      </w:r>
      <w:r>
        <w:rPr>
          <w:rStyle w:val="Bodytext1"/>
        </w:rPr>
        <w:t>specifikován</w:t>
      </w:r>
      <w:r>
        <w:rPr>
          <w:rStyle w:val="Bodytext1"/>
        </w:rPr>
        <w:tab/>
      </w:r>
      <w:r>
        <w:rPr>
          <w:rStyle w:val="Bodytext1"/>
          <w:lang w:val="en-US" w:eastAsia="en-US" w:bidi="en-US"/>
        </w:rPr>
        <w:t xml:space="preserve">v </w:t>
      </w:r>
      <w:r>
        <w:rPr>
          <w:rStyle w:val="Bodytext1"/>
        </w:rPr>
        <w:t>Příloze</w:t>
      </w:r>
      <w:r>
        <w:rPr>
          <w:rStyle w:val="Bodytext1"/>
        </w:rPr>
        <w:tab/>
        <w:t xml:space="preserve">č. </w:t>
      </w:r>
      <w:r>
        <w:rPr>
          <w:rStyle w:val="Bodytext1"/>
          <w:lang w:val="en-US" w:eastAsia="en-US" w:bidi="en-US"/>
        </w:rPr>
        <w:t xml:space="preserve">2 </w:t>
      </w:r>
      <w:r>
        <w:rPr>
          <w:rStyle w:val="Bodytext1"/>
        </w:rPr>
        <w:t xml:space="preserve">[dále </w:t>
      </w:r>
      <w:r>
        <w:rPr>
          <w:rStyle w:val="Bodytext1"/>
          <w:lang w:val="en-US" w:eastAsia="en-US" w:bidi="en-US"/>
        </w:rPr>
        <w:t>jen:</w:t>
      </w:r>
    </w:p>
    <w:p w:rsidR="00740046" w:rsidRDefault="00F53D2D">
      <w:pPr>
        <w:pStyle w:val="Bodytext10"/>
        <w:ind w:left="360"/>
        <w:jc w:val="both"/>
      </w:pPr>
      <w:r>
        <w:rPr>
          <w:rStyle w:val="Bodytext1"/>
          <w:b/>
          <w:bCs/>
        </w:rPr>
        <w:t xml:space="preserve">Prahová </w:t>
      </w:r>
      <w:r>
        <w:rPr>
          <w:rStyle w:val="Bodytext1"/>
          <w:b/>
          <w:bCs/>
          <w:lang w:val="en-US" w:eastAsia="en-US" w:bidi="en-US"/>
        </w:rPr>
        <w:t>hodnota</w:t>
      </w:r>
      <w:r>
        <w:rPr>
          <w:rStyle w:val="Bodytext1"/>
          <w:lang w:val="en-US" w:eastAsia="en-US" w:bidi="en-US"/>
        </w:rPr>
        <w:t>].</w:t>
      </w:r>
    </w:p>
    <w:p w:rsidR="00740046" w:rsidRDefault="00F53D2D">
      <w:pPr>
        <w:pStyle w:val="Bodytext10"/>
        <w:numPr>
          <w:ilvl w:val="0"/>
          <w:numId w:val="3"/>
        </w:numPr>
        <w:tabs>
          <w:tab w:val="left" w:pos="365"/>
        </w:tabs>
        <w:spacing w:after="0"/>
        <w:ind w:left="360" w:hanging="360"/>
        <w:jc w:val="both"/>
        <w:sectPr w:rsidR="00740046">
          <w:footerReference w:type="even" r:id="rId7"/>
          <w:footerReference w:type="default" r:id="rId8"/>
          <w:pgSz w:w="11900" w:h="16840"/>
          <w:pgMar w:top="1402" w:right="1492" w:bottom="1337" w:left="1494" w:header="974" w:footer="3" w:gutter="0"/>
          <w:pgNumType w:start="1"/>
          <w:cols w:num="2" w:space="151"/>
          <w:noEndnote/>
          <w:docGrid w:linePitch="360"/>
        </w:sectPr>
      </w:pPr>
      <w:r>
        <w:rPr>
          <w:rStyle w:val="Bodytext1"/>
        </w:rPr>
        <w:t xml:space="preserve">Smluvní </w:t>
      </w:r>
      <w:r>
        <w:rPr>
          <w:rStyle w:val="Bodytext1"/>
          <w:lang w:val="en-US" w:eastAsia="en-US" w:bidi="en-US"/>
        </w:rPr>
        <w:t xml:space="preserve">strany </w:t>
      </w:r>
      <w:r>
        <w:rPr>
          <w:rStyle w:val="Bodytext1"/>
        </w:rPr>
        <w:t xml:space="preserve">ujednávají, že zúčtovacím obdobím </w:t>
      </w:r>
      <w:r>
        <w:rPr>
          <w:rStyle w:val="Bodytext1"/>
          <w:lang w:val="en-US" w:eastAsia="en-US" w:bidi="en-US"/>
        </w:rPr>
        <w:t xml:space="preserve">je </w:t>
      </w:r>
      <w:r>
        <w:rPr>
          <w:rStyle w:val="Bodytext1"/>
        </w:rPr>
        <w:t xml:space="preserve">zúčtovací období </w:t>
      </w:r>
      <w:r>
        <w:rPr>
          <w:rStyle w:val="Bodytext1"/>
          <w:lang w:val="en-US" w:eastAsia="en-US" w:bidi="en-US"/>
        </w:rPr>
        <w:t xml:space="preserve">pro </w:t>
      </w:r>
      <w:r>
        <w:rPr>
          <w:rStyle w:val="Bodytext1"/>
        </w:rPr>
        <w:t xml:space="preserve">výpočet </w:t>
      </w:r>
      <w:r>
        <w:rPr>
          <w:rStyle w:val="Bodytext1"/>
          <w:lang w:val="en-US" w:eastAsia="en-US" w:bidi="en-US"/>
        </w:rPr>
        <w:t xml:space="preserve">Bonusu, jak je uvedeno v </w:t>
      </w:r>
      <w:r>
        <w:rPr>
          <w:rStyle w:val="Bodytext1"/>
        </w:rPr>
        <w:t xml:space="preserve">Příloze č. </w:t>
      </w:r>
      <w:r>
        <w:rPr>
          <w:rStyle w:val="Bodytext1"/>
          <w:lang w:val="en-US" w:eastAsia="en-US" w:bidi="en-US"/>
        </w:rPr>
        <w:t xml:space="preserve">2 </w:t>
      </w:r>
      <w:r>
        <w:rPr>
          <w:rStyle w:val="Bodytext1"/>
        </w:rPr>
        <w:t xml:space="preserve">[dále </w:t>
      </w:r>
      <w:r>
        <w:rPr>
          <w:rStyle w:val="Bodytext1"/>
          <w:lang w:val="en-US" w:eastAsia="en-US" w:bidi="en-US"/>
        </w:rPr>
        <w:t xml:space="preserve">jen: </w:t>
      </w:r>
      <w:r>
        <w:rPr>
          <w:rStyle w:val="Bodytext1"/>
          <w:b/>
          <w:bCs/>
        </w:rPr>
        <w:t>Zúčtovací období</w:t>
      </w:r>
      <w:r>
        <w:rPr>
          <w:rStyle w:val="Bodytext1"/>
        </w:rPr>
        <w:t>].</w:t>
      </w:r>
    </w:p>
    <w:p w:rsidR="00740046" w:rsidRDefault="00740046">
      <w:pPr>
        <w:spacing w:before="12" w:after="12" w:line="240" w:lineRule="exact"/>
        <w:rPr>
          <w:sz w:val="19"/>
          <w:szCs w:val="19"/>
        </w:rPr>
      </w:pPr>
    </w:p>
    <w:p w:rsidR="00740046" w:rsidRDefault="00740046">
      <w:pPr>
        <w:spacing w:line="1" w:lineRule="exact"/>
        <w:sectPr w:rsidR="00740046">
          <w:type w:val="continuous"/>
          <w:pgSz w:w="11900" w:h="16840"/>
          <w:pgMar w:top="1407" w:right="0" w:bottom="1360" w:left="0" w:header="0" w:footer="3" w:gutter="0"/>
          <w:cols w:space="720"/>
          <w:noEndnote/>
          <w:docGrid w:linePitch="360"/>
        </w:sectPr>
      </w:pPr>
    </w:p>
    <w:p w:rsidR="00740046" w:rsidRDefault="00F53D2D">
      <w:pPr>
        <w:pStyle w:val="Heading310"/>
        <w:keepNext/>
        <w:keepLines/>
        <w:spacing w:after="0"/>
      </w:pPr>
      <w:bookmarkStart w:id="6" w:name="bookmark14"/>
      <w:r>
        <w:rPr>
          <w:rStyle w:val="Heading31"/>
          <w:b/>
          <w:bCs/>
        </w:rPr>
        <w:t>§ 2</w:t>
      </w:r>
      <w:bookmarkEnd w:id="6"/>
    </w:p>
    <w:p w:rsidR="00740046" w:rsidRDefault="00F53D2D">
      <w:pPr>
        <w:pStyle w:val="Heading310"/>
        <w:keepNext/>
        <w:keepLines/>
      </w:pPr>
      <w:r>
        <w:rPr>
          <w:rStyle w:val="Heading31"/>
          <w:b/>
          <w:bCs/>
        </w:rPr>
        <w:t xml:space="preserve">Terms </w:t>
      </w:r>
      <w:r>
        <w:rPr>
          <w:rStyle w:val="Heading31"/>
          <w:b/>
          <w:bCs/>
        </w:rPr>
        <w:t>&amp; conditions</w:t>
      </w:r>
    </w:p>
    <w:p w:rsidR="00740046" w:rsidRDefault="00F53D2D">
      <w:pPr>
        <w:pStyle w:val="Bodytext10"/>
        <w:numPr>
          <w:ilvl w:val="0"/>
          <w:numId w:val="4"/>
        </w:numPr>
        <w:tabs>
          <w:tab w:val="left" w:pos="336"/>
        </w:tabs>
        <w:ind w:left="360" w:hanging="360"/>
        <w:jc w:val="both"/>
      </w:pPr>
      <w:r>
        <w:rPr>
          <w:rStyle w:val="Bodytext1"/>
        </w:rPr>
        <w:t>The amount of the Bonus is based on the levels achieved by the cumulative purchases of Products from all Distributors in the given Settlement Period as specified in the Appendix No. 2. (i.e. the Bonus ranges).</w:t>
      </w:r>
    </w:p>
    <w:p w:rsidR="00740046" w:rsidRDefault="00F53D2D">
      <w:pPr>
        <w:pStyle w:val="Bodytext10"/>
        <w:numPr>
          <w:ilvl w:val="0"/>
          <w:numId w:val="4"/>
        </w:numPr>
        <w:tabs>
          <w:tab w:val="left" w:pos="336"/>
        </w:tabs>
        <w:ind w:left="360" w:hanging="360"/>
        <w:jc w:val="both"/>
      </w:pPr>
      <w:r>
        <w:rPr>
          <w:rStyle w:val="Bodytext1"/>
        </w:rPr>
        <w:t>The particular levels and amounts</w:t>
      </w:r>
      <w:r>
        <w:rPr>
          <w:rStyle w:val="Bodytext1"/>
        </w:rPr>
        <w:t xml:space="preserve"> of the Bonus related with achievement of particular level of purchases (i.e. the Bonus ranges) is presented in the Appendix No. 2 hereto.</w:t>
      </w:r>
    </w:p>
    <w:p w:rsidR="00740046" w:rsidRDefault="00F53D2D">
      <w:pPr>
        <w:pStyle w:val="Bodytext10"/>
        <w:numPr>
          <w:ilvl w:val="0"/>
          <w:numId w:val="4"/>
        </w:numPr>
        <w:tabs>
          <w:tab w:val="left" w:pos="336"/>
        </w:tabs>
        <w:ind w:left="360" w:hanging="360"/>
        <w:jc w:val="both"/>
      </w:pPr>
      <w:r>
        <w:rPr>
          <w:rStyle w:val="Bodytext1"/>
        </w:rPr>
        <w:t>Achievement of a higher level</w:t>
      </w:r>
      <w:r>
        <w:rPr>
          <w:rStyle w:val="Bodytext1"/>
          <w:lang w:val="en-US" w:eastAsia="en-US" w:bidi="en-US"/>
        </w:rPr>
        <w:t>I of purchases entitles the Recipient to receive higher Bonus.</w:t>
      </w:r>
    </w:p>
    <w:p w:rsidR="00740046" w:rsidRDefault="00F53D2D">
      <w:pPr>
        <w:pStyle w:val="Bodytext10"/>
        <w:numPr>
          <w:ilvl w:val="0"/>
          <w:numId w:val="4"/>
        </w:numPr>
        <w:tabs>
          <w:tab w:val="left" w:pos="336"/>
        </w:tabs>
        <w:ind w:left="360" w:hanging="360"/>
        <w:jc w:val="both"/>
      </w:pPr>
      <w:r>
        <w:rPr>
          <w:rStyle w:val="Bodytext1"/>
          <w:lang w:val="en-US" w:eastAsia="en-US" w:bidi="en-US"/>
        </w:rPr>
        <w:t>For each Settlement Perio</w:t>
      </w:r>
      <w:r>
        <w:rPr>
          <w:rStyle w:val="Bodytext1"/>
          <w:lang w:val="en-US" w:eastAsia="en-US" w:bidi="en-US"/>
        </w:rPr>
        <w:t>d, provided the Threshold is achieved, the amount of the Bonus is calculated based on the formula presented in the Appendix No. 2 to the Agreement.</w:t>
      </w:r>
    </w:p>
    <w:p w:rsidR="00740046" w:rsidRDefault="00F53D2D">
      <w:pPr>
        <w:pStyle w:val="Bodytext10"/>
        <w:numPr>
          <w:ilvl w:val="0"/>
          <w:numId w:val="4"/>
        </w:numPr>
        <w:tabs>
          <w:tab w:val="left" w:pos="336"/>
          <w:tab w:val="left" w:pos="2443"/>
          <w:tab w:val="left" w:pos="3198"/>
        </w:tabs>
        <w:spacing w:after="0"/>
        <w:ind w:left="360" w:hanging="360"/>
        <w:jc w:val="both"/>
      </w:pPr>
      <w:r>
        <w:rPr>
          <w:rStyle w:val="Bodytext1"/>
          <w:lang w:val="en-US" w:eastAsia="en-US" w:bidi="en-US"/>
        </w:rPr>
        <w:t>Within five calendar days after the elapsing of the Settlement Period, the Recipient shallI send to the</w:t>
      </w:r>
      <w:r>
        <w:rPr>
          <w:rStyle w:val="Bodytext1"/>
          <w:lang w:val="en-US" w:eastAsia="en-US" w:bidi="en-US"/>
        </w:rPr>
        <w:tab/>
        <w:t>e-ma</w:t>
      </w:r>
      <w:r>
        <w:rPr>
          <w:rStyle w:val="Bodytext1"/>
          <w:lang w:val="en-US" w:eastAsia="en-US" w:bidi="en-US"/>
        </w:rPr>
        <w:t>ilI</w:t>
      </w:r>
      <w:r>
        <w:rPr>
          <w:rStyle w:val="Bodytext1"/>
          <w:lang w:val="en-US" w:eastAsia="en-US" w:bidi="en-US"/>
        </w:rPr>
        <w:tab/>
        <w:t>address as</w:t>
      </w:r>
    </w:p>
    <w:p w:rsidR="00740046" w:rsidRDefault="00F53D2D">
      <w:pPr>
        <w:pStyle w:val="Bodytext10"/>
        <w:tabs>
          <w:tab w:val="left" w:pos="2167"/>
        </w:tabs>
        <w:spacing w:after="0"/>
        <w:ind w:left="420"/>
        <w:jc w:val="both"/>
      </w:pPr>
      <w:r>
        <w:rPr>
          <w:rStyle w:val="Bodytext1"/>
          <w:lang w:val="en-US" w:eastAsia="en-US" w:bidi="en-US"/>
        </w:rPr>
        <w:t>specified in Appendix No. 4, a summary overview of the</w:t>
      </w:r>
      <w:r>
        <w:rPr>
          <w:rStyle w:val="Bodytext1"/>
          <w:lang w:val="en-US" w:eastAsia="en-US" w:bidi="en-US"/>
        </w:rPr>
        <w:tab/>
        <w:t>Productt purchases as</w:t>
      </w:r>
    </w:p>
    <w:p w:rsidR="00740046" w:rsidRDefault="00F53D2D">
      <w:pPr>
        <w:pStyle w:val="Bodytext10"/>
        <w:spacing w:after="0" w:line="0" w:lineRule="atLeast"/>
        <w:ind w:left="4300" w:hanging="3880"/>
        <w:jc w:val="both"/>
      </w:pPr>
      <w:r>
        <w:rPr>
          <w:rStyle w:val="Bodytext1"/>
          <w:lang w:val="en-US" w:eastAsia="en-US" w:bidi="en-US"/>
        </w:rPr>
        <w:t>carried out during the relevantt Settlement t</w:t>
      </w:r>
    </w:p>
    <w:p w:rsidR="00740046" w:rsidRDefault="00F53D2D">
      <w:pPr>
        <w:pStyle w:val="Bodytext10"/>
        <w:tabs>
          <w:tab w:val="left" w:pos="3631"/>
        </w:tabs>
        <w:spacing w:after="0"/>
        <w:ind w:left="420"/>
        <w:jc w:val="both"/>
      </w:pPr>
      <w:r>
        <w:rPr>
          <w:rStyle w:val="Bodytext1"/>
          <w:lang w:val="en-US" w:eastAsia="en-US" w:bidi="en-US"/>
        </w:rPr>
        <w:t>Period, which shallI encompass as a minimum the following data:</w:t>
      </w:r>
      <w:r>
        <w:rPr>
          <w:rStyle w:val="Bodytext1"/>
          <w:lang w:val="en-US" w:eastAsia="en-US" w:bidi="en-US"/>
        </w:rPr>
        <w:tab/>
        <w:t>product</w:t>
      </w:r>
    </w:p>
    <w:p w:rsidR="00740046" w:rsidRDefault="00F53D2D">
      <w:pPr>
        <w:pStyle w:val="Bodytext10"/>
        <w:spacing w:after="0" w:line="180" w:lineRule="auto"/>
        <w:jc w:val="right"/>
      </w:pPr>
      <w:r>
        <w:rPr>
          <w:rStyle w:val="Bodytext1"/>
          <w:lang w:val="en-US" w:eastAsia="en-US" w:bidi="en-US"/>
        </w:rPr>
        <w:t>t</w:t>
      </w:r>
    </w:p>
    <w:p w:rsidR="00740046" w:rsidRDefault="00F53D2D">
      <w:pPr>
        <w:pStyle w:val="Bodytext10"/>
        <w:ind w:left="420"/>
        <w:jc w:val="both"/>
      </w:pPr>
      <w:r>
        <w:rPr>
          <w:rStyle w:val="Bodytext1"/>
          <w:lang w:val="en-US" w:eastAsia="en-US" w:bidi="en-US"/>
        </w:rPr>
        <w:t xml:space="preserve">name, SUKL code, purchased units and </w:t>
      </w:r>
      <w:r>
        <w:rPr>
          <w:rStyle w:val="Bodytext1"/>
          <w:lang w:val="en-US" w:eastAsia="en-US" w:bidi="en-US"/>
        </w:rPr>
        <w:t>purchasing price. The data may only</w:t>
      </w:r>
    </w:p>
    <w:p w:rsidR="00740046" w:rsidRDefault="00F53D2D">
      <w:pPr>
        <w:pStyle w:val="Heading310"/>
        <w:keepNext/>
        <w:keepLines/>
      </w:pPr>
      <w:bookmarkStart w:id="7" w:name="bookmark17"/>
      <w:r>
        <w:rPr>
          <w:rStyle w:val="Heading31"/>
          <w:b/>
          <w:bCs/>
          <w:lang w:val="en-US" w:eastAsia="en-US" w:bidi="en-US"/>
        </w:rPr>
        <w:t>§ 2</w:t>
      </w:r>
      <w:r>
        <w:rPr>
          <w:rStyle w:val="Heading31"/>
          <w:b/>
          <w:bCs/>
          <w:lang w:val="en-US" w:eastAsia="en-US" w:bidi="en-US"/>
        </w:rPr>
        <w:br/>
      </w:r>
      <w:r>
        <w:rPr>
          <w:rStyle w:val="Heading31"/>
          <w:b/>
          <w:bCs/>
        </w:rPr>
        <w:t>Podmínky</w:t>
      </w:r>
      <w:bookmarkEnd w:id="7"/>
    </w:p>
    <w:p w:rsidR="00740046" w:rsidRDefault="00F53D2D">
      <w:pPr>
        <w:pStyle w:val="Bodytext10"/>
        <w:numPr>
          <w:ilvl w:val="0"/>
          <w:numId w:val="5"/>
        </w:numPr>
        <w:tabs>
          <w:tab w:val="left" w:pos="341"/>
        </w:tabs>
        <w:ind w:left="340" w:hanging="340"/>
        <w:jc w:val="both"/>
      </w:pPr>
      <w:r>
        <w:rPr>
          <w:rStyle w:val="Bodytext1"/>
        </w:rPr>
        <w:t xml:space="preserve">Výše </w:t>
      </w:r>
      <w:r>
        <w:rPr>
          <w:rStyle w:val="Bodytext1"/>
          <w:lang w:val="en-US" w:eastAsia="en-US" w:bidi="en-US"/>
        </w:rPr>
        <w:t xml:space="preserve">Bonusu </w:t>
      </w:r>
      <w:r>
        <w:rPr>
          <w:rStyle w:val="Bodytext1"/>
        </w:rPr>
        <w:t xml:space="preserve">vychází </w:t>
      </w:r>
      <w:r>
        <w:rPr>
          <w:rStyle w:val="Bodytext1"/>
          <w:lang w:val="en-US" w:eastAsia="en-US" w:bidi="en-US"/>
        </w:rPr>
        <w:t xml:space="preserve">z </w:t>
      </w:r>
      <w:r>
        <w:rPr>
          <w:rStyle w:val="Bodytext1"/>
        </w:rPr>
        <w:t xml:space="preserve">úrovně dosažené </w:t>
      </w:r>
      <w:r>
        <w:rPr>
          <w:rStyle w:val="Bodytext1"/>
        </w:rPr>
        <w:t xml:space="preserve">souhrnnými nákupy Přípravků </w:t>
      </w:r>
      <w:r>
        <w:rPr>
          <w:rStyle w:val="Bodytext1"/>
          <w:lang w:val="en-US" w:eastAsia="en-US" w:bidi="en-US"/>
        </w:rPr>
        <w:t xml:space="preserve">od </w:t>
      </w:r>
      <w:r>
        <w:rPr>
          <w:rStyle w:val="Bodytext1"/>
        </w:rPr>
        <w:t xml:space="preserve">všech Distributorů </w:t>
      </w:r>
      <w:r>
        <w:rPr>
          <w:rStyle w:val="Bodytext1"/>
          <w:lang w:val="en-US" w:eastAsia="en-US" w:bidi="en-US"/>
        </w:rPr>
        <w:t xml:space="preserve">v </w:t>
      </w:r>
      <w:r>
        <w:rPr>
          <w:rStyle w:val="Bodytext1"/>
        </w:rPr>
        <w:t xml:space="preserve">daném Zúčtovacím období, </w:t>
      </w:r>
      <w:r>
        <w:rPr>
          <w:rStyle w:val="Bodytext1"/>
          <w:lang w:val="en-US" w:eastAsia="en-US" w:bidi="en-US"/>
        </w:rPr>
        <w:t xml:space="preserve">jak je uvedeno v </w:t>
      </w:r>
      <w:r>
        <w:rPr>
          <w:rStyle w:val="Bodytext1"/>
        </w:rPr>
        <w:t xml:space="preserve">Příloze č. </w:t>
      </w:r>
      <w:r>
        <w:rPr>
          <w:rStyle w:val="Bodytext1"/>
          <w:lang w:val="en-US" w:eastAsia="en-US" w:bidi="en-US"/>
        </w:rPr>
        <w:t xml:space="preserve">2 (tj. </w:t>
      </w:r>
      <w:r>
        <w:rPr>
          <w:rStyle w:val="Bodytext1"/>
        </w:rPr>
        <w:t>Bonusová rozmezí).</w:t>
      </w:r>
    </w:p>
    <w:p w:rsidR="00740046" w:rsidRDefault="00F53D2D">
      <w:pPr>
        <w:pStyle w:val="Bodytext10"/>
        <w:numPr>
          <w:ilvl w:val="0"/>
          <w:numId w:val="5"/>
        </w:numPr>
        <w:tabs>
          <w:tab w:val="left" w:pos="341"/>
        </w:tabs>
        <w:spacing w:after="420"/>
        <w:ind w:left="420" w:hanging="420"/>
        <w:jc w:val="both"/>
      </w:pPr>
      <w:r>
        <w:rPr>
          <w:rStyle w:val="Bodytext1"/>
        </w:rPr>
        <w:t xml:space="preserve">Konkrétní úrovně </w:t>
      </w:r>
      <w:r>
        <w:rPr>
          <w:rStyle w:val="Bodytext1"/>
          <w:lang w:val="en-US" w:eastAsia="en-US" w:bidi="en-US"/>
        </w:rPr>
        <w:t xml:space="preserve">a </w:t>
      </w:r>
      <w:r>
        <w:rPr>
          <w:rStyle w:val="Bodytext1"/>
        </w:rPr>
        <w:t xml:space="preserve">výše </w:t>
      </w:r>
      <w:r>
        <w:rPr>
          <w:rStyle w:val="Bodytext1"/>
          <w:lang w:val="en-US" w:eastAsia="en-US" w:bidi="en-US"/>
        </w:rPr>
        <w:t xml:space="preserve">Bonusu </w:t>
      </w:r>
      <w:r>
        <w:rPr>
          <w:rStyle w:val="Bodytext1"/>
        </w:rPr>
        <w:t>spojené</w:t>
      </w:r>
      <w:r>
        <w:rPr>
          <w:rStyle w:val="Bodytext1"/>
        </w:rPr>
        <w:t xml:space="preserve">ho </w:t>
      </w:r>
      <w:r>
        <w:rPr>
          <w:rStyle w:val="Bodytext1"/>
          <w:lang w:val="en-US" w:eastAsia="en-US" w:bidi="en-US"/>
        </w:rPr>
        <w:t xml:space="preserve">s </w:t>
      </w:r>
      <w:r>
        <w:rPr>
          <w:rStyle w:val="Bodytext1"/>
        </w:rPr>
        <w:t xml:space="preserve">dosažením konkrétním úrovně nákupu </w:t>
      </w:r>
      <w:r>
        <w:rPr>
          <w:rStyle w:val="Bodytext1"/>
          <w:lang w:val="en-US" w:eastAsia="en-US" w:bidi="en-US"/>
        </w:rPr>
        <w:t xml:space="preserve">(tj. </w:t>
      </w:r>
      <w:r>
        <w:rPr>
          <w:rStyle w:val="Bodytext1"/>
        </w:rPr>
        <w:t xml:space="preserve">Bonusová rozmezí) </w:t>
      </w:r>
      <w:r>
        <w:rPr>
          <w:rStyle w:val="Bodytext1"/>
          <w:lang w:val="en-US" w:eastAsia="en-US" w:bidi="en-US"/>
        </w:rPr>
        <w:t xml:space="preserve">jsou uvedeny </w:t>
      </w:r>
      <w:r>
        <w:rPr>
          <w:rStyle w:val="Bodytext1"/>
        </w:rPr>
        <w:t xml:space="preserve">Příloze č. </w:t>
      </w:r>
      <w:r>
        <w:rPr>
          <w:rStyle w:val="Bodytext1"/>
          <w:lang w:val="en-US" w:eastAsia="en-US" w:bidi="en-US"/>
        </w:rPr>
        <w:t xml:space="preserve">2 </w:t>
      </w:r>
      <w:r>
        <w:rPr>
          <w:rStyle w:val="Bodytext1"/>
        </w:rPr>
        <w:t xml:space="preserve">této </w:t>
      </w:r>
      <w:r>
        <w:rPr>
          <w:rStyle w:val="Bodytext1"/>
          <w:lang w:val="en-US" w:eastAsia="en-US" w:bidi="en-US"/>
        </w:rPr>
        <w:t>Smlouvy.</w:t>
      </w:r>
    </w:p>
    <w:p w:rsidR="00740046" w:rsidRDefault="00F53D2D">
      <w:pPr>
        <w:pStyle w:val="Bodytext10"/>
        <w:numPr>
          <w:ilvl w:val="0"/>
          <w:numId w:val="5"/>
        </w:numPr>
        <w:tabs>
          <w:tab w:val="left" w:pos="341"/>
        </w:tabs>
        <w:spacing w:after="420"/>
        <w:ind w:left="420" w:hanging="420"/>
        <w:jc w:val="both"/>
      </w:pPr>
      <w:r>
        <w:rPr>
          <w:rStyle w:val="Bodytext1"/>
        </w:rPr>
        <w:t>Dosažení vyšší</w:t>
      </w:r>
      <w:r>
        <w:rPr>
          <w:rStyle w:val="Bodytext1"/>
          <w:lang w:val="en-US" w:eastAsia="en-US" w:bidi="en-US"/>
        </w:rPr>
        <w:t xml:space="preserve">i </w:t>
      </w:r>
      <w:r>
        <w:rPr>
          <w:rStyle w:val="Bodytext1"/>
        </w:rPr>
        <w:t xml:space="preserve">úrovně odběru opravňuje Příjemce </w:t>
      </w:r>
      <w:r>
        <w:rPr>
          <w:rStyle w:val="Bodytext1"/>
          <w:lang w:val="en-US" w:eastAsia="en-US" w:bidi="en-US"/>
        </w:rPr>
        <w:t xml:space="preserve">k </w:t>
      </w:r>
      <w:r>
        <w:rPr>
          <w:rStyle w:val="Bodytext1"/>
        </w:rPr>
        <w:t xml:space="preserve">získání vyššího </w:t>
      </w:r>
      <w:r>
        <w:rPr>
          <w:rStyle w:val="Bodytext1"/>
          <w:lang w:val="en-US" w:eastAsia="en-US" w:bidi="en-US"/>
        </w:rPr>
        <w:t>Bonusu.</w:t>
      </w:r>
    </w:p>
    <w:p w:rsidR="00740046" w:rsidRDefault="00F53D2D">
      <w:pPr>
        <w:pStyle w:val="Bodytext10"/>
        <w:numPr>
          <w:ilvl w:val="0"/>
          <w:numId w:val="5"/>
        </w:numPr>
        <w:tabs>
          <w:tab w:val="left" w:pos="341"/>
          <w:tab w:val="left" w:pos="1565"/>
          <w:tab w:val="left" w:pos="2712"/>
          <w:tab w:val="left" w:pos="3581"/>
        </w:tabs>
        <w:spacing w:after="0"/>
        <w:jc w:val="both"/>
      </w:pPr>
      <w:r>
        <w:rPr>
          <w:rStyle w:val="Bodytext1"/>
          <w:lang w:val="en-US" w:eastAsia="en-US" w:bidi="en-US"/>
        </w:rPr>
        <w:t xml:space="preserve">Pro </w:t>
      </w:r>
      <w:r>
        <w:rPr>
          <w:rStyle w:val="Bodytext1"/>
        </w:rPr>
        <w:t>každé</w:t>
      </w:r>
      <w:r>
        <w:rPr>
          <w:rStyle w:val="Bodytext1"/>
        </w:rPr>
        <w:tab/>
        <w:t>Zúčtovací</w:t>
      </w:r>
      <w:r>
        <w:rPr>
          <w:rStyle w:val="Bodytext1"/>
          <w:lang w:val="en-US" w:eastAsia="en-US" w:bidi="en-US"/>
        </w:rPr>
        <w:t>i</w:t>
      </w:r>
      <w:r>
        <w:rPr>
          <w:rStyle w:val="Bodytext1"/>
          <w:lang w:val="en-US" w:eastAsia="en-US" w:bidi="en-US"/>
        </w:rPr>
        <w:tab/>
      </w:r>
      <w:r>
        <w:rPr>
          <w:rStyle w:val="Bodytext1"/>
        </w:rPr>
        <w:t>období</w:t>
      </w:r>
      <w:r>
        <w:rPr>
          <w:rStyle w:val="Bodytext1"/>
          <w:lang w:val="en-US" w:eastAsia="en-US" w:bidi="en-US"/>
        </w:rPr>
        <w:t>i</w:t>
      </w:r>
      <w:r>
        <w:rPr>
          <w:rStyle w:val="Bodytext1"/>
          <w:lang w:val="en-US" w:eastAsia="en-US" w:bidi="en-US"/>
        </w:rPr>
        <w:tab/>
        <w:t>je za</w:t>
      </w:r>
    </w:p>
    <w:p w:rsidR="00740046" w:rsidRDefault="00F53D2D">
      <w:pPr>
        <w:pStyle w:val="Bodytext10"/>
        <w:ind w:left="420"/>
        <w:jc w:val="both"/>
      </w:pPr>
      <w:r>
        <w:rPr>
          <w:rStyle w:val="Bodytext1"/>
        </w:rPr>
        <w:t xml:space="preserve">předpokladu dosaženíÍ příslušné Prahové </w:t>
      </w:r>
      <w:r>
        <w:rPr>
          <w:rStyle w:val="Bodytext1"/>
          <w:lang w:val="en-US" w:eastAsia="en-US" w:bidi="en-US"/>
        </w:rPr>
        <w:t xml:space="preserve">hodnoty </w:t>
      </w:r>
      <w:r>
        <w:rPr>
          <w:rStyle w:val="Bodytext1"/>
        </w:rPr>
        <w:t xml:space="preserve">vypočtena výše </w:t>
      </w:r>
      <w:r>
        <w:rPr>
          <w:rStyle w:val="Bodytext1"/>
          <w:lang w:val="en-US" w:eastAsia="en-US" w:bidi="en-US"/>
        </w:rPr>
        <w:t xml:space="preserve">Bonusu s </w:t>
      </w:r>
      <w:r>
        <w:rPr>
          <w:rStyle w:val="Bodytext1"/>
        </w:rPr>
        <w:t xml:space="preserve">použitím </w:t>
      </w:r>
      <w:r>
        <w:rPr>
          <w:rStyle w:val="Bodytext1"/>
          <w:lang w:val="en-US" w:eastAsia="en-US" w:bidi="en-US"/>
        </w:rPr>
        <w:t xml:space="preserve">vzorce </w:t>
      </w:r>
      <w:r>
        <w:rPr>
          <w:rStyle w:val="Bodytext1"/>
        </w:rPr>
        <w:t xml:space="preserve">uvedeného </w:t>
      </w:r>
      <w:r>
        <w:rPr>
          <w:rStyle w:val="Bodytext1"/>
          <w:lang w:val="en-US" w:eastAsia="en-US" w:bidi="en-US"/>
        </w:rPr>
        <w:t xml:space="preserve">v </w:t>
      </w:r>
      <w:r>
        <w:rPr>
          <w:rStyle w:val="Bodytext1"/>
        </w:rPr>
        <w:t xml:space="preserve">Příloze č. </w:t>
      </w:r>
      <w:r>
        <w:rPr>
          <w:rStyle w:val="Bodytext1"/>
          <w:lang w:val="en-US" w:eastAsia="en-US" w:bidi="en-US"/>
        </w:rPr>
        <w:t xml:space="preserve">2 </w:t>
      </w:r>
      <w:r>
        <w:rPr>
          <w:rStyle w:val="Bodytext1"/>
        </w:rPr>
        <w:t xml:space="preserve">této </w:t>
      </w:r>
      <w:r>
        <w:rPr>
          <w:rStyle w:val="Bodytext1"/>
          <w:lang w:val="en-US" w:eastAsia="en-US" w:bidi="en-US"/>
        </w:rPr>
        <w:t>Smlouvy.</w:t>
      </w:r>
    </w:p>
    <w:p w:rsidR="00740046" w:rsidRDefault="00F53D2D">
      <w:pPr>
        <w:pStyle w:val="Bodytext10"/>
        <w:numPr>
          <w:ilvl w:val="0"/>
          <w:numId w:val="5"/>
        </w:numPr>
        <w:tabs>
          <w:tab w:val="left" w:pos="341"/>
          <w:tab w:val="left" w:pos="2712"/>
          <w:tab w:val="left" w:pos="3203"/>
          <w:tab w:val="left" w:pos="3581"/>
        </w:tabs>
        <w:spacing w:after="0"/>
        <w:jc w:val="both"/>
      </w:pPr>
      <w:r>
        <w:rPr>
          <w:rStyle w:val="Bodytext1"/>
          <w:lang w:val="en-US" w:eastAsia="en-US" w:bidi="en-US"/>
        </w:rPr>
        <w:t xml:space="preserve">Do </w:t>
      </w:r>
      <w:r>
        <w:rPr>
          <w:rStyle w:val="Bodytext1"/>
        </w:rPr>
        <w:t>pěti</w:t>
      </w:r>
      <w:r>
        <w:rPr>
          <w:rStyle w:val="Bodytext1"/>
          <w:lang w:val="en-US" w:eastAsia="en-US" w:bidi="en-US"/>
        </w:rPr>
        <w:t xml:space="preserve">i </w:t>
      </w:r>
      <w:r>
        <w:rPr>
          <w:rStyle w:val="Bodytext1"/>
        </w:rPr>
        <w:t>kalendářních</w:t>
      </w:r>
      <w:r>
        <w:rPr>
          <w:rStyle w:val="Bodytext1"/>
        </w:rPr>
        <w:tab/>
        <w:t>dní</w:t>
      </w:r>
      <w:r>
        <w:rPr>
          <w:rStyle w:val="Bodytext1"/>
          <w:lang w:val="en-US" w:eastAsia="en-US" w:bidi="en-US"/>
        </w:rPr>
        <w:t>i</w:t>
      </w:r>
      <w:r>
        <w:rPr>
          <w:rStyle w:val="Bodytext1"/>
          <w:lang w:val="en-US" w:eastAsia="en-US" w:bidi="en-US"/>
        </w:rPr>
        <w:tab/>
        <w:t>po</w:t>
      </w:r>
      <w:r>
        <w:rPr>
          <w:rStyle w:val="Bodytext1"/>
          <w:lang w:val="en-US" w:eastAsia="en-US" w:bidi="en-US"/>
        </w:rPr>
        <w:tab/>
      </w:r>
      <w:r>
        <w:rPr>
          <w:rStyle w:val="Bodytext1"/>
        </w:rPr>
        <w:t>uplynutíÍ</w:t>
      </w:r>
    </w:p>
    <w:p w:rsidR="00740046" w:rsidRDefault="00F53D2D">
      <w:pPr>
        <w:pStyle w:val="Bodytext10"/>
        <w:tabs>
          <w:tab w:val="left" w:pos="3434"/>
        </w:tabs>
        <w:spacing w:after="0"/>
        <w:ind w:left="420"/>
        <w:jc w:val="both"/>
      </w:pPr>
      <w:r>
        <w:rPr>
          <w:rStyle w:val="Bodytext1"/>
        </w:rPr>
        <w:t xml:space="preserve">Zúčtovacího obdobíÍ Příjemce zašle </w:t>
      </w:r>
      <w:r>
        <w:rPr>
          <w:rStyle w:val="Bodytext1"/>
          <w:lang w:val="en-US" w:eastAsia="en-US" w:bidi="en-US"/>
        </w:rPr>
        <w:t xml:space="preserve">na </w:t>
      </w:r>
      <w:r>
        <w:rPr>
          <w:rStyle w:val="Bodytext1"/>
        </w:rPr>
        <w:t>e</w:t>
      </w:r>
      <w:r>
        <w:rPr>
          <w:rStyle w:val="Bodytext1"/>
        </w:rPr>
        <w:softHyphen/>
        <w:t>mailovou</w:t>
      </w:r>
      <w:r>
        <w:rPr>
          <w:rStyle w:val="Bodytext1"/>
          <w:lang w:val="en-US" w:eastAsia="en-US" w:bidi="en-US"/>
        </w:rPr>
        <w:t xml:space="preserve"> adresu uvedenou v </w:t>
      </w:r>
      <w:r>
        <w:rPr>
          <w:rStyle w:val="Bodytext1"/>
        </w:rPr>
        <w:t xml:space="preserve">Příloze č. </w:t>
      </w:r>
      <w:r>
        <w:rPr>
          <w:rStyle w:val="Bodytext1"/>
          <w:lang w:val="en-US" w:eastAsia="en-US" w:bidi="en-US"/>
        </w:rPr>
        <w:t xml:space="preserve">4 </w:t>
      </w:r>
      <w:r>
        <w:rPr>
          <w:rStyle w:val="Bodytext1"/>
        </w:rPr>
        <w:t>souhrnný přehled odběrů</w:t>
      </w:r>
      <w:r>
        <w:rPr>
          <w:rStyle w:val="Bodytext1"/>
        </w:rPr>
        <w:tab/>
        <w:t>Přípravků</w:t>
      </w:r>
    </w:p>
    <w:p w:rsidR="00740046" w:rsidRDefault="00F53D2D">
      <w:pPr>
        <w:pStyle w:val="Bodytext10"/>
        <w:tabs>
          <w:tab w:val="left" w:pos="2148"/>
          <w:tab w:val="left" w:pos="3203"/>
        </w:tabs>
        <w:spacing w:after="0"/>
        <w:ind w:left="420"/>
        <w:jc w:val="both"/>
      </w:pPr>
      <w:r>
        <w:rPr>
          <w:rStyle w:val="Bodytext1"/>
        </w:rPr>
        <w:t>realizovaných</w:t>
      </w:r>
      <w:r>
        <w:rPr>
          <w:rStyle w:val="Bodytext1"/>
        </w:rPr>
        <w:tab/>
        <w:t>b</w:t>
      </w:r>
      <w:r>
        <w:rPr>
          <w:rStyle w:val="Bodytext1"/>
        </w:rPr>
        <w:t>ěhem</w:t>
      </w:r>
      <w:r>
        <w:rPr>
          <w:rStyle w:val="Bodytext1"/>
        </w:rPr>
        <w:tab/>
        <w:t>příslušného</w:t>
      </w:r>
    </w:p>
    <w:p w:rsidR="00740046" w:rsidRDefault="00F53D2D">
      <w:pPr>
        <w:pStyle w:val="Bodytext10"/>
        <w:tabs>
          <w:tab w:val="left" w:pos="3761"/>
        </w:tabs>
        <w:spacing w:after="0"/>
        <w:ind w:left="420"/>
        <w:jc w:val="both"/>
      </w:pPr>
      <w:r>
        <w:rPr>
          <w:rStyle w:val="Bodytext1"/>
        </w:rPr>
        <w:t xml:space="preserve">Zúčtovacího období, který </w:t>
      </w:r>
      <w:r>
        <w:rPr>
          <w:rStyle w:val="Bodytext1"/>
          <w:lang w:val="en-US" w:eastAsia="en-US" w:bidi="en-US"/>
        </w:rPr>
        <w:t xml:space="preserve">bude obsahovatt </w:t>
      </w:r>
      <w:r>
        <w:rPr>
          <w:rStyle w:val="Bodytext1"/>
        </w:rPr>
        <w:t>minimálně následující</w:t>
      </w:r>
      <w:r>
        <w:rPr>
          <w:rStyle w:val="Bodytext1"/>
          <w:lang w:val="en-US" w:eastAsia="en-US" w:bidi="en-US"/>
        </w:rPr>
        <w:t xml:space="preserve">i </w:t>
      </w:r>
      <w:r>
        <w:rPr>
          <w:rStyle w:val="Bodytext1"/>
        </w:rPr>
        <w:t>údaje:</w:t>
      </w:r>
      <w:r>
        <w:rPr>
          <w:rStyle w:val="Bodytext1"/>
        </w:rPr>
        <w:tab/>
        <w:t>název</w:t>
      </w:r>
    </w:p>
    <w:p w:rsidR="00740046" w:rsidRDefault="00F53D2D">
      <w:pPr>
        <w:pStyle w:val="Bodytext10"/>
        <w:ind w:left="420"/>
        <w:jc w:val="both"/>
      </w:pPr>
      <w:r>
        <w:rPr>
          <w:rStyle w:val="Bodytext1"/>
          <w:lang w:val="en-US" w:eastAsia="en-US" w:bidi="en-US"/>
        </w:rPr>
        <w:t xml:space="preserve">produktu, </w:t>
      </w:r>
      <w:r>
        <w:rPr>
          <w:rStyle w:val="Bodytext1"/>
        </w:rPr>
        <w:t xml:space="preserve">kód </w:t>
      </w:r>
      <w:r>
        <w:rPr>
          <w:rStyle w:val="Bodytext1"/>
          <w:lang w:val="en-US" w:eastAsia="en-US" w:bidi="en-US"/>
        </w:rPr>
        <w:t xml:space="preserve">SUKL, </w:t>
      </w:r>
      <w:r>
        <w:rPr>
          <w:rStyle w:val="Bodytext1"/>
        </w:rPr>
        <w:t xml:space="preserve">zakoupené </w:t>
      </w:r>
      <w:r>
        <w:rPr>
          <w:rStyle w:val="Bodytext1"/>
          <w:lang w:val="en-US" w:eastAsia="en-US" w:bidi="en-US"/>
        </w:rPr>
        <w:t xml:space="preserve">jednotky a </w:t>
      </w:r>
      <w:r>
        <w:rPr>
          <w:rStyle w:val="Bodytext1"/>
        </w:rPr>
        <w:t>kupníÍ</w:t>
      </w:r>
      <w:r>
        <w:rPr>
          <w:rStyle w:val="Bodytext1"/>
          <w:lang w:val="en-US" w:eastAsia="en-US" w:bidi="en-US"/>
        </w:rPr>
        <w:t xml:space="preserve">cenu. </w:t>
      </w:r>
      <w:r>
        <w:rPr>
          <w:rStyle w:val="Bodytext1"/>
        </w:rPr>
        <w:t xml:space="preserve">Údaje </w:t>
      </w:r>
      <w:r>
        <w:rPr>
          <w:rStyle w:val="Bodytext1"/>
          <w:lang w:val="en-US" w:eastAsia="en-US" w:bidi="en-US"/>
        </w:rPr>
        <w:t xml:space="preserve">mohou obsahovat pouze informace </w:t>
      </w:r>
      <w:r>
        <w:rPr>
          <w:rStyle w:val="Bodytext1"/>
        </w:rPr>
        <w:t>týkající</w:t>
      </w:r>
      <w:r>
        <w:rPr>
          <w:rStyle w:val="Bodytext1"/>
          <w:lang w:val="en-US" w:eastAsia="en-US" w:bidi="en-US"/>
        </w:rPr>
        <w:t xml:space="preserve">i se </w:t>
      </w:r>
      <w:r>
        <w:rPr>
          <w:rStyle w:val="Bodytext1"/>
        </w:rPr>
        <w:t xml:space="preserve">Produktů, Příjemce include information relating to the </w:t>
      </w:r>
      <w:r>
        <w:rPr>
          <w:rStyle w:val="Bodytext1"/>
        </w:rPr>
        <w:t>Products, in particular the Recipient shall not provide any data on competing products.</w:t>
      </w:r>
    </w:p>
    <w:p w:rsidR="00740046" w:rsidRDefault="00F53D2D">
      <w:pPr>
        <w:pStyle w:val="Bodytext10"/>
        <w:numPr>
          <w:ilvl w:val="0"/>
          <w:numId w:val="5"/>
        </w:numPr>
        <w:tabs>
          <w:tab w:val="left" w:pos="341"/>
          <w:tab w:val="left" w:pos="3672"/>
        </w:tabs>
        <w:spacing w:after="0"/>
        <w:ind w:left="440" w:hanging="440"/>
        <w:jc w:val="both"/>
      </w:pPr>
      <w:r>
        <w:rPr>
          <w:rStyle w:val="Bodytext1"/>
        </w:rPr>
        <w:t>If, in Accord’s opinion, there is a need to clarify any discrepancy arising</w:t>
      </w:r>
      <w:r>
        <w:rPr>
          <w:rStyle w:val="Bodytext1"/>
        </w:rPr>
        <w:tab/>
        <w:t>in the</w:t>
      </w:r>
    </w:p>
    <w:p w:rsidR="00740046" w:rsidRDefault="00F53D2D">
      <w:pPr>
        <w:pStyle w:val="Bodytext10"/>
        <w:ind w:left="440"/>
        <w:jc w:val="both"/>
      </w:pPr>
      <w:r>
        <w:rPr>
          <w:rStyle w:val="Bodytext1"/>
        </w:rPr>
        <w:t xml:space="preserve">performance of this Agreement, Accord may submit a request for clarification to the </w:t>
      </w:r>
      <w:r>
        <w:rPr>
          <w:rStyle w:val="Bodytext1"/>
        </w:rPr>
        <w:lastRenderedPageBreak/>
        <w:t>R</w:t>
      </w:r>
      <w:r>
        <w:rPr>
          <w:rStyle w:val="Bodytext1"/>
        </w:rPr>
        <w:t>ecipient. Any request for clarification will be responded to by the Recipient within five calendar days of Accord’s sending the request.</w:t>
      </w:r>
    </w:p>
    <w:p w:rsidR="00740046" w:rsidRDefault="00F53D2D">
      <w:pPr>
        <w:pStyle w:val="Bodytext10"/>
        <w:numPr>
          <w:ilvl w:val="0"/>
          <w:numId w:val="5"/>
        </w:numPr>
        <w:tabs>
          <w:tab w:val="left" w:pos="341"/>
          <w:tab w:val="left" w:pos="2606"/>
        </w:tabs>
        <w:spacing w:after="0"/>
        <w:ind w:left="440" w:hanging="440"/>
        <w:jc w:val="both"/>
      </w:pPr>
      <w:r>
        <w:rPr>
          <w:rStyle w:val="Bodytext1"/>
        </w:rPr>
        <w:t xml:space="preserve">Accord shall be obliged to notify the Recipient in writing within five calendar days following the delivery thereto of </w:t>
      </w:r>
      <w:r>
        <w:rPr>
          <w:rStyle w:val="Bodytext1"/>
        </w:rPr>
        <w:t>such summary overview whether and in what amount the Recipient has become entitled to receive a Bonus or, on the contrary, that the Recipient is not entitled to receive a Bonus [hereinafter:</w:t>
      </w:r>
      <w:r>
        <w:rPr>
          <w:rStyle w:val="Bodytext1"/>
        </w:rPr>
        <w:tab/>
      </w:r>
      <w:r>
        <w:rPr>
          <w:rStyle w:val="Bodytext1"/>
          <w:b/>
          <w:bCs/>
        </w:rPr>
        <w:t>the Notice on</w:t>
      </w:r>
    </w:p>
    <w:p w:rsidR="00740046" w:rsidRDefault="00F53D2D">
      <w:pPr>
        <w:pStyle w:val="Bodytext10"/>
        <w:ind w:firstLine="440"/>
        <w:jc w:val="both"/>
      </w:pPr>
      <w:r>
        <w:rPr>
          <w:rStyle w:val="Bodytext1"/>
          <w:b/>
          <w:bCs/>
        </w:rPr>
        <w:t>Bonus</w:t>
      </w:r>
      <w:r>
        <w:rPr>
          <w:rStyle w:val="Bodytext1"/>
        </w:rPr>
        <w:t>).</w:t>
      </w:r>
    </w:p>
    <w:p w:rsidR="00740046" w:rsidRDefault="00F53D2D">
      <w:pPr>
        <w:pStyle w:val="Bodytext10"/>
        <w:numPr>
          <w:ilvl w:val="0"/>
          <w:numId w:val="5"/>
        </w:numPr>
        <w:tabs>
          <w:tab w:val="left" w:pos="341"/>
          <w:tab w:val="left" w:pos="1426"/>
          <w:tab w:val="left" w:pos="2194"/>
          <w:tab w:val="left" w:pos="3250"/>
        </w:tabs>
        <w:spacing w:after="0"/>
        <w:ind w:left="440" w:hanging="440"/>
        <w:jc w:val="both"/>
      </w:pPr>
      <w:r>
        <w:rPr>
          <w:rStyle w:val="Bodytext1"/>
        </w:rPr>
        <w:t>The Recipient undertakes to state within th</w:t>
      </w:r>
      <w:r>
        <w:rPr>
          <w:rStyle w:val="Bodytext1"/>
        </w:rPr>
        <w:t xml:space="preserve">ree calendar days following the delivery thereto of the Notice on Bonus whether it agrees to the settlement of the Bonus as contained in the Notice on Bonus or, as the case may be, what is its reason to disagree with the same. Should the Recipient fail to </w:t>
      </w:r>
      <w:r>
        <w:rPr>
          <w:rStyle w:val="Bodytext1"/>
        </w:rPr>
        <w:t>give its statement on this matter within three days following the delivery of the Notice on Bonus, it shall be deemed to consent to such Bonus settlement as contained</w:t>
      </w:r>
      <w:r>
        <w:rPr>
          <w:rStyle w:val="Bodytext1"/>
        </w:rPr>
        <w:tab/>
        <w:t>in the</w:t>
      </w:r>
      <w:r>
        <w:rPr>
          <w:rStyle w:val="Bodytext1"/>
        </w:rPr>
        <w:tab/>
        <w:t>applicable</w:t>
      </w:r>
      <w:r>
        <w:rPr>
          <w:rStyle w:val="Bodytext1"/>
        </w:rPr>
        <w:tab/>
      </w:r>
      <w:r>
        <w:rPr>
          <w:rStyle w:val="Bodytext1"/>
          <w:b/>
          <w:bCs/>
        </w:rPr>
        <w:t>Notice on</w:t>
      </w:r>
    </w:p>
    <w:p w:rsidR="00740046" w:rsidRDefault="00F53D2D">
      <w:pPr>
        <w:pStyle w:val="Bodytext10"/>
        <w:ind w:firstLine="440"/>
        <w:jc w:val="both"/>
      </w:pPr>
      <w:r>
        <w:rPr>
          <w:rStyle w:val="Bodytext1"/>
          <w:b/>
          <w:bCs/>
        </w:rPr>
        <w:t>Bonus.</w:t>
      </w:r>
    </w:p>
    <w:p w:rsidR="00740046" w:rsidRDefault="00F53D2D">
      <w:pPr>
        <w:pStyle w:val="Bodytext10"/>
        <w:numPr>
          <w:ilvl w:val="0"/>
          <w:numId w:val="5"/>
        </w:numPr>
        <w:tabs>
          <w:tab w:val="left" w:pos="341"/>
          <w:tab w:val="left" w:pos="1114"/>
        </w:tabs>
        <w:spacing w:after="0"/>
        <w:ind w:left="440" w:hanging="440"/>
        <w:jc w:val="both"/>
      </w:pPr>
      <w:r>
        <w:rPr>
          <w:rStyle w:val="Bodytext1"/>
        </w:rPr>
        <w:t>The decisive date for entitlement to the Bonus</w:t>
      </w:r>
      <w:r>
        <w:rPr>
          <w:rStyle w:val="Bodytext1"/>
        </w:rPr>
        <w:tab/>
        <w:t xml:space="preserve">is the </w:t>
      </w:r>
      <w:r>
        <w:rPr>
          <w:rStyle w:val="Bodytext1"/>
        </w:rPr>
        <w:t>reconciliation date of the</w:t>
      </w:r>
    </w:p>
    <w:p w:rsidR="00740046" w:rsidRDefault="00F53D2D">
      <w:pPr>
        <w:pStyle w:val="Bodytext10"/>
        <w:ind w:left="440"/>
        <w:jc w:val="both"/>
      </w:pPr>
      <w:r>
        <w:rPr>
          <w:rStyle w:val="Bodytext1"/>
        </w:rPr>
        <w:t xml:space="preserve">Bonus by both Parties for the relevant Settlement Period. Accord shall issue a corrective document within 15 days from the decisive date for entitlement to the Bonus and subsequently deliver it to the </w:t>
      </w:r>
      <w:proofErr w:type="gramStart"/>
      <w:r>
        <w:rPr>
          <w:rStyle w:val="Bodytext1"/>
        </w:rPr>
        <w:t>Recipient..</w:t>
      </w:r>
      <w:proofErr w:type="gramEnd"/>
      <w:r>
        <w:rPr>
          <w:rStyle w:val="Bodytext1"/>
        </w:rPr>
        <w:t xml:space="preserve"> The maturity per</w:t>
      </w:r>
      <w:r>
        <w:rPr>
          <w:rStyle w:val="Bodytext1"/>
        </w:rPr>
        <w:t>iod of the issued accounting note shall be 30 days following the issuance date thereof.</w:t>
      </w:r>
    </w:p>
    <w:p w:rsidR="00740046" w:rsidRDefault="00F53D2D">
      <w:pPr>
        <w:pStyle w:val="Bodytext10"/>
        <w:numPr>
          <w:ilvl w:val="0"/>
          <w:numId w:val="5"/>
        </w:numPr>
        <w:tabs>
          <w:tab w:val="left" w:pos="414"/>
        </w:tabs>
        <w:ind w:left="440" w:hanging="440"/>
        <w:jc w:val="both"/>
      </w:pPr>
      <w:r>
        <w:rPr>
          <w:rStyle w:val="Bodytext1"/>
        </w:rPr>
        <w:t>Should this Agreement be terminated before the elapsing of the Settlement Period, Accord shall grant the Bonus to the Recipient as specified in the foregoing subsection</w:t>
      </w:r>
      <w:r>
        <w:rPr>
          <w:rStyle w:val="Bodytext1"/>
        </w:rPr>
        <w:t xml:space="preserve"> for such shortened Settlement Period, provided that the Recipient has satisfied the quantity of purchases required as stated in the corresponding schedule for granting of the Bonus.</w:t>
      </w:r>
    </w:p>
    <w:p w:rsidR="00740046" w:rsidRDefault="00F53D2D">
      <w:pPr>
        <w:pStyle w:val="Bodytext10"/>
        <w:numPr>
          <w:ilvl w:val="0"/>
          <w:numId w:val="5"/>
        </w:numPr>
        <w:tabs>
          <w:tab w:val="left" w:pos="414"/>
        </w:tabs>
        <w:ind w:left="440" w:hanging="440"/>
        <w:jc w:val="both"/>
      </w:pPr>
      <w:r>
        <w:rPr>
          <w:rStyle w:val="Bodytext1"/>
        </w:rPr>
        <w:t>In case the Products are returned to Distributors after the Bonus is paid</w:t>
      </w:r>
      <w:r>
        <w:rPr>
          <w:rStyle w:val="Bodytext1"/>
        </w:rPr>
        <w:t>, the amount reflecting the value of the returned Products, calculated using the prices as nesmí poskytovat zejména žádné údaje o konkurenčních produktech.</w:t>
      </w:r>
    </w:p>
    <w:p w:rsidR="00740046" w:rsidRDefault="00F53D2D">
      <w:pPr>
        <w:pStyle w:val="Bodytext10"/>
        <w:numPr>
          <w:ilvl w:val="0"/>
          <w:numId w:val="6"/>
        </w:numPr>
        <w:tabs>
          <w:tab w:val="left" w:pos="365"/>
        </w:tabs>
        <w:spacing w:after="420"/>
        <w:ind w:left="360" w:hanging="360"/>
        <w:jc w:val="both"/>
      </w:pPr>
      <w:r>
        <w:rPr>
          <w:rStyle w:val="Bodytext1"/>
        </w:rPr>
        <w:t xml:space="preserve">Pokud je podle názoru společnosti Accord potřeba objasnit jakýkoli rozpor vzniklý při plnění této </w:t>
      </w:r>
      <w:r>
        <w:rPr>
          <w:rStyle w:val="Bodytext1"/>
        </w:rPr>
        <w:t>smlouvy, může společnost Accord podat žádost o vysvětlení Příjemci. Na jakoukoli žádost o vysvětlení bude Příjemce reagovat do pěti kalendářních dnů od odeslání žádosti společností Accord.</w:t>
      </w:r>
    </w:p>
    <w:p w:rsidR="00740046" w:rsidRDefault="00F53D2D">
      <w:pPr>
        <w:pStyle w:val="Bodytext10"/>
        <w:numPr>
          <w:ilvl w:val="0"/>
          <w:numId w:val="6"/>
        </w:numPr>
        <w:tabs>
          <w:tab w:val="left" w:pos="365"/>
          <w:tab w:val="left" w:pos="2635"/>
          <w:tab w:val="left" w:pos="3506"/>
        </w:tabs>
        <w:spacing w:after="0"/>
        <w:ind w:left="360" w:hanging="360"/>
        <w:jc w:val="both"/>
      </w:pPr>
      <w:r>
        <w:rPr>
          <w:rStyle w:val="Bodytext1"/>
        </w:rPr>
        <w:t>Společnost Accord je povinna do pěti kalendářních dní od doručení t</w:t>
      </w:r>
      <w:r>
        <w:rPr>
          <w:rStyle w:val="Bodytext1"/>
        </w:rPr>
        <w:t>ohoto souhrnného přehledu</w:t>
      </w:r>
      <w:r>
        <w:rPr>
          <w:rStyle w:val="Bodytext1"/>
        </w:rPr>
        <w:tab/>
        <w:t>Příjemci</w:t>
      </w:r>
      <w:r>
        <w:rPr>
          <w:rStyle w:val="Bodytext1"/>
        </w:rPr>
        <w:tab/>
        <w:t>písemně</w:t>
      </w:r>
    </w:p>
    <w:p w:rsidR="00740046" w:rsidRDefault="00F53D2D">
      <w:pPr>
        <w:pStyle w:val="Bodytext10"/>
        <w:ind w:left="420"/>
        <w:jc w:val="both"/>
      </w:pPr>
      <w:r>
        <w:rPr>
          <w:rStyle w:val="Bodytext1"/>
        </w:rPr>
        <w:t xml:space="preserve">oznámit, zda a v jaké výši mu vznikl nárok na vyplacení Bonusu, nebo že mu nárok na vyplacení Bonusu nevznikl [dále jen: </w:t>
      </w:r>
      <w:r>
        <w:rPr>
          <w:rStyle w:val="Bodytext1"/>
          <w:b/>
          <w:bCs/>
        </w:rPr>
        <w:t>Oznámení o Bonusu</w:t>
      </w:r>
      <w:r>
        <w:rPr>
          <w:rStyle w:val="Bodytext1"/>
        </w:rPr>
        <w:t>].</w:t>
      </w:r>
    </w:p>
    <w:p w:rsidR="00740046" w:rsidRDefault="00F53D2D">
      <w:pPr>
        <w:pStyle w:val="Bodytext10"/>
        <w:numPr>
          <w:ilvl w:val="0"/>
          <w:numId w:val="6"/>
        </w:numPr>
        <w:tabs>
          <w:tab w:val="left" w:pos="365"/>
        </w:tabs>
        <w:ind w:left="420" w:hanging="420"/>
        <w:jc w:val="both"/>
      </w:pPr>
      <w:r>
        <w:rPr>
          <w:rStyle w:val="Bodytext1"/>
        </w:rPr>
        <w:t>Příjemce se zavazuje do tří kalendářních dní od doručení Oznámení o Bonu</w:t>
      </w:r>
      <w:r>
        <w:rPr>
          <w:rStyle w:val="Bodytext1"/>
        </w:rPr>
        <w:t>su vyjádřit, zda s tam uvedeným zúčtováním Bonusu souhlasí, nebo uvést důvody svého nesouhlasu. Pokud své vyjádření v této věci do tří kalendářních dní od doručení Oznámení o Bonusu nepodá, bude se to považovat za souhlas se zúčtováním Bonusu, jak je uvede</w:t>
      </w:r>
      <w:r>
        <w:rPr>
          <w:rStyle w:val="Bodytext1"/>
        </w:rPr>
        <w:t xml:space="preserve">no v příslušném </w:t>
      </w:r>
      <w:r>
        <w:rPr>
          <w:rStyle w:val="Bodytext1"/>
          <w:b/>
          <w:bCs/>
        </w:rPr>
        <w:t>Oznámení o Bonusu.</w:t>
      </w:r>
    </w:p>
    <w:p w:rsidR="00740046" w:rsidRDefault="00F53D2D">
      <w:pPr>
        <w:pStyle w:val="Bodytext10"/>
        <w:numPr>
          <w:ilvl w:val="0"/>
          <w:numId w:val="6"/>
        </w:numPr>
        <w:tabs>
          <w:tab w:val="left" w:pos="365"/>
          <w:tab w:val="left" w:pos="1718"/>
          <w:tab w:val="left" w:pos="2861"/>
          <w:tab w:val="left" w:pos="3506"/>
        </w:tabs>
        <w:spacing w:after="0"/>
        <w:ind w:left="420" w:hanging="420"/>
        <w:jc w:val="both"/>
      </w:pPr>
      <w:r>
        <w:rPr>
          <w:rStyle w:val="Bodytext1"/>
        </w:rPr>
        <w:t>Rozhodným dnem pro přiznání nároku na Bonus je den odsouhlasení Bonusu oběma Smluvními</w:t>
      </w:r>
      <w:r>
        <w:rPr>
          <w:rStyle w:val="Bodytext1"/>
        </w:rPr>
        <w:tab/>
        <w:t>stranami</w:t>
      </w:r>
      <w:r>
        <w:rPr>
          <w:rStyle w:val="Bodytext1"/>
        </w:rPr>
        <w:tab/>
        <w:t>pro</w:t>
      </w:r>
      <w:r>
        <w:rPr>
          <w:rStyle w:val="Bodytext1"/>
        </w:rPr>
        <w:tab/>
        <w:t>příslušné</w:t>
      </w:r>
    </w:p>
    <w:p w:rsidR="00740046" w:rsidRDefault="00F53D2D">
      <w:pPr>
        <w:pStyle w:val="Bodytext10"/>
        <w:tabs>
          <w:tab w:val="left" w:pos="2082"/>
          <w:tab w:val="left" w:pos="4054"/>
        </w:tabs>
        <w:spacing w:after="0"/>
        <w:ind w:left="420"/>
        <w:jc w:val="both"/>
      </w:pPr>
      <w:r>
        <w:rPr>
          <w:rStyle w:val="Bodytext1"/>
        </w:rPr>
        <w:t>Zúčtovací období. Společnost Accord vystaví opravný</w:t>
      </w:r>
      <w:r>
        <w:rPr>
          <w:rStyle w:val="Bodytext1"/>
        </w:rPr>
        <w:tab/>
        <w:t>doklad do 15 dnů</w:t>
      </w:r>
      <w:r>
        <w:rPr>
          <w:rStyle w:val="Bodytext1"/>
        </w:rPr>
        <w:tab/>
        <w:t>od</w:t>
      </w:r>
    </w:p>
    <w:p w:rsidR="00740046" w:rsidRDefault="00F53D2D">
      <w:pPr>
        <w:pStyle w:val="Bodytext10"/>
        <w:tabs>
          <w:tab w:val="left" w:pos="2053"/>
        </w:tabs>
        <w:spacing w:after="0"/>
        <w:ind w:left="420"/>
        <w:jc w:val="both"/>
      </w:pPr>
      <w:r>
        <w:rPr>
          <w:rStyle w:val="Bodytext1"/>
        </w:rPr>
        <w:t>rozhodného dne</w:t>
      </w:r>
      <w:r>
        <w:rPr>
          <w:rStyle w:val="Bodytext1"/>
        </w:rPr>
        <w:tab/>
        <w:t>pro přiznání nároku na</w:t>
      </w:r>
    </w:p>
    <w:p w:rsidR="00740046" w:rsidRDefault="00F53D2D">
      <w:pPr>
        <w:pStyle w:val="Bodytext10"/>
        <w:ind w:left="420"/>
        <w:jc w:val="both"/>
      </w:pPr>
      <w:r>
        <w:rPr>
          <w:rStyle w:val="Bodytext1"/>
        </w:rPr>
        <w:t>Bonus a následně ho doručí Příjemci. Doba splatnosti vystaveného daňového dokladu je 30 dní od jeho vystavení.</w:t>
      </w:r>
    </w:p>
    <w:p w:rsidR="00740046" w:rsidRDefault="00F53D2D">
      <w:pPr>
        <w:pStyle w:val="Bodytext10"/>
        <w:numPr>
          <w:ilvl w:val="0"/>
          <w:numId w:val="6"/>
        </w:numPr>
        <w:tabs>
          <w:tab w:val="left" w:pos="414"/>
        </w:tabs>
        <w:ind w:left="420" w:hanging="420"/>
        <w:jc w:val="both"/>
      </w:pPr>
      <w:r>
        <w:rPr>
          <w:rStyle w:val="Bodytext1"/>
        </w:rPr>
        <w:t>Dojde-li k ukončení platnosti této Smlouvy před uplynutím Zúčtovacího období, společnost Accord poskytne Příjemci za takové zkrácené období poměr</w:t>
      </w:r>
      <w:r>
        <w:rPr>
          <w:rStyle w:val="Bodytext1"/>
        </w:rPr>
        <w:t>nou (alikvotní) část Bonusu, jak je popsáno ve výše uvedeném odstavci, a to za podmínky, že Příjemce odebral poměrnou část požadovaného množství, jak je uvedeno v příslušné příloze týkající se poskytnutí Bonusu.</w:t>
      </w:r>
    </w:p>
    <w:p w:rsidR="00740046" w:rsidRDefault="00F53D2D">
      <w:pPr>
        <w:pStyle w:val="Bodytext10"/>
        <w:numPr>
          <w:ilvl w:val="0"/>
          <w:numId w:val="6"/>
        </w:numPr>
        <w:tabs>
          <w:tab w:val="left" w:pos="414"/>
        </w:tabs>
        <w:ind w:left="420" w:hanging="420"/>
        <w:jc w:val="both"/>
        <w:sectPr w:rsidR="00740046">
          <w:type w:val="continuous"/>
          <w:pgSz w:w="11900" w:h="16840"/>
          <w:pgMar w:top="1407" w:right="1479" w:bottom="1360" w:left="1502" w:header="979" w:footer="3" w:gutter="0"/>
          <w:cols w:num="2" w:space="151"/>
          <w:noEndnote/>
          <w:docGrid w:linePitch="360"/>
        </w:sectPr>
      </w:pPr>
      <w:r>
        <w:rPr>
          <w:rStyle w:val="Bodytext1"/>
        </w:rPr>
        <w:t xml:space="preserve">V případě vrácení </w:t>
      </w:r>
      <w:r>
        <w:rPr>
          <w:rStyle w:val="Bodytext1"/>
        </w:rPr>
        <w:t>Přípravků Distributorům po vyplacení Bonusu bude částka odpovídající hodnotě vrácených Přípravků vypočtená s použitím cen uvedených v Příloze č. 1 této Smlouvy odečtena od částky nákupu dosaženého v Zúčtovacím období, v němž k vrácení Přípravků došlo.</w:t>
      </w:r>
    </w:p>
    <w:p w:rsidR="00740046" w:rsidRDefault="00F53D2D">
      <w:pPr>
        <w:pStyle w:val="Bodytext10"/>
        <w:spacing w:after="0"/>
        <w:ind w:left="460"/>
        <w:sectPr w:rsidR="00740046">
          <w:pgSz w:w="11900" w:h="16840"/>
          <w:pgMar w:top="1399" w:right="1472" w:bottom="1618" w:left="1500" w:header="971" w:footer="3" w:gutter="0"/>
          <w:cols w:space="720"/>
          <w:noEndnote/>
          <w:docGrid w:linePitch="360"/>
        </w:sectPr>
      </w:pPr>
      <w:r>
        <w:rPr>
          <w:rStyle w:val="Bodytext1"/>
        </w:rPr>
        <w:lastRenderedPageBreak/>
        <w:t>indicated in Appendix No. 1 hereto, shall decrease the amount of purchase level in the Settlement Period in which the return of Products took place.</w:t>
      </w:r>
    </w:p>
    <w:p w:rsidR="00740046" w:rsidRDefault="00740046">
      <w:pPr>
        <w:spacing w:before="6" w:after="6" w:line="240" w:lineRule="exact"/>
        <w:rPr>
          <w:sz w:val="19"/>
          <w:szCs w:val="19"/>
        </w:rPr>
      </w:pPr>
    </w:p>
    <w:p w:rsidR="00740046" w:rsidRDefault="00740046">
      <w:pPr>
        <w:spacing w:line="1" w:lineRule="exact"/>
        <w:sectPr w:rsidR="00740046">
          <w:type w:val="continuous"/>
          <w:pgSz w:w="11900" w:h="16840"/>
          <w:pgMar w:top="1397" w:right="0" w:bottom="1386" w:left="0" w:header="0" w:footer="3" w:gutter="0"/>
          <w:cols w:space="720"/>
          <w:noEndnote/>
          <w:docGrid w:linePitch="360"/>
        </w:sectPr>
      </w:pPr>
    </w:p>
    <w:p w:rsidR="00740046" w:rsidRDefault="00F53D2D">
      <w:pPr>
        <w:pStyle w:val="Heading310"/>
        <w:keepNext/>
        <w:keepLines/>
      </w:pPr>
      <w:bookmarkStart w:id="8" w:name="bookmark19"/>
      <w:r>
        <w:rPr>
          <w:rStyle w:val="Heading31"/>
          <w:b/>
          <w:bCs/>
        </w:rPr>
        <w:t>§ 3</w:t>
      </w:r>
      <w:r>
        <w:rPr>
          <w:rStyle w:val="Heading31"/>
          <w:b/>
          <w:bCs/>
        </w:rPr>
        <w:br/>
        <w:t>Confidentiality</w:t>
      </w:r>
      <w:bookmarkEnd w:id="8"/>
    </w:p>
    <w:p w:rsidR="00740046" w:rsidRDefault="00F53D2D">
      <w:pPr>
        <w:pStyle w:val="Bodytext10"/>
        <w:numPr>
          <w:ilvl w:val="0"/>
          <w:numId w:val="7"/>
        </w:numPr>
        <w:tabs>
          <w:tab w:val="left" w:pos="422"/>
        </w:tabs>
        <w:ind w:left="420" w:hanging="420"/>
        <w:jc w:val="both"/>
      </w:pPr>
      <w:r>
        <w:rPr>
          <w:rStyle w:val="Bodytext1"/>
        </w:rPr>
        <w:t>Each of the Parties hereto recognizes</w:t>
      </w:r>
      <w:r>
        <w:rPr>
          <w:rStyle w:val="Bodytext1"/>
        </w:rPr>
        <w:t xml:space="preserve"> that the relationship created by this Agreement may involve access by Recipient and Accord to information of substantial value to the other Party, including: software, programs, trade secrets, applications, know-how and processes, as well as financial, bu</w:t>
      </w:r>
      <w:r>
        <w:rPr>
          <w:rStyle w:val="Bodytext1"/>
        </w:rPr>
        <w:t>siness, marketing information and customer lists relating to the Products (collectively, "</w:t>
      </w:r>
      <w:r>
        <w:rPr>
          <w:rStyle w:val="Bodytext1"/>
          <w:u w:val="single"/>
        </w:rPr>
        <w:t>Confidential Information</w:t>
      </w:r>
      <w:r>
        <w:rPr>
          <w:rStyle w:val="Bodytext1"/>
        </w:rPr>
        <w:t>").</w:t>
      </w:r>
    </w:p>
    <w:p w:rsidR="00740046" w:rsidRDefault="00F53D2D">
      <w:pPr>
        <w:pStyle w:val="Bodytext10"/>
        <w:numPr>
          <w:ilvl w:val="0"/>
          <w:numId w:val="7"/>
        </w:numPr>
        <w:tabs>
          <w:tab w:val="left" w:pos="422"/>
        </w:tabs>
        <w:ind w:left="420" w:hanging="420"/>
        <w:jc w:val="both"/>
      </w:pPr>
      <w:r>
        <w:rPr>
          <w:rStyle w:val="Bodytext1"/>
        </w:rPr>
        <w:t>However, Confidential Information shall not include information (a) in the public domain or which subsequently falls into the public domai</w:t>
      </w:r>
      <w:r>
        <w:rPr>
          <w:rStyle w:val="Bodytext1"/>
        </w:rPr>
        <w:t>n, (b) which the non-disclosing Party can prove was already known to it prior to the date of this Agreement, (c) which was disclosed to the non-disclosing Party in good faith by a third party having a legal</w:t>
      </w:r>
      <w:r>
        <w:rPr>
          <w:rStyle w:val="Bodytext1"/>
          <w:lang w:val="en-US" w:eastAsia="en-US" w:bidi="en-US"/>
        </w:rPr>
        <w:t xml:space="preserve">I right to do so, or (d) specifically intended by </w:t>
      </w:r>
      <w:r>
        <w:rPr>
          <w:rStyle w:val="Bodytext1"/>
          <w:lang w:val="en-US" w:eastAsia="en-US" w:bidi="en-US"/>
        </w:rPr>
        <w:t>Accord for disclosure to customers in the Territory.</w:t>
      </w:r>
    </w:p>
    <w:p w:rsidR="00740046" w:rsidRDefault="00F53D2D">
      <w:pPr>
        <w:pStyle w:val="Bodytext10"/>
        <w:numPr>
          <w:ilvl w:val="0"/>
          <w:numId w:val="7"/>
        </w:numPr>
        <w:tabs>
          <w:tab w:val="left" w:pos="422"/>
          <w:tab w:val="left" w:pos="2078"/>
          <w:tab w:val="left" w:pos="3203"/>
        </w:tabs>
        <w:spacing w:after="0"/>
        <w:ind w:left="420" w:hanging="420"/>
        <w:jc w:val="both"/>
      </w:pPr>
      <w:r>
        <w:rPr>
          <w:rStyle w:val="Bodytext1"/>
          <w:lang w:val="en-US" w:eastAsia="en-US" w:bidi="en-US"/>
        </w:rPr>
        <w:t>Each Party acknowledges and agrees that the other Party owns allI right, title and interest in and to such Party's ConfidentialI Information. Each Party further agrees that it shallI (a) maintain the sec</w:t>
      </w:r>
      <w:r>
        <w:rPr>
          <w:rStyle w:val="Bodytext1"/>
          <w:lang w:val="en-US" w:eastAsia="en-US" w:bidi="en-US"/>
        </w:rPr>
        <w:t>recy and confidentiality</w:t>
      </w:r>
      <w:r>
        <w:rPr>
          <w:rStyle w:val="Bodytext1"/>
          <w:lang w:val="en-US" w:eastAsia="en-US" w:bidi="en-US"/>
        </w:rPr>
        <w:tab/>
        <w:t>of allI</w:t>
      </w:r>
      <w:r>
        <w:rPr>
          <w:rStyle w:val="Bodytext1"/>
          <w:lang w:val="en-US" w:eastAsia="en-US" w:bidi="en-US"/>
        </w:rPr>
        <w:tab/>
        <w:t>ConfidentialI</w:t>
      </w:r>
    </w:p>
    <w:p w:rsidR="00740046" w:rsidRDefault="00F53D2D">
      <w:pPr>
        <w:pStyle w:val="Bodytext10"/>
        <w:tabs>
          <w:tab w:val="left" w:pos="3203"/>
        </w:tabs>
        <w:spacing w:after="0"/>
        <w:ind w:left="420"/>
        <w:jc w:val="both"/>
      </w:pPr>
      <w:r>
        <w:rPr>
          <w:rStyle w:val="Bodytext1"/>
          <w:lang w:val="en-US" w:eastAsia="en-US" w:bidi="en-US"/>
        </w:rPr>
        <w:t>Information which comes to its attention, (b) take allI necessary precautions to prevent any disclosure of</w:t>
      </w:r>
      <w:r>
        <w:rPr>
          <w:rStyle w:val="Bodytext1"/>
          <w:lang w:val="en-US" w:eastAsia="en-US" w:bidi="en-US"/>
        </w:rPr>
        <w:tab/>
        <w:t>ConfidentialI</w:t>
      </w:r>
    </w:p>
    <w:p w:rsidR="00740046" w:rsidRDefault="00F53D2D">
      <w:pPr>
        <w:pStyle w:val="Bodytext10"/>
        <w:spacing w:after="420"/>
        <w:ind w:left="420"/>
        <w:jc w:val="both"/>
      </w:pPr>
      <w:r>
        <w:rPr>
          <w:rStyle w:val="Bodytext1"/>
          <w:lang w:val="en-US" w:eastAsia="en-US" w:bidi="en-US"/>
        </w:rPr>
        <w:t>Information by any of its Agents, and (c) during the term of this Agreement and for so l</w:t>
      </w:r>
      <w:r>
        <w:rPr>
          <w:rStyle w:val="Bodytext1"/>
          <w:lang w:val="en-US" w:eastAsia="en-US" w:bidi="en-US"/>
        </w:rPr>
        <w:t>ong as ConfidentialI Information does not enter into the public domain through an act or omission of the disclosing Party, neither publish, disclose nor disseminate any part of such ConfidentialI Information in any manner, or use the same, without the prio</w:t>
      </w:r>
      <w:r>
        <w:rPr>
          <w:rStyle w:val="Bodytext1"/>
          <w:lang w:val="en-US" w:eastAsia="en-US" w:bidi="en-US"/>
        </w:rPr>
        <w:t>r written consent of the disclosing Party.</w:t>
      </w:r>
    </w:p>
    <w:p w:rsidR="00740046" w:rsidRDefault="00F53D2D">
      <w:pPr>
        <w:pStyle w:val="Bodytext10"/>
        <w:numPr>
          <w:ilvl w:val="0"/>
          <w:numId w:val="7"/>
        </w:numPr>
        <w:tabs>
          <w:tab w:val="left" w:pos="422"/>
          <w:tab w:val="left" w:pos="1469"/>
          <w:tab w:val="left" w:pos="1862"/>
          <w:tab w:val="left" w:pos="2395"/>
          <w:tab w:val="left" w:pos="3355"/>
          <w:tab w:val="left" w:pos="4061"/>
        </w:tabs>
        <w:spacing w:after="0"/>
        <w:ind w:left="420" w:hanging="420"/>
        <w:jc w:val="both"/>
      </w:pPr>
      <w:r>
        <w:rPr>
          <w:rStyle w:val="Bodytext1"/>
          <w:lang w:val="en-US" w:eastAsia="en-US" w:bidi="en-US"/>
        </w:rPr>
        <w:t>The confidentiality obligation with respect to ConfidentialIInformation is effective untilI the loss off its confidentialI nature, however, the confidentiality obligations herein described, shallI be in force, for</w:t>
      </w:r>
      <w:r>
        <w:rPr>
          <w:rStyle w:val="Bodytext1"/>
          <w:lang w:val="en-US" w:eastAsia="en-US" w:bidi="en-US"/>
        </w:rPr>
        <w:t xml:space="preserve"> a period off no less than 5 years from the date off disclosure</w:t>
      </w:r>
      <w:r>
        <w:rPr>
          <w:rStyle w:val="Bodytext1"/>
          <w:lang w:val="en-US" w:eastAsia="en-US" w:bidi="en-US"/>
        </w:rPr>
        <w:tab/>
        <w:t>off</w:t>
      </w:r>
      <w:r>
        <w:rPr>
          <w:rStyle w:val="Bodytext1"/>
          <w:lang w:val="en-US" w:eastAsia="en-US" w:bidi="en-US"/>
        </w:rPr>
        <w:tab/>
        <w:t>the</w:t>
      </w:r>
      <w:r>
        <w:rPr>
          <w:rStyle w:val="Bodytext1"/>
          <w:lang w:val="en-US" w:eastAsia="en-US" w:bidi="en-US"/>
        </w:rPr>
        <w:tab/>
        <w:t>relevantt</w:t>
      </w:r>
      <w:r>
        <w:rPr>
          <w:rStyle w:val="Bodytext1"/>
          <w:lang w:val="en-US" w:eastAsia="en-US" w:bidi="en-US"/>
        </w:rPr>
        <w:tab/>
        <w:t>piece</w:t>
      </w:r>
      <w:r>
        <w:rPr>
          <w:rStyle w:val="Bodytext1"/>
          <w:lang w:val="en-US" w:eastAsia="en-US" w:bidi="en-US"/>
        </w:rPr>
        <w:tab/>
        <w:t>off</w:t>
      </w:r>
    </w:p>
    <w:p w:rsidR="00740046" w:rsidRDefault="00F53D2D">
      <w:pPr>
        <w:pStyle w:val="Bodytext10"/>
        <w:ind w:left="420"/>
        <w:jc w:val="both"/>
      </w:pPr>
      <w:r>
        <w:rPr>
          <w:rStyle w:val="Bodytext1"/>
          <w:lang w:val="en-US" w:eastAsia="en-US" w:bidi="en-US"/>
        </w:rPr>
        <w:t>information, even iff the Agreementt has expired or is terminated.</w:t>
      </w:r>
    </w:p>
    <w:p w:rsidR="00740046" w:rsidRDefault="00740046">
      <w:pPr>
        <w:pStyle w:val="Heading310"/>
        <w:keepNext/>
        <w:keepLines/>
        <w:numPr>
          <w:ilvl w:val="0"/>
          <w:numId w:val="8"/>
        </w:numPr>
        <w:spacing w:after="0"/>
      </w:pPr>
      <w:bookmarkStart w:id="9" w:name="bookmark21"/>
      <w:bookmarkEnd w:id="9"/>
    </w:p>
    <w:p w:rsidR="00740046" w:rsidRDefault="00F53D2D">
      <w:pPr>
        <w:pStyle w:val="Heading310"/>
        <w:keepNext/>
        <w:keepLines/>
      </w:pPr>
      <w:r>
        <w:rPr>
          <w:rStyle w:val="Heading31"/>
          <w:b/>
          <w:bCs/>
        </w:rPr>
        <w:t xml:space="preserve">Důvěrný </w:t>
      </w:r>
      <w:r>
        <w:rPr>
          <w:rStyle w:val="Heading31"/>
          <w:b/>
          <w:bCs/>
          <w:lang w:val="en-US" w:eastAsia="en-US" w:bidi="en-US"/>
        </w:rPr>
        <w:t xml:space="preserve">charakter </w:t>
      </w:r>
      <w:r>
        <w:rPr>
          <w:rStyle w:val="Heading31"/>
          <w:b/>
          <w:bCs/>
        </w:rPr>
        <w:t>informací</w:t>
      </w:r>
    </w:p>
    <w:p w:rsidR="00740046" w:rsidRDefault="00F53D2D">
      <w:pPr>
        <w:pStyle w:val="Bodytext10"/>
        <w:numPr>
          <w:ilvl w:val="0"/>
          <w:numId w:val="9"/>
        </w:numPr>
        <w:tabs>
          <w:tab w:val="left" w:pos="346"/>
        </w:tabs>
        <w:ind w:left="360" w:hanging="360"/>
        <w:jc w:val="both"/>
      </w:pPr>
      <w:r>
        <w:rPr>
          <w:rStyle w:val="Bodytext1"/>
        </w:rPr>
        <w:t xml:space="preserve">Obě Smluvní </w:t>
      </w:r>
      <w:r>
        <w:rPr>
          <w:rStyle w:val="Bodytext1"/>
          <w:lang w:val="en-US" w:eastAsia="en-US" w:bidi="en-US"/>
        </w:rPr>
        <w:t xml:space="preserve">strany </w:t>
      </w:r>
      <w:r>
        <w:rPr>
          <w:rStyle w:val="Bodytext1"/>
        </w:rPr>
        <w:t xml:space="preserve">uznávají, že </w:t>
      </w:r>
      <w:r>
        <w:rPr>
          <w:rStyle w:val="Bodytext1"/>
          <w:lang w:val="en-US" w:eastAsia="en-US" w:bidi="en-US"/>
        </w:rPr>
        <w:t xml:space="preserve">v </w:t>
      </w:r>
      <w:r>
        <w:rPr>
          <w:rStyle w:val="Bodytext1"/>
        </w:rPr>
        <w:t xml:space="preserve">rámci </w:t>
      </w:r>
      <w:r>
        <w:rPr>
          <w:rStyle w:val="Bodytext1"/>
          <w:lang w:val="en-US" w:eastAsia="en-US" w:bidi="en-US"/>
        </w:rPr>
        <w:t xml:space="preserve">vztahu </w:t>
      </w:r>
      <w:r>
        <w:rPr>
          <w:rStyle w:val="Bodytext1"/>
        </w:rPr>
        <w:t xml:space="preserve">vzniklého </w:t>
      </w:r>
      <w:r>
        <w:rPr>
          <w:rStyle w:val="Bodytext1"/>
          <w:lang w:val="en-US" w:eastAsia="en-US" w:bidi="en-US"/>
        </w:rPr>
        <w:t xml:space="preserve">na </w:t>
      </w:r>
      <w:r>
        <w:rPr>
          <w:rStyle w:val="Bodytext1"/>
        </w:rPr>
        <w:t xml:space="preserve">základě této </w:t>
      </w:r>
      <w:r>
        <w:rPr>
          <w:rStyle w:val="Bodytext1"/>
          <w:lang w:val="en-US" w:eastAsia="en-US" w:bidi="en-US"/>
        </w:rPr>
        <w:t xml:space="preserve">Smlouvy mohou </w:t>
      </w:r>
      <w:r>
        <w:rPr>
          <w:rStyle w:val="Bodytext1"/>
        </w:rPr>
        <w:t xml:space="preserve">mít Příjemce </w:t>
      </w:r>
      <w:r>
        <w:rPr>
          <w:rStyle w:val="Bodytext1"/>
          <w:lang w:val="en-US" w:eastAsia="en-US" w:bidi="en-US"/>
        </w:rPr>
        <w:t xml:space="preserve">a </w:t>
      </w:r>
      <w:r>
        <w:rPr>
          <w:rStyle w:val="Bodytext1"/>
        </w:rPr>
        <w:t xml:space="preserve">společnost </w:t>
      </w:r>
      <w:r>
        <w:rPr>
          <w:rStyle w:val="Bodytext1"/>
          <w:lang w:val="en-US" w:eastAsia="en-US" w:bidi="en-US"/>
        </w:rPr>
        <w:t xml:space="preserve">Accord </w:t>
      </w:r>
      <w:r>
        <w:rPr>
          <w:rStyle w:val="Bodytext1"/>
        </w:rPr>
        <w:t xml:space="preserve">přístup </w:t>
      </w:r>
      <w:r>
        <w:rPr>
          <w:rStyle w:val="Bodytext1"/>
          <w:lang w:val="en-US" w:eastAsia="en-US" w:bidi="en-US"/>
        </w:rPr>
        <w:t xml:space="preserve">k </w:t>
      </w:r>
      <w:r>
        <w:rPr>
          <w:rStyle w:val="Bodytext1"/>
        </w:rPr>
        <w:t xml:space="preserve">informacím značné </w:t>
      </w:r>
      <w:r>
        <w:rPr>
          <w:rStyle w:val="Bodytext1"/>
          <w:lang w:val="en-US" w:eastAsia="en-US" w:bidi="en-US"/>
        </w:rPr>
        <w:t xml:space="preserve">hodnoty pro druhou </w:t>
      </w:r>
      <w:r>
        <w:rPr>
          <w:rStyle w:val="Bodytext1"/>
        </w:rPr>
        <w:t xml:space="preserve">Smluvní </w:t>
      </w:r>
      <w:r>
        <w:rPr>
          <w:rStyle w:val="Bodytext1"/>
          <w:lang w:val="en-US" w:eastAsia="en-US" w:bidi="en-US"/>
        </w:rPr>
        <w:t xml:space="preserve">stranu, </w:t>
      </w:r>
      <w:r>
        <w:rPr>
          <w:rStyle w:val="Bodytext1"/>
        </w:rPr>
        <w:t xml:space="preserve">včetně: </w:t>
      </w:r>
      <w:r>
        <w:rPr>
          <w:rStyle w:val="Bodytext1"/>
          <w:lang w:val="en-US" w:eastAsia="en-US" w:bidi="en-US"/>
        </w:rPr>
        <w:t xml:space="preserve">softwaru, </w:t>
      </w:r>
      <w:r>
        <w:rPr>
          <w:rStyle w:val="Bodytext1"/>
        </w:rPr>
        <w:t xml:space="preserve">programů, obchodního tajemství, žádostí, </w:t>
      </w:r>
      <w:r>
        <w:rPr>
          <w:rStyle w:val="Bodytext1"/>
          <w:lang w:val="en-US" w:eastAsia="en-US" w:bidi="en-US"/>
        </w:rPr>
        <w:t xml:space="preserve">know-how a </w:t>
      </w:r>
      <w:r>
        <w:rPr>
          <w:rStyle w:val="Bodytext1"/>
        </w:rPr>
        <w:t xml:space="preserve">postupů </w:t>
      </w:r>
      <w:r>
        <w:rPr>
          <w:rStyle w:val="Bodytext1"/>
          <w:lang w:val="en-US" w:eastAsia="en-US" w:bidi="en-US"/>
        </w:rPr>
        <w:t xml:space="preserve">a </w:t>
      </w:r>
      <w:r>
        <w:rPr>
          <w:rStyle w:val="Bodytext1"/>
        </w:rPr>
        <w:t>dále včetně finančních, obchodních, marketingových in</w:t>
      </w:r>
      <w:r>
        <w:rPr>
          <w:rStyle w:val="Bodytext1"/>
        </w:rPr>
        <w:t xml:space="preserve">formací </w:t>
      </w:r>
      <w:r>
        <w:rPr>
          <w:rStyle w:val="Bodytext1"/>
          <w:lang w:val="en-US" w:eastAsia="en-US" w:bidi="en-US"/>
        </w:rPr>
        <w:t xml:space="preserve">a </w:t>
      </w:r>
      <w:r>
        <w:rPr>
          <w:rStyle w:val="Bodytext1"/>
        </w:rPr>
        <w:t xml:space="preserve">seznamů zákazníků </w:t>
      </w:r>
      <w:r>
        <w:rPr>
          <w:rStyle w:val="Bodytext1"/>
          <w:lang w:val="en-US" w:eastAsia="en-US" w:bidi="en-US"/>
        </w:rPr>
        <w:t xml:space="preserve">ve vztahu k </w:t>
      </w:r>
      <w:r>
        <w:rPr>
          <w:rStyle w:val="Bodytext1"/>
        </w:rPr>
        <w:t xml:space="preserve">Přípravkům (dále společně </w:t>
      </w:r>
      <w:r>
        <w:rPr>
          <w:rStyle w:val="Bodytext1"/>
          <w:lang w:val="en-US" w:eastAsia="en-US" w:bidi="en-US"/>
        </w:rPr>
        <w:t xml:space="preserve">jako </w:t>
      </w:r>
      <w:r>
        <w:rPr>
          <w:rStyle w:val="Bodytext1"/>
        </w:rPr>
        <w:t>„</w:t>
      </w:r>
      <w:r>
        <w:rPr>
          <w:rStyle w:val="Bodytext1"/>
          <w:u w:val="single"/>
        </w:rPr>
        <w:t xml:space="preserve">důvěrné </w:t>
      </w:r>
      <w:r>
        <w:rPr>
          <w:rStyle w:val="Bodytext1"/>
          <w:u w:val="single"/>
          <w:lang w:val="en-US" w:eastAsia="en-US" w:bidi="en-US"/>
        </w:rPr>
        <w:t>informace</w:t>
      </w:r>
      <w:r>
        <w:rPr>
          <w:rStyle w:val="Bodytext1"/>
          <w:lang w:val="en-US" w:eastAsia="en-US" w:bidi="en-US"/>
        </w:rPr>
        <w:t>").</w:t>
      </w:r>
    </w:p>
    <w:p w:rsidR="00740046" w:rsidRDefault="00F53D2D">
      <w:pPr>
        <w:pStyle w:val="Bodytext10"/>
        <w:numPr>
          <w:ilvl w:val="0"/>
          <w:numId w:val="9"/>
        </w:numPr>
        <w:tabs>
          <w:tab w:val="left" w:pos="346"/>
          <w:tab w:val="left" w:pos="3386"/>
        </w:tabs>
        <w:spacing w:after="0"/>
        <w:jc w:val="both"/>
      </w:pPr>
      <w:r>
        <w:rPr>
          <w:rStyle w:val="Bodytext1"/>
        </w:rPr>
        <w:t xml:space="preserve">Důvěrné </w:t>
      </w:r>
      <w:r>
        <w:rPr>
          <w:rStyle w:val="Bodytext1"/>
          <w:lang w:val="en-US" w:eastAsia="en-US" w:bidi="en-US"/>
        </w:rPr>
        <w:t xml:space="preserve">informace </w:t>
      </w:r>
      <w:r>
        <w:rPr>
          <w:rStyle w:val="Bodytext1"/>
        </w:rPr>
        <w:t>však</w:t>
      </w:r>
      <w:r>
        <w:rPr>
          <w:rStyle w:val="Bodytext1"/>
        </w:rPr>
        <w:tab/>
        <w:t>nezahrnujíÍ</w:t>
      </w:r>
    </w:p>
    <w:p w:rsidR="00740046" w:rsidRDefault="00F53D2D">
      <w:pPr>
        <w:pStyle w:val="Bodytext10"/>
        <w:tabs>
          <w:tab w:val="left" w:pos="2796"/>
          <w:tab w:val="left" w:pos="3762"/>
        </w:tabs>
        <w:spacing w:after="0"/>
        <w:ind w:left="420"/>
        <w:jc w:val="both"/>
      </w:pPr>
      <w:r>
        <w:rPr>
          <w:rStyle w:val="Bodytext1"/>
          <w:lang w:val="en-US" w:eastAsia="en-US" w:bidi="en-US"/>
        </w:rPr>
        <w:t xml:space="preserve">informace (a), </w:t>
      </w:r>
      <w:r>
        <w:rPr>
          <w:rStyle w:val="Bodytext1"/>
        </w:rPr>
        <w:t xml:space="preserve">které </w:t>
      </w:r>
      <w:r>
        <w:rPr>
          <w:rStyle w:val="Bodytext1"/>
          <w:lang w:val="en-US" w:eastAsia="en-US" w:bidi="en-US"/>
        </w:rPr>
        <w:t xml:space="preserve">jsou nebo se </w:t>
      </w:r>
      <w:r>
        <w:rPr>
          <w:rStyle w:val="Bodytext1"/>
        </w:rPr>
        <w:t xml:space="preserve">následně </w:t>
      </w:r>
      <w:r>
        <w:rPr>
          <w:rStyle w:val="Bodytext1"/>
          <w:lang w:val="en-US" w:eastAsia="en-US" w:bidi="en-US"/>
        </w:rPr>
        <w:t xml:space="preserve">stanou </w:t>
      </w:r>
      <w:r>
        <w:rPr>
          <w:rStyle w:val="Bodytext1"/>
        </w:rPr>
        <w:t xml:space="preserve">veřejně známými, </w:t>
      </w:r>
      <w:r>
        <w:rPr>
          <w:rStyle w:val="Bodytext1"/>
          <w:lang w:val="en-US" w:eastAsia="en-US" w:bidi="en-US"/>
        </w:rPr>
        <w:t xml:space="preserve">(b) o </w:t>
      </w:r>
      <w:r>
        <w:rPr>
          <w:rStyle w:val="Bodytext1"/>
        </w:rPr>
        <w:t>nichž může druhá Smluvní</w:t>
      </w:r>
      <w:r>
        <w:rPr>
          <w:rStyle w:val="Bodytext1"/>
          <w:lang w:val="en-US" w:eastAsia="en-US" w:bidi="en-US"/>
        </w:rPr>
        <w:t xml:space="preserve">i strana </w:t>
      </w:r>
      <w:r>
        <w:rPr>
          <w:rStyle w:val="Bodytext1"/>
        </w:rPr>
        <w:t xml:space="preserve">doložit, že jíÍ </w:t>
      </w:r>
      <w:r>
        <w:rPr>
          <w:rStyle w:val="Bodytext1"/>
          <w:lang w:val="en-US" w:eastAsia="en-US" w:bidi="en-US"/>
        </w:rPr>
        <w:t xml:space="preserve">byly </w:t>
      </w:r>
      <w:r>
        <w:rPr>
          <w:rStyle w:val="Bodytext1"/>
        </w:rPr>
        <w:t xml:space="preserve">známy přede </w:t>
      </w:r>
      <w:r>
        <w:rPr>
          <w:rStyle w:val="Bodytext1"/>
          <w:lang w:val="en-US" w:eastAsia="en-US" w:bidi="en-US"/>
        </w:rPr>
        <w:t xml:space="preserve">dnem </w:t>
      </w:r>
      <w:r>
        <w:rPr>
          <w:rStyle w:val="Bodytext1"/>
        </w:rPr>
        <w:t>uzavření</w:t>
      </w:r>
      <w:r>
        <w:rPr>
          <w:rStyle w:val="Bodytext1"/>
          <w:lang w:val="en-US" w:eastAsia="en-US" w:bidi="en-US"/>
        </w:rPr>
        <w:t xml:space="preserve">i </w:t>
      </w:r>
      <w:r>
        <w:rPr>
          <w:rStyle w:val="Bodytext1"/>
        </w:rPr>
        <w:t xml:space="preserve">této </w:t>
      </w:r>
      <w:r>
        <w:rPr>
          <w:rStyle w:val="Bodytext1"/>
          <w:lang w:val="en-US" w:eastAsia="en-US" w:bidi="en-US"/>
        </w:rPr>
        <w:t xml:space="preserve">Smlouvy, (c) </w:t>
      </w:r>
      <w:r>
        <w:rPr>
          <w:rStyle w:val="Bodytext1"/>
        </w:rPr>
        <w:t xml:space="preserve">které </w:t>
      </w:r>
      <w:r>
        <w:rPr>
          <w:rStyle w:val="Bodytext1"/>
          <w:lang w:val="en-US" w:eastAsia="en-US" w:bidi="en-US"/>
        </w:rPr>
        <w:t xml:space="preserve">byly </w:t>
      </w:r>
      <w:r>
        <w:rPr>
          <w:rStyle w:val="Bodytext1"/>
        </w:rPr>
        <w:t>druhé</w:t>
      </w:r>
      <w:r>
        <w:rPr>
          <w:rStyle w:val="Bodytext1"/>
        </w:rPr>
        <w:tab/>
        <w:t>Smluvní</w:t>
      </w:r>
      <w:r>
        <w:rPr>
          <w:rStyle w:val="Bodytext1"/>
          <w:lang w:val="en-US" w:eastAsia="en-US" w:bidi="en-US"/>
        </w:rPr>
        <w:t>i</w:t>
      </w:r>
      <w:r>
        <w:rPr>
          <w:rStyle w:val="Bodytext1"/>
          <w:lang w:val="en-US" w:eastAsia="en-US" w:bidi="en-US"/>
        </w:rPr>
        <w:tab/>
      </w:r>
      <w:r>
        <w:rPr>
          <w:rStyle w:val="Bodytext1"/>
        </w:rPr>
        <w:t>straně</w:t>
      </w:r>
    </w:p>
    <w:p w:rsidR="00740046" w:rsidRDefault="00F53D2D">
      <w:pPr>
        <w:pStyle w:val="Bodytext10"/>
        <w:ind w:left="420"/>
        <w:jc w:val="both"/>
      </w:pPr>
      <w:r>
        <w:rPr>
          <w:rStyle w:val="Bodytext1"/>
        </w:rPr>
        <w:t xml:space="preserve">sděleny </w:t>
      </w:r>
      <w:r>
        <w:rPr>
          <w:rStyle w:val="Bodytext1"/>
          <w:lang w:val="en-US" w:eastAsia="en-US" w:bidi="en-US"/>
        </w:rPr>
        <w:t xml:space="preserve">v </w:t>
      </w:r>
      <w:r>
        <w:rPr>
          <w:rStyle w:val="Bodytext1"/>
        </w:rPr>
        <w:t>dobré víře třetí</w:t>
      </w:r>
      <w:r>
        <w:rPr>
          <w:rStyle w:val="Bodytext1"/>
          <w:lang w:val="en-US" w:eastAsia="en-US" w:bidi="en-US"/>
        </w:rPr>
        <w:t xml:space="preserve">i osobou, </w:t>
      </w:r>
      <w:r>
        <w:rPr>
          <w:rStyle w:val="Bodytext1"/>
        </w:rPr>
        <w:t xml:space="preserve">která </w:t>
      </w:r>
      <w:r>
        <w:rPr>
          <w:rStyle w:val="Bodytext1"/>
          <w:lang w:val="en-US" w:eastAsia="en-US" w:bidi="en-US"/>
        </w:rPr>
        <w:t xml:space="preserve">je </w:t>
      </w:r>
      <w:r>
        <w:rPr>
          <w:rStyle w:val="Bodytext1"/>
        </w:rPr>
        <w:t xml:space="preserve">oprávněna </w:t>
      </w:r>
      <w:r>
        <w:rPr>
          <w:rStyle w:val="Bodytext1"/>
          <w:lang w:val="en-US" w:eastAsia="en-US" w:bidi="en-US"/>
        </w:rPr>
        <w:t xml:space="preserve">tak </w:t>
      </w:r>
      <w:r>
        <w:rPr>
          <w:rStyle w:val="Bodytext1"/>
        </w:rPr>
        <w:t xml:space="preserve">učinit </w:t>
      </w:r>
      <w:r>
        <w:rPr>
          <w:rStyle w:val="Bodytext1"/>
          <w:lang w:val="en-US" w:eastAsia="en-US" w:bidi="en-US"/>
        </w:rPr>
        <w:t xml:space="preserve">nebo (d) </w:t>
      </w:r>
      <w:r>
        <w:rPr>
          <w:rStyle w:val="Bodytext1"/>
        </w:rPr>
        <w:t xml:space="preserve">které společnost </w:t>
      </w:r>
      <w:r>
        <w:rPr>
          <w:rStyle w:val="Bodytext1"/>
          <w:lang w:val="en-US" w:eastAsia="en-US" w:bidi="en-US"/>
        </w:rPr>
        <w:t xml:space="preserve">Accord </w:t>
      </w:r>
      <w:r>
        <w:rPr>
          <w:rStyle w:val="Bodytext1"/>
        </w:rPr>
        <w:t>výslovně zamýšlí</w:t>
      </w:r>
      <w:r>
        <w:rPr>
          <w:rStyle w:val="Bodytext1"/>
          <w:lang w:val="en-US" w:eastAsia="en-US" w:bidi="en-US"/>
        </w:rPr>
        <w:t xml:space="preserve">i </w:t>
      </w:r>
      <w:r>
        <w:rPr>
          <w:rStyle w:val="Bodytext1"/>
        </w:rPr>
        <w:t xml:space="preserve">sdělit zákazníkům </w:t>
      </w:r>
      <w:r>
        <w:rPr>
          <w:rStyle w:val="Bodytext1"/>
          <w:lang w:val="en-US" w:eastAsia="en-US" w:bidi="en-US"/>
        </w:rPr>
        <w:t xml:space="preserve">na </w:t>
      </w:r>
      <w:r>
        <w:rPr>
          <w:rStyle w:val="Bodytext1"/>
        </w:rPr>
        <w:t>příslušném území.</w:t>
      </w:r>
    </w:p>
    <w:p w:rsidR="00740046" w:rsidRDefault="00F53D2D">
      <w:pPr>
        <w:pStyle w:val="Bodytext10"/>
        <w:numPr>
          <w:ilvl w:val="0"/>
          <w:numId w:val="9"/>
        </w:numPr>
        <w:tabs>
          <w:tab w:val="left" w:pos="346"/>
          <w:tab w:val="left" w:pos="1339"/>
          <w:tab w:val="left" w:pos="2419"/>
          <w:tab w:val="left" w:pos="3386"/>
        </w:tabs>
        <w:spacing w:after="0"/>
        <w:jc w:val="both"/>
      </w:pPr>
      <w:r>
        <w:rPr>
          <w:rStyle w:val="Bodytext1"/>
        </w:rPr>
        <w:t>Každá</w:t>
      </w:r>
      <w:r>
        <w:rPr>
          <w:rStyle w:val="Bodytext1"/>
        </w:rPr>
        <w:tab/>
        <w:t>Smluvní</w:t>
      </w:r>
      <w:r>
        <w:rPr>
          <w:rStyle w:val="Bodytext1"/>
          <w:lang w:val="en-US" w:eastAsia="en-US" w:bidi="en-US"/>
        </w:rPr>
        <w:t>i</w:t>
      </w:r>
      <w:r>
        <w:rPr>
          <w:rStyle w:val="Bodytext1"/>
          <w:lang w:val="en-US" w:eastAsia="en-US" w:bidi="en-US"/>
        </w:rPr>
        <w:tab/>
        <w:t>strana</w:t>
      </w:r>
      <w:r>
        <w:rPr>
          <w:rStyle w:val="Bodytext1"/>
          <w:lang w:val="en-US" w:eastAsia="en-US" w:bidi="en-US"/>
        </w:rPr>
        <w:tab/>
      </w:r>
      <w:r>
        <w:rPr>
          <w:rStyle w:val="Bodytext1"/>
          <w:lang w:val="en-US" w:eastAsia="en-US" w:bidi="en-US"/>
        </w:rPr>
        <w:t>potvrzuje</w:t>
      </w:r>
    </w:p>
    <w:p w:rsidR="00740046" w:rsidRDefault="00F53D2D">
      <w:pPr>
        <w:pStyle w:val="Bodytext10"/>
        <w:tabs>
          <w:tab w:val="left" w:pos="2186"/>
        </w:tabs>
        <w:spacing w:after="0"/>
        <w:ind w:left="420"/>
        <w:jc w:val="both"/>
      </w:pPr>
      <w:r>
        <w:rPr>
          <w:rStyle w:val="Bodytext1"/>
          <w:lang w:val="en-US" w:eastAsia="en-US" w:bidi="en-US"/>
        </w:rPr>
        <w:t xml:space="preserve">a </w:t>
      </w:r>
      <w:r>
        <w:rPr>
          <w:rStyle w:val="Bodytext1"/>
        </w:rPr>
        <w:t>ujednává, že druhá Smluvní</w:t>
      </w:r>
      <w:r>
        <w:rPr>
          <w:rStyle w:val="Bodytext1"/>
          <w:lang w:val="en-US" w:eastAsia="en-US" w:bidi="en-US"/>
        </w:rPr>
        <w:t xml:space="preserve">i strana </w:t>
      </w:r>
      <w:r>
        <w:rPr>
          <w:rStyle w:val="Bodytext1"/>
        </w:rPr>
        <w:t xml:space="preserve">má veškerá práva </w:t>
      </w:r>
      <w:r>
        <w:rPr>
          <w:rStyle w:val="Bodytext1"/>
          <w:lang w:val="en-US" w:eastAsia="en-US" w:bidi="en-US"/>
        </w:rPr>
        <w:t>a</w:t>
      </w:r>
      <w:r>
        <w:rPr>
          <w:rStyle w:val="Bodytext1"/>
          <w:lang w:val="en-US" w:eastAsia="en-US" w:bidi="en-US"/>
        </w:rPr>
        <w:tab/>
      </w:r>
      <w:r>
        <w:rPr>
          <w:rStyle w:val="Bodytext1"/>
        </w:rPr>
        <w:t>právní</w:t>
      </w:r>
      <w:r>
        <w:rPr>
          <w:rStyle w:val="Bodytext1"/>
          <w:lang w:val="en-US" w:eastAsia="en-US" w:bidi="en-US"/>
        </w:rPr>
        <w:t xml:space="preserve">i titulI ke </w:t>
      </w:r>
      <w:r>
        <w:rPr>
          <w:rStyle w:val="Bodytext1"/>
        </w:rPr>
        <w:t>svým</w:t>
      </w:r>
    </w:p>
    <w:p w:rsidR="00740046" w:rsidRDefault="00F53D2D">
      <w:pPr>
        <w:pStyle w:val="Bodytext10"/>
        <w:tabs>
          <w:tab w:val="left" w:pos="1173"/>
          <w:tab w:val="left" w:pos="1687"/>
        </w:tabs>
        <w:spacing w:after="0"/>
        <w:ind w:left="420"/>
        <w:jc w:val="both"/>
      </w:pPr>
      <w:r>
        <w:rPr>
          <w:rStyle w:val="Bodytext1"/>
        </w:rPr>
        <w:t xml:space="preserve">důvěrným informacím. Každá SmluvníÍ </w:t>
      </w:r>
      <w:r>
        <w:rPr>
          <w:rStyle w:val="Bodytext1"/>
          <w:lang w:val="en-US" w:eastAsia="en-US" w:bidi="en-US"/>
        </w:rPr>
        <w:t>strana</w:t>
      </w:r>
      <w:r>
        <w:rPr>
          <w:rStyle w:val="Bodytext1"/>
          <w:lang w:val="en-US" w:eastAsia="en-US" w:bidi="en-US"/>
        </w:rPr>
        <w:tab/>
      </w:r>
      <w:r>
        <w:rPr>
          <w:rStyle w:val="Bodytext1"/>
        </w:rPr>
        <w:t>dále</w:t>
      </w:r>
      <w:r>
        <w:rPr>
          <w:rStyle w:val="Bodytext1"/>
        </w:rPr>
        <w:tab/>
        <w:t xml:space="preserve">ujednává, že </w:t>
      </w:r>
      <w:r>
        <w:rPr>
          <w:rStyle w:val="Bodytext1"/>
          <w:lang w:val="en-US" w:eastAsia="en-US" w:bidi="en-US"/>
        </w:rPr>
        <w:t xml:space="preserve">(a) </w:t>
      </w:r>
      <w:r>
        <w:rPr>
          <w:rStyle w:val="Bodytext1"/>
        </w:rPr>
        <w:t>zachová</w:t>
      </w:r>
    </w:p>
    <w:p w:rsidR="00740046" w:rsidRDefault="00F53D2D">
      <w:pPr>
        <w:pStyle w:val="Bodytext10"/>
        <w:tabs>
          <w:tab w:val="left" w:pos="1173"/>
          <w:tab w:val="left" w:pos="1687"/>
          <w:tab w:val="left" w:pos="3386"/>
        </w:tabs>
        <w:spacing w:after="0"/>
        <w:ind w:left="420"/>
        <w:jc w:val="both"/>
      </w:pPr>
      <w:r>
        <w:rPr>
          <w:rStyle w:val="Bodytext1"/>
        </w:rPr>
        <w:t xml:space="preserve">důvěrný </w:t>
      </w:r>
      <w:r>
        <w:rPr>
          <w:rStyle w:val="Bodytext1"/>
          <w:lang w:val="en-US" w:eastAsia="en-US" w:bidi="en-US"/>
        </w:rPr>
        <w:t xml:space="preserve">charakter </w:t>
      </w:r>
      <w:r>
        <w:rPr>
          <w:rStyle w:val="Bodytext1"/>
        </w:rPr>
        <w:t xml:space="preserve">informací, </w:t>
      </w:r>
      <w:r>
        <w:rPr>
          <w:rStyle w:val="Bodytext1"/>
          <w:lang w:val="en-US" w:eastAsia="en-US" w:bidi="en-US"/>
        </w:rPr>
        <w:t xml:space="preserve">o </w:t>
      </w:r>
      <w:r>
        <w:rPr>
          <w:rStyle w:val="Bodytext1"/>
        </w:rPr>
        <w:t xml:space="preserve">nichž </w:t>
      </w:r>
      <w:r>
        <w:rPr>
          <w:rStyle w:val="Bodytext1"/>
          <w:lang w:val="en-US" w:eastAsia="en-US" w:bidi="en-US"/>
        </w:rPr>
        <w:t xml:space="preserve">se </w:t>
      </w:r>
      <w:r>
        <w:rPr>
          <w:rStyle w:val="Bodytext1"/>
        </w:rPr>
        <w:t>dozví,</w:t>
      </w:r>
      <w:r>
        <w:rPr>
          <w:rStyle w:val="Bodytext1"/>
        </w:rPr>
        <w:tab/>
      </w:r>
      <w:r>
        <w:rPr>
          <w:rStyle w:val="Bodytext1"/>
          <w:lang w:val="en-US" w:eastAsia="en-US" w:bidi="en-US"/>
        </w:rPr>
        <w:t>(b)</w:t>
      </w:r>
      <w:r>
        <w:rPr>
          <w:rStyle w:val="Bodytext1"/>
          <w:lang w:val="en-US" w:eastAsia="en-US" w:bidi="en-US"/>
        </w:rPr>
        <w:tab/>
      </w:r>
      <w:r>
        <w:rPr>
          <w:rStyle w:val="Bodytext1"/>
        </w:rPr>
        <w:t>přijme veškerá</w:t>
      </w:r>
      <w:r>
        <w:rPr>
          <w:rStyle w:val="Bodytext1"/>
        </w:rPr>
        <w:tab/>
        <w:t>nezbytná</w:t>
      </w:r>
    </w:p>
    <w:p w:rsidR="00740046" w:rsidRDefault="00F53D2D">
      <w:pPr>
        <w:pStyle w:val="Bodytext10"/>
        <w:tabs>
          <w:tab w:val="left" w:pos="3342"/>
        </w:tabs>
        <w:spacing w:after="0"/>
        <w:ind w:firstLine="420"/>
        <w:jc w:val="both"/>
      </w:pPr>
      <w:r>
        <w:rPr>
          <w:rStyle w:val="Bodytext1"/>
        </w:rPr>
        <w:t xml:space="preserve">opatření, </w:t>
      </w:r>
      <w:r>
        <w:rPr>
          <w:rStyle w:val="Bodytext1"/>
          <w:lang w:val="en-US" w:eastAsia="en-US" w:bidi="en-US"/>
        </w:rPr>
        <w:t xml:space="preserve">aby </w:t>
      </w:r>
      <w:r>
        <w:rPr>
          <w:rStyle w:val="Bodytext1"/>
        </w:rPr>
        <w:t>přede</w:t>
      </w:r>
      <w:r>
        <w:rPr>
          <w:rStyle w:val="Bodytext1"/>
        </w:rPr>
        <w:t>šla</w:t>
      </w:r>
      <w:r>
        <w:rPr>
          <w:rStyle w:val="Bodytext1"/>
        </w:rPr>
        <w:tab/>
        <w:t>sdělováníÍ</w:t>
      </w:r>
    </w:p>
    <w:p w:rsidR="00740046" w:rsidRDefault="00F53D2D">
      <w:pPr>
        <w:pStyle w:val="Bodytext10"/>
        <w:tabs>
          <w:tab w:val="left" w:pos="1550"/>
          <w:tab w:val="left" w:pos="2590"/>
        </w:tabs>
        <w:spacing w:after="0"/>
        <w:ind w:firstLine="420"/>
        <w:jc w:val="both"/>
      </w:pPr>
      <w:r>
        <w:rPr>
          <w:rStyle w:val="Bodytext1"/>
        </w:rPr>
        <w:t>důvěrných</w:t>
      </w:r>
      <w:r>
        <w:rPr>
          <w:rStyle w:val="Bodytext1"/>
        </w:rPr>
        <w:tab/>
        <w:t>informacíÍ</w:t>
      </w:r>
      <w:r>
        <w:rPr>
          <w:rStyle w:val="Bodytext1"/>
        </w:rPr>
        <w:tab/>
      </w:r>
      <w:r>
        <w:rPr>
          <w:rStyle w:val="Bodytext1"/>
          <w:lang w:val="en-US" w:eastAsia="en-US" w:bidi="en-US"/>
        </w:rPr>
        <w:t xml:space="preserve">ze strany </w:t>
      </w:r>
      <w:r>
        <w:rPr>
          <w:rStyle w:val="Bodytext1"/>
        </w:rPr>
        <w:t>svých</w:t>
      </w:r>
    </w:p>
    <w:p w:rsidR="00740046" w:rsidRDefault="00F53D2D">
      <w:pPr>
        <w:pStyle w:val="Bodytext10"/>
        <w:tabs>
          <w:tab w:val="left" w:pos="1970"/>
          <w:tab w:val="left" w:pos="3386"/>
        </w:tabs>
        <w:spacing w:after="0"/>
        <w:ind w:left="420"/>
        <w:jc w:val="both"/>
      </w:pPr>
      <w:r>
        <w:rPr>
          <w:rStyle w:val="Bodytext1"/>
        </w:rPr>
        <w:t xml:space="preserve">zástupců </w:t>
      </w:r>
      <w:r>
        <w:rPr>
          <w:rStyle w:val="Bodytext1"/>
          <w:lang w:val="en-US" w:eastAsia="en-US" w:bidi="en-US"/>
        </w:rPr>
        <w:t xml:space="preserve">a (c) </w:t>
      </w:r>
      <w:r>
        <w:rPr>
          <w:rStyle w:val="Bodytext1"/>
        </w:rPr>
        <w:t xml:space="preserve">během </w:t>
      </w:r>
      <w:r>
        <w:rPr>
          <w:rStyle w:val="Bodytext1"/>
          <w:lang w:val="en-US" w:eastAsia="en-US" w:bidi="en-US"/>
        </w:rPr>
        <w:t xml:space="preserve">doby platnostii </w:t>
      </w:r>
      <w:r>
        <w:rPr>
          <w:rStyle w:val="Bodytext1"/>
        </w:rPr>
        <w:t xml:space="preserve">této </w:t>
      </w:r>
      <w:r>
        <w:rPr>
          <w:rStyle w:val="Bodytext1"/>
          <w:lang w:val="en-US" w:eastAsia="en-US" w:bidi="en-US"/>
        </w:rPr>
        <w:t xml:space="preserve">Smlouvy a dokud se </w:t>
      </w:r>
      <w:r>
        <w:rPr>
          <w:rStyle w:val="Bodytext1"/>
        </w:rPr>
        <w:t xml:space="preserve">důvěrné </w:t>
      </w:r>
      <w:r>
        <w:rPr>
          <w:rStyle w:val="Bodytext1"/>
          <w:lang w:val="en-US" w:eastAsia="en-US" w:bidi="en-US"/>
        </w:rPr>
        <w:t>informace nestanou</w:t>
      </w:r>
      <w:r>
        <w:rPr>
          <w:rStyle w:val="Bodytext1"/>
          <w:lang w:val="en-US" w:eastAsia="en-US" w:bidi="en-US"/>
        </w:rPr>
        <w:tab/>
      </w:r>
      <w:r>
        <w:rPr>
          <w:rStyle w:val="Bodytext1"/>
        </w:rPr>
        <w:t>veřejně</w:t>
      </w:r>
      <w:r>
        <w:rPr>
          <w:rStyle w:val="Bodytext1"/>
        </w:rPr>
        <w:tab/>
        <w:t>známými</w:t>
      </w:r>
      <w:r>
        <w:rPr>
          <w:rStyle w:val="Bodytext1"/>
          <w:lang w:val="en-US" w:eastAsia="en-US" w:bidi="en-US"/>
        </w:rPr>
        <w:t>i</w:t>
      </w:r>
    </w:p>
    <w:p w:rsidR="00740046" w:rsidRDefault="00F53D2D">
      <w:pPr>
        <w:pStyle w:val="Bodytext10"/>
        <w:tabs>
          <w:tab w:val="left" w:pos="1999"/>
        </w:tabs>
        <w:spacing w:after="0"/>
        <w:ind w:firstLine="420"/>
        <w:jc w:val="both"/>
      </w:pPr>
      <w:r>
        <w:rPr>
          <w:rStyle w:val="Bodytext1"/>
        </w:rPr>
        <w:t>prostřednictvím</w:t>
      </w:r>
      <w:r>
        <w:rPr>
          <w:rStyle w:val="Bodytext1"/>
        </w:rPr>
        <w:tab/>
        <w:t>konání</w:t>
      </w:r>
      <w:r>
        <w:rPr>
          <w:rStyle w:val="Bodytext1"/>
          <w:lang w:val="en-US" w:eastAsia="en-US" w:bidi="en-US"/>
        </w:rPr>
        <w:t xml:space="preserve">i </w:t>
      </w:r>
      <w:r>
        <w:rPr>
          <w:rStyle w:val="Bodytext1"/>
        </w:rPr>
        <w:t>Smluvní</w:t>
      </w:r>
      <w:r>
        <w:rPr>
          <w:rStyle w:val="Bodytext1"/>
          <w:lang w:val="en-US" w:eastAsia="en-US" w:bidi="en-US"/>
        </w:rPr>
        <w:t>i strany,</w:t>
      </w:r>
    </w:p>
    <w:p w:rsidR="00740046" w:rsidRDefault="00F53D2D">
      <w:pPr>
        <w:pStyle w:val="Bodytext10"/>
        <w:tabs>
          <w:tab w:val="left" w:pos="4126"/>
        </w:tabs>
        <w:spacing w:after="0"/>
        <w:ind w:firstLine="420"/>
        <w:jc w:val="both"/>
      </w:pPr>
      <w:r>
        <w:rPr>
          <w:rStyle w:val="Bodytext1"/>
        </w:rPr>
        <w:t xml:space="preserve">která důvěrné </w:t>
      </w:r>
      <w:r>
        <w:rPr>
          <w:rStyle w:val="Bodytext1"/>
          <w:lang w:val="en-US" w:eastAsia="en-US" w:bidi="en-US"/>
        </w:rPr>
        <w:t>informace poskytuje,</w:t>
      </w:r>
      <w:r>
        <w:rPr>
          <w:rStyle w:val="Bodytext1"/>
          <w:lang w:val="en-US" w:eastAsia="en-US" w:bidi="en-US"/>
        </w:rPr>
        <w:tab/>
      </w:r>
      <w:r>
        <w:rPr>
          <w:rStyle w:val="Bodytext1"/>
        </w:rPr>
        <w:t>či</w:t>
      </w:r>
      <w:r>
        <w:rPr>
          <w:rStyle w:val="Bodytext1"/>
          <w:lang w:val="en-US" w:eastAsia="en-US" w:bidi="en-US"/>
        </w:rPr>
        <w:t>i</w:t>
      </w:r>
    </w:p>
    <w:p w:rsidR="00740046" w:rsidRDefault="00F53D2D">
      <w:pPr>
        <w:pStyle w:val="Bodytext10"/>
        <w:ind w:left="420"/>
        <w:jc w:val="both"/>
      </w:pPr>
      <w:r>
        <w:rPr>
          <w:rStyle w:val="Bodytext1"/>
        </w:rPr>
        <w:t>jejího opomenutí</w:t>
      </w:r>
      <w:r>
        <w:rPr>
          <w:rStyle w:val="Bodytext1"/>
          <w:lang w:val="en-US" w:eastAsia="en-US" w:bidi="en-US"/>
        </w:rPr>
        <w:t xml:space="preserve">i konat, </w:t>
      </w:r>
      <w:r>
        <w:rPr>
          <w:rStyle w:val="Bodytext1"/>
        </w:rPr>
        <w:t>žádným způsobem nezveřejní, nesdělí</w:t>
      </w:r>
      <w:r>
        <w:rPr>
          <w:rStyle w:val="Bodytext1"/>
          <w:lang w:val="en-US" w:eastAsia="en-US" w:bidi="en-US"/>
        </w:rPr>
        <w:t xml:space="preserve">i anii nebude </w:t>
      </w:r>
      <w:r>
        <w:rPr>
          <w:rStyle w:val="Bodytext1"/>
        </w:rPr>
        <w:t>šířit žádnou část</w:t>
      </w:r>
      <w:r>
        <w:rPr>
          <w:rStyle w:val="Bodytext1"/>
          <w:lang w:val="en-US" w:eastAsia="en-US" w:bidi="en-US"/>
        </w:rPr>
        <w:t xml:space="preserve">t </w:t>
      </w:r>
      <w:r>
        <w:rPr>
          <w:rStyle w:val="Bodytext1"/>
        </w:rPr>
        <w:t>důvěrných informací</w:t>
      </w:r>
      <w:r>
        <w:rPr>
          <w:rStyle w:val="Bodytext1"/>
          <w:lang w:val="en-US" w:eastAsia="en-US" w:bidi="en-US"/>
        </w:rPr>
        <w:t xml:space="preserve">i anii tyto nebude </w:t>
      </w:r>
      <w:r>
        <w:rPr>
          <w:rStyle w:val="Bodytext1"/>
        </w:rPr>
        <w:t xml:space="preserve">užívat </w:t>
      </w:r>
      <w:r>
        <w:rPr>
          <w:rStyle w:val="Bodytext1"/>
          <w:lang w:val="en-US" w:eastAsia="en-US" w:bidi="en-US"/>
        </w:rPr>
        <w:t xml:space="preserve">bez </w:t>
      </w:r>
      <w:r>
        <w:rPr>
          <w:rStyle w:val="Bodytext1"/>
        </w:rPr>
        <w:t xml:space="preserve">předchozího písemného </w:t>
      </w:r>
      <w:r>
        <w:rPr>
          <w:rStyle w:val="Bodytext1"/>
          <w:lang w:val="en-US" w:eastAsia="en-US" w:bidi="en-US"/>
        </w:rPr>
        <w:t xml:space="preserve">souhlasu </w:t>
      </w:r>
      <w:r>
        <w:rPr>
          <w:rStyle w:val="Bodytext1"/>
        </w:rPr>
        <w:t>Smluvní</w:t>
      </w:r>
      <w:r>
        <w:rPr>
          <w:rStyle w:val="Bodytext1"/>
          <w:lang w:val="en-US" w:eastAsia="en-US" w:bidi="en-US"/>
        </w:rPr>
        <w:t xml:space="preserve">i strany, </w:t>
      </w:r>
      <w:r>
        <w:rPr>
          <w:rStyle w:val="Bodytext1"/>
        </w:rPr>
        <w:t xml:space="preserve">která důvěrné </w:t>
      </w:r>
      <w:r>
        <w:rPr>
          <w:rStyle w:val="Bodytext1"/>
          <w:lang w:val="en-US" w:eastAsia="en-US" w:bidi="en-US"/>
        </w:rPr>
        <w:t>informace poskytuje.</w:t>
      </w:r>
    </w:p>
    <w:p w:rsidR="00740046" w:rsidRDefault="00F53D2D">
      <w:pPr>
        <w:pStyle w:val="Bodytext10"/>
        <w:tabs>
          <w:tab w:val="left" w:pos="1249"/>
          <w:tab w:val="left" w:pos="3386"/>
        </w:tabs>
        <w:spacing w:after="0"/>
        <w:jc w:val="both"/>
      </w:pPr>
      <w:r>
        <w:rPr>
          <w:rStyle w:val="Bodytext1"/>
          <w:lang w:val="en-US" w:eastAsia="en-US" w:bidi="en-US"/>
        </w:rPr>
        <w:t xml:space="preserve">4)) </w:t>
      </w:r>
      <w:r>
        <w:rPr>
          <w:rStyle w:val="Bodytext1"/>
        </w:rPr>
        <w:t>Závazek</w:t>
      </w:r>
      <w:r>
        <w:rPr>
          <w:rStyle w:val="Bodytext1"/>
        </w:rPr>
        <w:tab/>
        <w:t>zachovávat</w:t>
      </w:r>
      <w:r>
        <w:rPr>
          <w:rStyle w:val="Bodytext1"/>
          <w:lang w:val="en-US" w:eastAsia="en-US" w:bidi="en-US"/>
        </w:rPr>
        <w:t xml:space="preserve">t </w:t>
      </w:r>
      <w:r>
        <w:rPr>
          <w:rStyle w:val="Bodytext1"/>
        </w:rPr>
        <w:t>důvěrný</w:t>
      </w:r>
      <w:r>
        <w:rPr>
          <w:rStyle w:val="Bodytext1"/>
        </w:rPr>
        <w:tab/>
      </w:r>
      <w:r>
        <w:rPr>
          <w:rStyle w:val="Bodytext1"/>
          <w:lang w:val="en-US" w:eastAsia="en-US" w:bidi="en-US"/>
        </w:rPr>
        <w:t>charaktern</w:t>
      </w:r>
    </w:p>
    <w:p w:rsidR="00740046" w:rsidRDefault="00F53D2D">
      <w:pPr>
        <w:pStyle w:val="Bodytext10"/>
        <w:tabs>
          <w:tab w:val="left" w:pos="1550"/>
        </w:tabs>
        <w:spacing w:after="0"/>
        <w:ind w:firstLine="420"/>
        <w:jc w:val="both"/>
      </w:pPr>
      <w:r>
        <w:rPr>
          <w:rStyle w:val="Bodytext1"/>
        </w:rPr>
        <w:t>důvě</w:t>
      </w:r>
      <w:r>
        <w:rPr>
          <w:rStyle w:val="Bodytext1"/>
        </w:rPr>
        <w:t>rných</w:t>
      </w:r>
      <w:r>
        <w:rPr>
          <w:rStyle w:val="Bodytext1"/>
        </w:rPr>
        <w:tab/>
        <w:t>informací</w:t>
      </w:r>
      <w:r>
        <w:rPr>
          <w:rStyle w:val="Bodytext1"/>
          <w:lang w:val="en-US" w:eastAsia="en-US" w:bidi="en-US"/>
        </w:rPr>
        <w:t xml:space="preserve">i je </w:t>
      </w:r>
      <w:r>
        <w:rPr>
          <w:rStyle w:val="Bodytext1"/>
        </w:rPr>
        <w:t xml:space="preserve">účinný, </w:t>
      </w:r>
      <w:r>
        <w:rPr>
          <w:rStyle w:val="Bodytext1"/>
          <w:lang w:val="en-US" w:eastAsia="en-US" w:bidi="en-US"/>
        </w:rPr>
        <w:t>dokud</w:t>
      </w:r>
    </w:p>
    <w:p w:rsidR="00740046" w:rsidRDefault="00F53D2D">
      <w:pPr>
        <w:pStyle w:val="Bodytext10"/>
        <w:tabs>
          <w:tab w:val="left" w:pos="2966"/>
          <w:tab w:val="left" w:pos="3516"/>
        </w:tabs>
        <w:spacing w:after="0"/>
        <w:ind w:firstLine="420"/>
        <w:jc w:val="both"/>
      </w:pPr>
      <w:r>
        <w:rPr>
          <w:rStyle w:val="Bodytext1"/>
          <w:lang w:val="en-US" w:eastAsia="en-US" w:bidi="en-US"/>
        </w:rPr>
        <w:t>informace nepozbydou</w:t>
      </w:r>
      <w:r>
        <w:rPr>
          <w:rStyle w:val="Bodytext1"/>
          <w:lang w:val="en-US" w:eastAsia="en-US" w:bidi="en-US"/>
        </w:rPr>
        <w:tab/>
      </w:r>
      <w:r>
        <w:rPr>
          <w:rStyle w:val="Bodytext1"/>
        </w:rPr>
        <w:t>svůj</w:t>
      </w:r>
      <w:r>
        <w:rPr>
          <w:rStyle w:val="Bodytext1"/>
          <w:lang w:val="en-US" w:eastAsia="en-US" w:bidi="en-US"/>
        </w:rPr>
        <w:t>i</w:t>
      </w:r>
      <w:r>
        <w:rPr>
          <w:rStyle w:val="Bodytext1"/>
          <w:lang w:val="en-US" w:eastAsia="en-US" w:bidi="en-US"/>
        </w:rPr>
        <w:tab/>
      </w:r>
      <w:r>
        <w:rPr>
          <w:rStyle w:val="Bodytext1"/>
        </w:rPr>
        <w:t>důvěrný</w:t>
      </w:r>
    </w:p>
    <w:p w:rsidR="00740046" w:rsidRDefault="00F53D2D">
      <w:pPr>
        <w:pStyle w:val="Bodytext10"/>
        <w:ind w:left="420"/>
        <w:jc w:val="both"/>
      </w:pPr>
      <w:r>
        <w:rPr>
          <w:rStyle w:val="Bodytext1"/>
          <w:lang w:val="en-US" w:eastAsia="en-US" w:bidi="en-US"/>
        </w:rPr>
        <w:t xml:space="preserve">charakter, </w:t>
      </w:r>
      <w:r>
        <w:rPr>
          <w:rStyle w:val="Bodytext1"/>
        </w:rPr>
        <w:t>nicméně závazek zachovávat</w:t>
      </w:r>
      <w:r>
        <w:rPr>
          <w:rStyle w:val="Bodytext1"/>
          <w:lang w:val="en-US" w:eastAsia="en-US" w:bidi="en-US"/>
        </w:rPr>
        <w:t xml:space="preserve">t </w:t>
      </w:r>
      <w:r>
        <w:rPr>
          <w:rStyle w:val="Bodytext1"/>
        </w:rPr>
        <w:t xml:space="preserve">důvěrný </w:t>
      </w:r>
      <w:r>
        <w:rPr>
          <w:rStyle w:val="Bodytext1"/>
          <w:lang w:val="en-US" w:eastAsia="en-US" w:bidi="en-US"/>
        </w:rPr>
        <w:t xml:space="preserve">charakter </w:t>
      </w:r>
      <w:r>
        <w:rPr>
          <w:rStyle w:val="Bodytext1"/>
        </w:rPr>
        <w:t xml:space="preserve">důvěrných informacíÍ </w:t>
      </w:r>
      <w:r>
        <w:rPr>
          <w:rStyle w:val="Bodytext1"/>
          <w:lang w:val="en-US" w:eastAsia="en-US" w:bidi="en-US"/>
        </w:rPr>
        <w:t xml:space="preserve">zde </w:t>
      </w:r>
      <w:r>
        <w:rPr>
          <w:rStyle w:val="Bodytext1"/>
        </w:rPr>
        <w:t xml:space="preserve">popsaný </w:t>
      </w:r>
      <w:r>
        <w:rPr>
          <w:rStyle w:val="Bodytext1"/>
          <w:lang w:val="en-US" w:eastAsia="en-US" w:bidi="en-US"/>
        </w:rPr>
        <w:t xml:space="preserve">je </w:t>
      </w:r>
      <w:r>
        <w:rPr>
          <w:rStyle w:val="Bodytext1"/>
        </w:rPr>
        <w:t xml:space="preserve">účinný také nejméně </w:t>
      </w:r>
      <w:r>
        <w:rPr>
          <w:rStyle w:val="Bodytext1"/>
          <w:lang w:val="en-US" w:eastAsia="en-US" w:bidi="en-US"/>
        </w:rPr>
        <w:t xml:space="preserve">po dobu 5 lettode dne </w:t>
      </w:r>
      <w:r>
        <w:rPr>
          <w:rStyle w:val="Bodytext1"/>
        </w:rPr>
        <w:t>zpřístupnění</w:t>
      </w:r>
      <w:r>
        <w:rPr>
          <w:rStyle w:val="Bodytext1"/>
          <w:lang w:val="en-US" w:eastAsia="en-US" w:bidi="en-US"/>
        </w:rPr>
        <w:t xml:space="preserve">i </w:t>
      </w:r>
      <w:r>
        <w:rPr>
          <w:rStyle w:val="Bodytext1"/>
        </w:rPr>
        <w:t>relevantníÍ části</w:t>
      </w:r>
      <w:r>
        <w:rPr>
          <w:rStyle w:val="Bodytext1"/>
          <w:lang w:val="en-US" w:eastAsia="en-US" w:bidi="en-US"/>
        </w:rPr>
        <w:t xml:space="preserve">i </w:t>
      </w:r>
      <w:r>
        <w:rPr>
          <w:rStyle w:val="Bodytext1"/>
        </w:rPr>
        <w:t>těchto informací</w:t>
      </w:r>
      <w:proofErr w:type="gramStart"/>
      <w:r>
        <w:rPr>
          <w:rStyle w:val="Bodytext1"/>
        </w:rPr>
        <w:t xml:space="preserve">, </w:t>
      </w:r>
      <w:r>
        <w:rPr>
          <w:rStyle w:val="Bodytext1"/>
          <w:lang w:val="en-US" w:eastAsia="en-US" w:bidi="en-US"/>
        </w:rPr>
        <w:t>,</w:t>
      </w:r>
      <w:proofErr w:type="gramEnd"/>
      <w:r>
        <w:rPr>
          <w:rStyle w:val="Bodytext1"/>
          <w:lang w:val="en-US" w:eastAsia="en-US" w:bidi="en-US"/>
        </w:rPr>
        <w:t xml:space="preserve"> a to i i po </w:t>
      </w:r>
      <w:r>
        <w:rPr>
          <w:rStyle w:val="Bodytext1"/>
        </w:rPr>
        <w:t>uplynutí</w:t>
      </w:r>
      <w:r>
        <w:rPr>
          <w:rStyle w:val="Bodytext1"/>
          <w:lang w:val="en-US" w:eastAsia="en-US" w:bidi="en-US"/>
        </w:rPr>
        <w:t xml:space="preserve">i </w:t>
      </w:r>
      <w:r>
        <w:rPr>
          <w:rStyle w:val="Bodytext1"/>
        </w:rPr>
        <w:t xml:space="preserve">či </w:t>
      </w:r>
      <w:r>
        <w:rPr>
          <w:rStyle w:val="Bodytext1"/>
          <w:lang w:val="en-US" w:eastAsia="en-US" w:bidi="en-US"/>
        </w:rPr>
        <w:t xml:space="preserve">i </w:t>
      </w:r>
      <w:r>
        <w:rPr>
          <w:rStyle w:val="Bodytext1"/>
        </w:rPr>
        <w:t>ukončení</w:t>
      </w:r>
      <w:r>
        <w:rPr>
          <w:rStyle w:val="Bodytext1"/>
          <w:lang w:val="en-US" w:eastAsia="en-US" w:bidi="en-US"/>
        </w:rPr>
        <w:t>i</w:t>
      </w:r>
      <w:r>
        <w:rPr>
          <w:rStyle w:val="Bodytext1"/>
        </w:rPr>
        <w:t xml:space="preserve">této </w:t>
      </w:r>
      <w:r>
        <w:rPr>
          <w:rStyle w:val="Bodytext1"/>
          <w:lang w:val="en-US" w:eastAsia="en-US" w:bidi="en-US"/>
        </w:rPr>
        <w:t>Smlouvy.</w:t>
      </w:r>
    </w:p>
    <w:p w:rsidR="00740046" w:rsidRDefault="00740046">
      <w:pPr>
        <w:pStyle w:val="Heading310"/>
        <w:keepNext/>
        <w:keepLines/>
        <w:numPr>
          <w:ilvl w:val="0"/>
          <w:numId w:val="8"/>
        </w:numPr>
        <w:spacing w:after="0"/>
      </w:pPr>
      <w:bookmarkStart w:id="10" w:name="bookmark24"/>
      <w:bookmarkEnd w:id="10"/>
    </w:p>
    <w:p w:rsidR="00740046" w:rsidRDefault="00F53D2D">
      <w:pPr>
        <w:pStyle w:val="Heading310"/>
        <w:keepNext/>
        <w:keepLines/>
      </w:pPr>
      <w:r>
        <w:rPr>
          <w:rStyle w:val="Heading31"/>
          <w:b/>
          <w:bCs/>
        </w:rPr>
        <w:t>Entire agreement</w:t>
      </w:r>
    </w:p>
    <w:p w:rsidR="00740046" w:rsidRDefault="00F53D2D">
      <w:pPr>
        <w:pStyle w:val="Bodytext10"/>
        <w:numPr>
          <w:ilvl w:val="0"/>
          <w:numId w:val="10"/>
        </w:numPr>
        <w:tabs>
          <w:tab w:val="left" w:pos="355"/>
        </w:tabs>
        <w:ind w:left="420" w:hanging="420"/>
        <w:jc w:val="both"/>
      </w:pPr>
      <w:r>
        <w:rPr>
          <w:rStyle w:val="Bodytext1"/>
        </w:rPr>
        <w:t xml:space="preserve">The Agreement replaces all prior agreements and understandings, written and oral, expressed or implied, between the Parties to </w:t>
      </w:r>
      <w:r>
        <w:rPr>
          <w:rStyle w:val="Bodytext1"/>
        </w:rPr>
        <w:lastRenderedPageBreak/>
        <w:t>the Agreement with regard to its subject matter.</w:t>
      </w:r>
    </w:p>
    <w:p w:rsidR="00740046" w:rsidRDefault="00F53D2D">
      <w:pPr>
        <w:pStyle w:val="Bodytext10"/>
        <w:numPr>
          <w:ilvl w:val="0"/>
          <w:numId w:val="10"/>
        </w:numPr>
        <w:tabs>
          <w:tab w:val="left" w:pos="355"/>
        </w:tabs>
        <w:ind w:left="420" w:hanging="420"/>
        <w:jc w:val="both"/>
      </w:pPr>
      <w:r>
        <w:rPr>
          <w:rStyle w:val="Bodytext1"/>
        </w:rPr>
        <w:t xml:space="preserve">Should any </w:t>
      </w:r>
      <w:r>
        <w:rPr>
          <w:rStyle w:val="Bodytext1"/>
        </w:rPr>
        <w:t>provision thereof become invalid, void or unenforceable, this shall be without prejudice to the validity or enforceability of this Agreement as a whole or any other provisions hereof.</w:t>
      </w:r>
    </w:p>
    <w:p w:rsidR="00740046" w:rsidRDefault="00F53D2D">
      <w:pPr>
        <w:pStyle w:val="Bodytext10"/>
        <w:numPr>
          <w:ilvl w:val="0"/>
          <w:numId w:val="10"/>
        </w:numPr>
        <w:tabs>
          <w:tab w:val="left" w:pos="355"/>
        </w:tabs>
        <w:ind w:left="420" w:hanging="420"/>
        <w:jc w:val="both"/>
      </w:pPr>
      <w:r>
        <w:rPr>
          <w:rStyle w:val="Bodytext1"/>
        </w:rPr>
        <w:t>The Parties undertake to replace any such invalid, void, or unenforceabl</w:t>
      </w:r>
      <w:r>
        <w:rPr>
          <w:rStyle w:val="Bodytext1"/>
        </w:rPr>
        <w:t>e provision with a new valid and enforceable provision with the purpose best corresponding to the purpose of the original provision hereof.</w:t>
      </w:r>
    </w:p>
    <w:p w:rsidR="00740046" w:rsidRDefault="00F53D2D">
      <w:pPr>
        <w:pStyle w:val="Bodytext10"/>
        <w:numPr>
          <w:ilvl w:val="0"/>
          <w:numId w:val="10"/>
        </w:numPr>
        <w:tabs>
          <w:tab w:val="left" w:pos="355"/>
        </w:tabs>
        <w:ind w:left="420" w:hanging="420"/>
        <w:jc w:val="both"/>
      </w:pPr>
      <w:r>
        <w:rPr>
          <w:rStyle w:val="Bodytext1"/>
        </w:rPr>
        <w:t>Until the provision is replaced, the legal relations between the Parties shall be governed by the applicable laws of</w:t>
      </w:r>
      <w:r>
        <w:rPr>
          <w:rStyle w:val="Bodytext1"/>
        </w:rPr>
        <w:t xml:space="preserve"> the Czech Republic.</w:t>
      </w:r>
    </w:p>
    <w:p w:rsidR="00740046" w:rsidRDefault="00F53D2D">
      <w:pPr>
        <w:pStyle w:val="Bodytext10"/>
        <w:numPr>
          <w:ilvl w:val="0"/>
          <w:numId w:val="10"/>
        </w:numPr>
        <w:tabs>
          <w:tab w:val="left" w:pos="355"/>
        </w:tabs>
        <w:ind w:left="420" w:hanging="420"/>
        <w:jc w:val="both"/>
      </w:pPr>
      <w:r>
        <w:rPr>
          <w:rStyle w:val="Bodytext1"/>
        </w:rPr>
        <w:t>In connection with the application of the provisions of Act No. 340/2015 Coll., on special terms and conditions of effectiveness of certain contracts, on publishing of such contracts and on the register of contracts (the Act on Registe</w:t>
      </w:r>
      <w:r>
        <w:rPr>
          <w:rStyle w:val="Bodytext1"/>
        </w:rPr>
        <w:t>r of Contracts), as amended and supplemented (hereinafter referred to only as the “</w:t>
      </w:r>
      <w:r>
        <w:rPr>
          <w:rStyle w:val="Bodytext1"/>
          <w:b/>
          <w:bCs/>
        </w:rPr>
        <w:t>Act on Register of Contracts</w:t>
      </w:r>
      <w:r>
        <w:rPr>
          <w:rStyle w:val="Bodytext1"/>
        </w:rPr>
        <w:t>”), and provided that it shall be obligatory to publish this Agreement pursuant to the provisions of the Act on Register of Contracts, the contra</w:t>
      </w:r>
      <w:r>
        <w:rPr>
          <w:rStyle w:val="Bodytext1"/>
        </w:rPr>
        <w:t xml:space="preserve">ctual parties agree that the agreement shall be published by the Recipient. Before publishing, Accord shall without undue delay and in writing </w:t>
      </w:r>
      <w:r>
        <w:rPr>
          <w:rStyle w:val="Bodytext1"/>
          <w:lang w:val="en-US" w:eastAsia="en-US" w:bidi="en-US"/>
        </w:rPr>
        <w:t>pre</w:t>
      </w:r>
      <w:r>
        <w:rPr>
          <w:rStyle w:val="Bodytext1"/>
          <w:lang w:val="en-US" w:eastAsia="en-US" w:bidi="en-US"/>
        </w:rPr>
        <w:softHyphen/>
        <w:t>approve</w:t>
      </w:r>
      <w:r>
        <w:rPr>
          <w:rStyle w:val="Bodytext1"/>
        </w:rPr>
        <w:t xml:space="preserve"> the text and format of the data to be published in the register of contracts.</w:t>
      </w:r>
    </w:p>
    <w:p w:rsidR="00740046" w:rsidRDefault="00740046">
      <w:pPr>
        <w:pStyle w:val="Heading310"/>
        <w:keepNext/>
        <w:keepLines/>
        <w:numPr>
          <w:ilvl w:val="0"/>
          <w:numId w:val="8"/>
        </w:numPr>
        <w:spacing w:after="0"/>
      </w:pPr>
      <w:bookmarkStart w:id="11" w:name="bookmark27"/>
      <w:bookmarkEnd w:id="11"/>
    </w:p>
    <w:p w:rsidR="00740046" w:rsidRDefault="00F53D2D">
      <w:pPr>
        <w:pStyle w:val="Heading310"/>
        <w:keepNext/>
        <w:keepLines/>
      </w:pPr>
      <w:r>
        <w:rPr>
          <w:rStyle w:val="Heading31"/>
          <w:b/>
          <w:bCs/>
        </w:rPr>
        <w:t>Terms and termination</w:t>
      </w:r>
    </w:p>
    <w:p w:rsidR="00740046" w:rsidRDefault="00F53D2D">
      <w:pPr>
        <w:pStyle w:val="Bodytext10"/>
        <w:numPr>
          <w:ilvl w:val="0"/>
          <w:numId w:val="11"/>
        </w:numPr>
        <w:tabs>
          <w:tab w:val="left" w:pos="355"/>
          <w:tab w:val="left" w:pos="1584"/>
          <w:tab w:val="left" w:pos="2198"/>
        </w:tabs>
        <w:spacing w:after="0"/>
        <w:ind w:left="420" w:hanging="420"/>
        <w:jc w:val="both"/>
      </w:pPr>
      <w:r>
        <w:rPr>
          <w:rStyle w:val="Bodytext1"/>
        </w:rPr>
        <w:t>This Agreement shall enter into force on the day of its conclusion and shall be effective on the day of its publication in the register of contracts. The Parties hereby mutually confirm that the provisions of this Agreement</w:t>
      </w:r>
      <w:r>
        <w:rPr>
          <w:rStyle w:val="Bodytext1"/>
        </w:rPr>
        <w:tab/>
        <w:t>shall</w:t>
      </w:r>
      <w:r>
        <w:rPr>
          <w:rStyle w:val="Bodytext1"/>
          <w:lang w:val="en-US" w:eastAsia="en-US" w:bidi="en-US"/>
        </w:rPr>
        <w:t>I</w:t>
      </w:r>
      <w:r>
        <w:rPr>
          <w:rStyle w:val="Bodytext1"/>
          <w:lang w:val="en-US" w:eastAsia="en-US" w:bidi="en-US"/>
        </w:rPr>
        <w:tab/>
        <w:t>also apply to legalI</w:t>
      </w:r>
    </w:p>
    <w:p w:rsidR="00740046" w:rsidRDefault="00F53D2D">
      <w:pPr>
        <w:pStyle w:val="Bodytext10"/>
        <w:ind w:left="420"/>
        <w:jc w:val="both"/>
      </w:pPr>
      <w:r>
        <w:rPr>
          <w:rStyle w:val="Bodytext1"/>
          <w:lang w:val="en-US" w:eastAsia="en-US" w:bidi="en-US"/>
        </w:rPr>
        <w:t>rela</w:t>
      </w:r>
      <w:r>
        <w:rPr>
          <w:rStyle w:val="Bodytext1"/>
          <w:lang w:val="en-US" w:eastAsia="en-US" w:bidi="en-US"/>
        </w:rPr>
        <w:t>tions arising between the Parties under this Agreement from 1.1.2025 by the moment this Agreement shallI be effective according to the register of contracts. This Agreement is concluded for an indefinite period.</w:t>
      </w:r>
    </w:p>
    <w:p w:rsidR="00740046" w:rsidRDefault="00F53D2D">
      <w:pPr>
        <w:pStyle w:val="Bodytext10"/>
        <w:numPr>
          <w:ilvl w:val="0"/>
          <w:numId w:val="11"/>
        </w:numPr>
        <w:tabs>
          <w:tab w:val="left" w:pos="355"/>
        </w:tabs>
        <w:ind w:left="420" w:hanging="420"/>
        <w:jc w:val="both"/>
      </w:pPr>
      <w:r>
        <w:rPr>
          <w:rStyle w:val="Bodytext1"/>
          <w:lang w:val="en-US" w:eastAsia="en-US" w:bidi="en-US"/>
        </w:rPr>
        <w:t>Either Party shallI be entitled to terminate</w:t>
      </w:r>
      <w:r>
        <w:rPr>
          <w:rStyle w:val="Bodytext1"/>
          <w:lang w:val="en-US" w:eastAsia="en-US" w:bidi="en-US"/>
        </w:rPr>
        <w:t xml:space="preserve"> the Agreement with a 30-day notice period</w:t>
      </w:r>
    </w:p>
    <w:p w:rsidR="00740046" w:rsidRDefault="00F53D2D">
      <w:pPr>
        <w:pStyle w:val="Heading310"/>
        <w:keepNext/>
        <w:keepLines/>
      </w:pPr>
      <w:bookmarkStart w:id="12" w:name="bookmark30"/>
      <w:r>
        <w:rPr>
          <w:rStyle w:val="Heading31"/>
          <w:b/>
          <w:bCs/>
          <w:lang w:val="en-US" w:eastAsia="en-US" w:bidi="en-US"/>
        </w:rPr>
        <w:t>§ 4</w:t>
      </w:r>
      <w:r>
        <w:rPr>
          <w:rStyle w:val="Heading31"/>
          <w:b/>
          <w:bCs/>
          <w:lang w:val="en-US" w:eastAsia="en-US" w:bidi="en-US"/>
        </w:rPr>
        <w:br/>
      </w:r>
      <w:r>
        <w:rPr>
          <w:rStyle w:val="Heading31"/>
          <w:b/>
          <w:bCs/>
        </w:rPr>
        <w:t xml:space="preserve">Úplná </w:t>
      </w:r>
      <w:r>
        <w:rPr>
          <w:rStyle w:val="Heading31"/>
          <w:b/>
          <w:bCs/>
          <w:lang w:val="en-US" w:eastAsia="en-US" w:bidi="en-US"/>
        </w:rPr>
        <w:t>dohoda</w:t>
      </w:r>
      <w:bookmarkEnd w:id="12"/>
    </w:p>
    <w:p w:rsidR="00740046" w:rsidRDefault="00F53D2D">
      <w:pPr>
        <w:pStyle w:val="Bodytext10"/>
        <w:numPr>
          <w:ilvl w:val="0"/>
          <w:numId w:val="12"/>
        </w:numPr>
        <w:tabs>
          <w:tab w:val="left" w:pos="336"/>
          <w:tab w:val="left" w:pos="1503"/>
        </w:tabs>
        <w:spacing w:after="0"/>
        <w:ind w:left="420" w:hanging="420"/>
        <w:jc w:val="both"/>
      </w:pPr>
      <w:r>
        <w:rPr>
          <w:rStyle w:val="Bodytext1"/>
          <w:lang w:val="en-US" w:eastAsia="en-US" w:bidi="en-US"/>
        </w:rPr>
        <w:t xml:space="preserve">Tato Smlouva nahrazuje </w:t>
      </w:r>
      <w:r>
        <w:rPr>
          <w:rStyle w:val="Bodytext1"/>
        </w:rPr>
        <w:t xml:space="preserve">všechny předchozí </w:t>
      </w:r>
      <w:r>
        <w:rPr>
          <w:rStyle w:val="Bodytext1"/>
          <w:lang w:val="en-US" w:eastAsia="en-US" w:bidi="en-US"/>
        </w:rPr>
        <w:t>Smlouvy a</w:t>
      </w:r>
      <w:r>
        <w:rPr>
          <w:rStyle w:val="Bodytext1"/>
          <w:lang w:val="en-US" w:eastAsia="en-US" w:bidi="en-US"/>
        </w:rPr>
        <w:tab/>
      </w:r>
      <w:r>
        <w:rPr>
          <w:rStyle w:val="Bodytext1"/>
        </w:rPr>
        <w:t>ujednání, písemné či ústní,</w:t>
      </w:r>
    </w:p>
    <w:p w:rsidR="00740046" w:rsidRDefault="00F53D2D">
      <w:pPr>
        <w:pStyle w:val="Bodytext10"/>
        <w:ind w:left="420"/>
        <w:jc w:val="both"/>
      </w:pPr>
      <w:r>
        <w:rPr>
          <w:rStyle w:val="Bodytext1"/>
        </w:rPr>
        <w:t xml:space="preserve">výslovné či implikované </w:t>
      </w:r>
      <w:r>
        <w:rPr>
          <w:rStyle w:val="Bodytext1"/>
          <w:lang w:val="en-US" w:eastAsia="en-US" w:bidi="en-US"/>
        </w:rPr>
        <w:t xml:space="preserve">mezi </w:t>
      </w:r>
      <w:r>
        <w:rPr>
          <w:rStyle w:val="Bodytext1"/>
        </w:rPr>
        <w:t xml:space="preserve">Smluvními </w:t>
      </w:r>
      <w:r>
        <w:rPr>
          <w:rStyle w:val="Bodytext1"/>
          <w:lang w:val="en-US" w:eastAsia="en-US" w:bidi="en-US"/>
        </w:rPr>
        <w:t xml:space="preserve">stranami </w:t>
      </w:r>
      <w:r>
        <w:rPr>
          <w:rStyle w:val="Bodytext1"/>
        </w:rPr>
        <w:t xml:space="preserve">týkající </w:t>
      </w:r>
      <w:r>
        <w:rPr>
          <w:rStyle w:val="Bodytext1"/>
          <w:lang w:val="en-US" w:eastAsia="en-US" w:bidi="en-US"/>
        </w:rPr>
        <w:t xml:space="preserve">se </w:t>
      </w:r>
      <w:r>
        <w:rPr>
          <w:rStyle w:val="Bodytext1"/>
        </w:rPr>
        <w:t>jejího předmětu.</w:t>
      </w:r>
    </w:p>
    <w:p w:rsidR="00740046" w:rsidRDefault="00F53D2D">
      <w:pPr>
        <w:pStyle w:val="Bodytext10"/>
        <w:numPr>
          <w:ilvl w:val="0"/>
          <w:numId w:val="12"/>
        </w:numPr>
        <w:tabs>
          <w:tab w:val="left" w:pos="336"/>
        </w:tabs>
        <w:ind w:left="420" w:hanging="420"/>
        <w:jc w:val="both"/>
      </w:pPr>
      <w:r>
        <w:rPr>
          <w:rStyle w:val="Bodytext1"/>
          <w:lang w:val="en-US" w:eastAsia="en-US" w:bidi="en-US"/>
        </w:rPr>
        <w:t xml:space="preserve">Stane-li se </w:t>
      </w:r>
      <w:r>
        <w:rPr>
          <w:rStyle w:val="Bodytext1"/>
        </w:rPr>
        <w:t xml:space="preserve">kterékoli ustanovení této </w:t>
      </w:r>
      <w:r>
        <w:rPr>
          <w:rStyle w:val="Bodytext1"/>
          <w:lang w:val="en-US" w:eastAsia="en-US" w:bidi="en-US"/>
        </w:rPr>
        <w:t xml:space="preserve">Smlouvy </w:t>
      </w:r>
      <w:r>
        <w:rPr>
          <w:rStyle w:val="Bodytext1"/>
        </w:rPr>
        <w:t xml:space="preserve">neplatným, neúčinným či nevymahatelným, </w:t>
      </w:r>
      <w:r>
        <w:rPr>
          <w:rStyle w:val="Bodytext1"/>
          <w:lang w:val="en-US" w:eastAsia="en-US" w:bidi="en-US"/>
        </w:rPr>
        <w:t xml:space="preserve">nebude to </w:t>
      </w:r>
      <w:r>
        <w:rPr>
          <w:rStyle w:val="Bodytext1"/>
        </w:rPr>
        <w:t xml:space="preserve">mít </w:t>
      </w:r>
      <w:r>
        <w:rPr>
          <w:rStyle w:val="Bodytext1"/>
          <w:lang w:val="en-US" w:eastAsia="en-US" w:bidi="en-US"/>
        </w:rPr>
        <w:t xml:space="preserve">vliv na platnost </w:t>
      </w:r>
      <w:r>
        <w:rPr>
          <w:rStyle w:val="Bodytext1"/>
        </w:rPr>
        <w:t xml:space="preserve">či </w:t>
      </w:r>
      <w:r>
        <w:rPr>
          <w:rStyle w:val="Bodytext1"/>
          <w:lang w:val="en-US" w:eastAsia="en-US" w:bidi="en-US"/>
        </w:rPr>
        <w:t xml:space="preserve">vymahatelnost </w:t>
      </w:r>
      <w:r>
        <w:rPr>
          <w:rStyle w:val="Bodytext1"/>
        </w:rPr>
        <w:t xml:space="preserve">této </w:t>
      </w:r>
      <w:r>
        <w:rPr>
          <w:rStyle w:val="Bodytext1"/>
          <w:lang w:val="en-US" w:eastAsia="en-US" w:bidi="en-US"/>
        </w:rPr>
        <w:t xml:space="preserve">Smlouvy jako celku nebo </w:t>
      </w:r>
      <w:r>
        <w:rPr>
          <w:rStyle w:val="Bodytext1"/>
        </w:rPr>
        <w:t>jejích jiných ustanovení.</w:t>
      </w:r>
    </w:p>
    <w:p w:rsidR="00740046" w:rsidRDefault="00F53D2D">
      <w:pPr>
        <w:pStyle w:val="Bodytext10"/>
        <w:numPr>
          <w:ilvl w:val="0"/>
          <w:numId w:val="12"/>
        </w:numPr>
        <w:tabs>
          <w:tab w:val="left" w:pos="336"/>
          <w:tab w:val="left" w:pos="2549"/>
          <w:tab w:val="left" w:pos="3365"/>
        </w:tabs>
        <w:spacing w:after="0"/>
        <w:ind w:left="420" w:hanging="420"/>
        <w:jc w:val="both"/>
      </w:pPr>
      <w:r>
        <w:rPr>
          <w:rStyle w:val="Bodytext1"/>
        </w:rPr>
        <w:t xml:space="preserve">Smluvní </w:t>
      </w:r>
      <w:r>
        <w:rPr>
          <w:rStyle w:val="Bodytext1"/>
          <w:lang w:val="en-US" w:eastAsia="en-US" w:bidi="en-US"/>
        </w:rPr>
        <w:t xml:space="preserve">strany se </w:t>
      </w:r>
      <w:r>
        <w:rPr>
          <w:rStyle w:val="Bodytext1"/>
        </w:rPr>
        <w:t xml:space="preserve">zavazují </w:t>
      </w:r>
      <w:r>
        <w:rPr>
          <w:rStyle w:val="Bodytext1"/>
          <w:lang w:val="en-US" w:eastAsia="en-US" w:bidi="en-US"/>
        </w:rPr>
        <w:t xml:space="preserve">nahradit </w:t>
      </w:r>
      <w:r>
        <w:rPr>
          <w:rStyle w:val="Bodytext1"/>
        </w:rPr>
        <w:t xml:space="preserve">jakékoli takové neplatné, neúčinné či nevymahatelné ustanovení novým platným </w:t>
      </w:r>
      <w:r>
        <w:rPr>
          <w:rStyle w:val="Bodytext1"/>
          <w:lang w:val="en-US" w:eastAsia="en-US" w:bidi="en-US"/>
        </w:rPr>
        <w:t xml:space="preserve">a </w:t>
      </w:r>
      <w:r>
        <w:rPr>
          <w:rStyle w:val="Bodytext1"/>
        </w:rPr>
        <w:t>vymahatelným ustanovení, jehož účel nejvíce odpovídá</w:t>
      </w:r>
      <w:r>
        <w:rPr>
          <w:rStyle w:val="Bodytext1"/>
        </w:rPr>
        <w:tab/>
        <w:t>účelu</w:t>
      </w:r>
      <w:r>
        <w:rPr>
          <w:rStyle w:val="Bodytext1"/>
        </w:rPr>
        <w:tab/>
        <w:t>původního</w:t>
      </w:r>
    </w:p>
    <w:p w:rsidR="00740046" w:rsidRDefault="00F53D2D">
      <w:pPr>
        <w:pStyle w:val="Bodytext10"/>
        <w:ind w:firstLine="420"/>
        <w:jc w:val="both"/>
      </w:pPr>
      <w:r>
        <w:rPr>
          <w:rStyle w:val="Bodytext1"/>
        </w:rPr>
        <w:t xml:space="preserve">ustanovení této </w:t>
      </w:r>
      <w:r>
        <w:rPr>
          <w:rStyle w:val="Bodytext1"/>
          <w:lang w:val="en-US" w:eastAsia="en-US" w:bidi="en-US"/>
        </w:rPr>
        <w:t>Smlouvy.</w:t>
      </w:r>
    </w:p>
    <w:p w:rsidR="00740046" w:rsidRDefault="00F53D2D">
      <w:pPr>
        <w:pStyle w:val="Bodytext10"/>
        <w:numPr>
          <w:ilvl w:val="0"/>
          <w:numId w:val="12"/>
        </w:numPr>
        <w:tabs>
          <w:tab w:val="left" w:pos="336"/>
          <w:tab w:val="left" w:pos="1344"/>
          <w:tab w:val="left" w:pos="2309"/>
          <w:tab w:val="left" w:pos="3638"/>
        </w:tabs>
        <w:spacing w:after="0"/>
        <w:jc w:val="both"/>
      </w:pPr>
      <w:r>
        <w:rPr>
          <w:rStyle w:val="Bodytext1"/>
          <w:lang w:val="en-US" w:eastAsia="en-US" w:bidi="en-US"/>
        </w:rPr>
        <w:t>Dokud</w:t>
      </w:r>
      <w:r>
        <w:rPr>
          <w:rStyle w:val="Bodytext1"/>
          <w:lang w:val="en-US" w:eastAsia="en-US" w:bidi="en-US"/>
        </w:rPr>
        <w:tab/>
      </w:r>
      <w:r>
        <w:rPr>
          <w:rStyle w:val="Bodytext1"/>
        </w:rPr>
        <w:t>takové</w:t>
      </w:r>
      <w:r>
        <w:rPr>
          <w:rStyle w:val="Bodytext1"/>
        </w:rPr>
        <w:tab/>
        <w:t>ustanovení</w:t>
      </w:r>
      <w:r>
        <w:rPr>
          <w:rStyle w:val="Bodytext1"/>
        </w:rPr>
        <w:tab/>
      </w:r>
      <w:r>
        <w:rPr>
          <w:rStyle w:val="Bodytext1"/>
          <w:lang w:val="en-US" w:eastAsia="en-US" w:bidi="en-US"/>
        </w:rPr>
        <w:t>nebude</w:t>
      </w:r>
    </w:p>
    <w:p w:rsidR="00740046" w:rsidRDefault="00F53D2D">
      <w:pPr>
        <w:pStyle w:val="Bodytext10"/>
        <w:ind w:left="420"/>
        <w:jc w:val="both"/>
      </w:pPr>
      <w:r>
        <w:rPr>
          <w:rStyle w:val="Bodytext1"/>
          <w:lang w:val="en-US" w:eastAsia="en-US" w:bidi="en-US"/>
        </w:rPr>
        <w:t xml:space="preserve">nahrazeno, </w:t>
      </w:r>
      <w:r>
        <w:rPr>
          <w:rStyle w:val="Bodytext1"/>
        </w:rPr>
        <w:t xml:space="preserve">právní </w:t>
      </w:r>
      <w:r>
        <w:rPr>
          <w:rStyle w:val="Bodytext1"/>
          <w:lang w:val="en-US" w:eastAsia="en-US" w:bidi="en-US"/>
        </w:rPr>
        <w:t xml:space="preserve">vztahy </w:t>
      </w:r>
      <w:r>
        <w:rPr>
          <w:rStyle w:val="Bodytext1"/>
        </w:rPr>
        <w:t xml:space="preserve">Smluvních </w:t>
      </w:r>
      <w:r>
        <w:rPr>
          <w:rStyle w:val="Bodytext1"/>
          <w:lang w:val="en-US" w:eastAsia="en-US" w:bidi="en-US"/>
        </w:rPr>
        <w:t xml:space="preserve">stran se </w:t>
      </w:r>
      <w:r>
        <w:rPr>
          <w:rStyle w:val="Bodytext1"/>
        </w:rPr>
        <w:t>řídí pla</w:t>
      </w:r>
      <w:r>
        <w:rPr>
          <w:rStyle w:val="Bodytext1"/>
        </w:rPr>
        <w:t xml:space="preserve">tnými právními předpisy České </w:t>
      </w:r>
      <w:r>
        <w:rPr>
          <w:rStyle w:val="Bodytext1"/>
          <w:lang w:val="en-US" w:eastAsia="en-US" w:bidi="en-US"/>
        </w:rPr>
        <w:t>republiky.</w:t>
      </w:r>
    </w:p>
    <w:p w:rsidR="00740046" w:rsidRDefault="00F53D2D">
      <w:pPr>
        <w:pStyle w:val="Bodytext10"/>
        <w:numPr>
          <w:ilvl w:val="0"/>
          <w:numId w:val="12"/>
        </w:numPr>
        <w:tabs>
          <w:tab w:val="left" w:pos="336"/>
        </w:tabs>
        <w:spacing w:after="1080"/>
        <w:ind w:left="420" w:hanging="420"/>
        <w:jc w:val="both"/>
      </w:pPr>
      <w:r>
        <w:rPr>
          <w:rStyle w:val="Bodytext1"/>
          <w:lang w:val="en-US" w:eastAsia="en-US" w:bidi="en-US"/>
        </w:rPr>
        <w:t xml:space="preserve">V souvislosti s </w:t>
      </w:r>
      <w:r>
        <w:rPr>
          <w:rStyle w:val="Bodytext1"/>
        </w:rPr>
        <w:t xml:space="preserve">aplikací ustanovení zákona č. </w:t>
      </w:r>
      <w:r>
        <w:rPr>
          <w:rStyle w:val="Bodytext1"/>
          <w:lang w:val="en-US" w:eastAsia="en-US" w:bidi="en-US"/>
        </w:rPr>
        <w:t xml:space="preserve">340/2015 Sb., o </w:t>
      </w:r>
      <w:r>
        <w:rPr>
          <w:rStyle w:val="Bodytext1"/>
        </w:rPr>
        <w:t xml:space="preserve">zvláštních podmínkách účinnosti některých </w:t>
      </w:r>
      <w:r>
        <w:rPr>
          <w:rStyle w:val="Bodytext1"/>
          <w:lang w:val="en-US" w:eastAsia="en-US" w:bidi="en-US"/>
        </w:rPr>
        <w:t xml:space="preserve">smluv, </w:t>
      </w:r>
      <w:r>
        <w:rPr>
          <w:rStyle w:val="Bodytext1"/>
        </w:rPr>
        <w:t xml:space="preserve">uveřejňování těchto </w:t>
      </w:r>
      <w:r>
        <w:rPr>
          <w:rStyle w:val="Bodytext1"/>
          <w:lang w:val="en-US" w:eastAsia="en-US" w:bidi="en-US"/>
        </w:rPr>
        <w:t xml:space="preserve">smluv a o registru smluv </w:t>
      </w:r>
      <w:r>
        <w:rPr>
          <w:rStyle w:val="Bodytext1"/>
        </w:rPr>
        <w:t xml:space="preserve">(zákon </w:t>
      </w:r>
      <w:r>
        <w:rPr>
          <w:rStyle w:val="Bodytext1"/>
          <w:lang w:val="en-US" w:eastAsia="en-US" w:bidi="en-US"/>
        </w:rPr>
        <w:t xml:space="preserve">o registru smluv), ve </w:t>
      </w:r>
      <w:r>
        <w:rPr>
          <w:rStyle w:val="Bodytext1"/>
        </w:rPr>
        <w:t>znění pozdějších předpisů (dál</w:t>
      </w:r>
      <w:r>
        <w:rPr>
          <w:rStyle w:val="Bodytext1"/>
        </w:rPr>
        <w:t xml:space="preserve">e </w:t>
      </w:r>
      <w:r>
        <w:rPr>
          <w:rStyle w:val="Bodytext1"/>
          <w:lang w:val="en-US" w:eastAsia="en-US" w:bidi="en-US"/>
        </w:rPr>
        <w:t xml:space="preserve">jen jako </w:t>
      </w:r>
      <w:r>
        <w:rPr>
          <w:rStyle w:val="Bodytext1"/>
        </w:rPr>
        <w:t>„</w:t>
      </w:r>
      <w:r>
        <w:rPr>
          <w:rStyle w:val="Bodytext1"/>
          <w:b/>
          <w:bCs/>
        </w:rPr>
        <w:t xml:space="preserve">Zákon </w:t>
      </w:r>
      <w:r>
        <w:rPr>
          <w:rStyle w:val="Bodytext1"/>
          <w:b/>
          <w:bCs/>
          <w:lang w:val="en-US" w:eastAsia="en-US" w:bidi="en-US"/>
        </w:rPr>
        <w:t>o registru smluv</w:t>
      </w:r>
      <w:r>
        <w:rPr>
          <w:rStyle w:val="Bodytext1"/>
          <w:lang w:val="en-US" w:eastAsia="en-US" w:bidi="en-US"/>
        </w:rPr>
        <w:t xml:space="preserve">”) a pokud bude </w:t>
      </w:r>
      <w:r>
        <w:rPr>
          <w:rStyle w:val="Bodytext1"/>
        </w:rPr>
        <w:t xml:space="preserve">uveřejnění této </w:t>
      </w:r>
      <w:r>
        <w:rPr>
          <w:rStyle w:val="Bodytext1"/>
          <w:lang w:val="en-US" w:eastAsia="en-US" w:bidi="en-US"/>
        </w:rPr>
        <w:t xml:space="preserve">Smlouvy podle </w:t>
      </w:r>
      <w:r>
        <w:rPr>
          <w:rStyle w:val="Bodytext1"/>
        </w:rPr>
        <w:t xml:space="preserve">ustanovení Zákona </w:t>
      </w:r>
      <w:r>
        <w:rPr>
          <w:rStyle w:val="Bodytext1"/>
          <w:lang w:val="en-US" w:eastAsia="en-US" w:bidi="en-US"/>
        </w:rPr>
        <w:t xml:space="preserve">o registru smluv </w:t>
      </w:r>
      <w:r>
        <w:rPr>
          <w:rStyle w:val="Bodytext1"/>
        </w:rPr>
        <w:t xml:space="preserve">povinné, Smluvní </w:t>
      </w:r>
      <w:r>
        <w:rPr>
          <w:rStyle w:val="Bodytext1"/>
          <w:lang w:val="en-US" w:eastAsia="en-US" w:bidi="en-US"/>
        </w:rPr>
        <w:t xml:space="preserve">strany </w:t>
      </w:r>
      <w:r>
        <w:rPr>
          <w:rStyle w:val="Bodytext1"/>
        </w:rPr>
        <w:t xml:space="preserve">ujednávají, že </w:t>
      </w:r>
      <w:r>
        <w:rPr>
          <w:rStyle w:val="Bodytext1"/>
          <w:lang w:val="en-US" w:eastAsia="en-US" w:bidi="en-US"/>
        </w:rPr>
        <w:t xml:space="preserve">Smlouvu </w:t>
      </w:r>
      <w:r>
        <w:rPr>
          <w:rStyle w:val="Bodytext1"/>
        </w:rPr>
        <w:t xml:space="preserve">uveřejní Příjemce. Před jejím uveřejněním společnost </w:t>
      </w:r>
      <w:r>
        <w:rPr>
          <w:rStyle w:val="Bodytext1"/>
          <w:lang w:val="en-US" w:eastAsia="en-US" w:bidi="en-US"/>
        </w:rPr>
        <w:t xml:space="preserve">Accord bez </w:t>
      </w:r>
      <w:r>
        <w:rPr>
          <w:rStyle w:val="Bodytext1"/>
        </w:rPr>
        <w:t xml:space="preserve">zbytečného </w:t>
      </w:r>
      <w:r>
        <w:rPr>
          <w:rStyle w:val="Bodytext1"/>
          <w:lang w:val="en-US" w:eastAsia="en-US" w:bidi="en-US"/>
        </w:rPr>
        <w:t xml:space="preserve">odkladu </w:t>
      </w:r>
      <w:r>
        <w:rPr>
          <w:rStyle w:val="Bodytext1"/>
        </w:rPr>
        <w:t>písemně pře</w:t>
      </w:r>
      <w:r>
        <w:rPr>
          <w:rStyle w:val="Bodytext1"/>
        </w:rPr>
        <w:t xml:space="preserve">dem schválí znění </w:t>
      </w:r>
      <w:r>
        <w:rPr>
          <w:rStyle w:val="Bodytext1"/>
          <w:lang w:val="en-US" w:eastAsia="en-US" w:bidi="en-US"/>
        </w:rPr>
        <w:t xml:space="preserve">a </w:t>
      </w:r>
      <w:r>
        <w:rPr>
          <w:rStyle w:val="Bodytext1"/>
        </w:rPr>
        <w:t xml:space="preserve">formát údajů, které mají být </w:t>
      </w:r>
      <w:r>
        <w:rPr>
          <w:rStyle w:val="Bodytext1"/>
          <w:lang w:val="en-US" w:eastAsia="en-US" w:bidi="en-US"/>
        </w:rPr>
        <w:t xml:space="preserve">v registru smluv </w:t>
      </w:r>
      <w:r>
        <w:rPr>
          <w:rStyle w:val="Bodytext1"/>
        </w:rPr>
        <w:t>uveřejněny.</w:t>
      </w:r>
    </w:p>
    <w:p w:rsidR="00740046" w:rsidRDefault="00F53D2D">
      <w:pPr>
        <w:pStyle w:val="Heading310"/>
        <w:keepNext/>
        <w:keepLines/>
        <w:spacing w:after="0"/>
      </w:pPr>
      <w:bookmarkStart w:id="13" w:name="bookmark32"/>
      <w:r>
        <w:rPr>
          <w:rStyle w:val="Heading31"/>
          <w:b/>
          <w:bCs/>
          <w:lang w:val="en-US" w:eastAsia="en-US" w:bidi="en-US"/>
        </w:rPr>
        <w:t>§ 5</w:t>
      </w:r>
      <w:bookmarkEnd w:id="13"/>
    </w:p>
    <w:p w:rsidR="00740046" w:rsidRDefault="00F53D2D">
      <w:pPr>
        <w:pStyle w:val="Heading310"/>
        <w:keepNext/>
        <w:keepLines/>
        <w:ind w:firstLine="180"/>
        <w:jc w:val="both"/>
      </w:pPr>
      <w:r>
        <w:rPr>
          <w:rStyle w:val="Heading31"/>
          <w:b/>
          <w:bCs/>
          <w:lang w:val="en-US" w:eastAsia="en-US" w:bidi="en-US"/>
        </w:rPr>
        <w:t xml:space="preserve">Doba platnosti Smlouvy a </w:t>
      </w:r>
      <w:r>
        <w:rPr>
          <w:rStyle w:val="Heading31"/>
          <w:b/>
          <w:bCs/>
        </w:rPr>
        <w:t>její ukončení</w:t>
      </w:r>
      <w:r>
        <w:rPr>
          <w:rStyle w:val="Heading31"/>
          <w:b/>
          <w:bCs/>
          <w:lang w:val="en-US" w:eastAsia="en-US" w:bidi="en-US"/>
        </w:rPr>
        <w:t>i</w:t>
      </w:r>
    </w:p>
    <w:p w:rsidR="00740046" w:rsidRDefault="00F53D2D">
      <w:pPr>
        <w:pStyle w:val="Bodytext10"/>
        <w:numPr>
          <w:ilvl w:val="0"/>
          <w:numId w:val="13"/>
        </w:numPr>
        <w:tabs>
          <w:tab w:val="left" w:pos="336"/>
          <w:tab w:val="left" w:pos="2904"/>
          <w:tab w:val="left" w:pos="3893"/>
        </w:tabs>
        <w:spacing w:after="0"/>
        <w:ind w:left="360" w:hanging="360"/>
        <w:jc w:val="both"/>
      </w:pPr>
      <w:r>
        <w:rPr>
          <w:rStyle w:val="Bodytext1"/>
          <w:lang w:val="en-US" w:eastAsia="en-US" w:bidi="en-US"/>
        </w:rPr>
        <w:t xml:space="preserve">Tato smlouva </w:t>
      </w:r>
      <w:r>
        <w:rPr>
          <w:rStyle w:val="Bodytext1"/>
        </w:rPr>
        <w:t xml:space="preserve">nabývá </w:t>
      </w:r>
      <w:r>
        <w:rPr>
          <w:rStyle w:val="Bodytext1"/>
          <w:lang w:val="en-US" w:eastAsia="en-US" w:bidi="en-US"/>
        </w:rPr>
        <w:t xml:space="preserve">platnostii dnem </w:t>
      </w:r>
      <w:r>
        <w:rPr>
          <w:rStyle w:val="Bodytext1"/>
        </w:rPr>
        <w:t xml:space="preserve">jejího uzavření </w:t>
      </w:r>
      <w:r>
        <w:rPr>
          <w:rStyle w:val="Bodytext1"/>
          <w:lang w:val="en-US" w:eastAsia="en-US" w:bidi="en-US"/>
        </w:rPr>
        <w:t xml:space="preserve">a </w:t>
      </w:r>
      <w:r>
        <w:rPr>
          <w:rStyle w:val="Bodytext1"/>
        </w:rPr>
        <w:t>účinnosti</w:t>
      </w:r>
      <w:r>
        <w:rPr>
          <w:rStyle w:val="Bodytext1"/>
          <w:lang w:val="en-US" w:eastAsia="en-US" w:bidi="en-US"/>
        </w:rPr>
        <w:t xml:space="preserve">i dnem publikace v registru smluv. </w:t>
      </w:r>
      <w:r>
        <w:rPr>
          <w:rStyle w:val="Bodytext1"/>
        </w:rPr>
        <w:t xml:space="preserve">Smluvní </w:t>
      </w:r>
      <w:r>
        <w:rPr>
          <w:rStyle w:val="Bodytext1"/>
          <w:lang w:val="en-US" w:eastAsia="en-US" w:bidi="en-US"/>
        </w:rPr>
        <w:t xml:space="preserve">strany sii </w:t>
      </w:r>
      <w:r>
        <w:rPr>
          <w:rStyle w:val="Bodytext1"/>
        </w:rPr>
        <w:t xml:space="preserve">tímto vzájemně </w:t>
      </w:r>
      <w:r>
        <w:rPr>
          <w:rStyle w:val="Bodytext1"/>
        </w:rPr>
        <w:t>potvrzují, že</w:t>
      </w:r>
      <w:r>
        <w:rPr>
          <w:rStyle w:val="Bodytext1"/>
        </w:rPr>
        <w:tab/>
        <w:t>ujednání</w:t>
      </w:r>
      <w:r>
        <w:rPr>
          <w:rStyle w:val="Bodytext1"/>
          <w:lang w:val="en-US" w:eastAsia="en-US" w:bidi="en-US"/>
        </w:rPr>
        <w:t>i</w:t>
      </w:r>
      <w:r>
        <w:rPr>
          <w:rStyle w:val="Bodytext1"/>
          <w:lang w:val="en-US" w:eastAsia="en-US" w:bidi="en-US"/>
        </w:rPr>
        <w:tab/>
      </w:r>
      <w:r>
        <w:rPr>
          <w:rStyle w:val="Bodytext1"/>
        </w:rPr>
        <w:t>této</w:t>
      </w:r>
    </w:p>
    <w:p w:rsidR="00740046" w:rsidRDefault="00F53D2D">
      <w:pPr>
        <w:pStyle w:val="Bodytext10"/>
        <w:ind w:left="360"/>
        <w:jc w:val="both"/>
      </w:pPr>
      <w:r>
        <w:rPr>
          <w:rStyle w:val="Bodytext1"/>
          <w:lang w:val="en-US" w:eastAsia="en-US" w:bidi="en-US"/>
        </w:rPr>
        <w:t xml:space="preserve">smlouvy se </w:t>
      </w:r>
      <w:r>
        <w:rPr>
          <w:rStyle w:val="Bodytext1"/>
        </w:rPr>
        <w:t>použijí</w:t>
      </w:r>
      <w:r>
        <w:rPr>
          <w:rStyle w:val="Bodytext1"/>
          <w:lang w:val="en-US" w:eastAsia="en-US" w:bidi="en-US"/>
        </w:rPr>
        <w:t xml:space="preserve">iii na </w:t>
      </w:r>
      <w:r>
        <w:rPr>
          <w:rStyle w:val="Bodytext1"/>
        </w:rPr>
        <w:t>právní</w:t>
      </w:r>
      <w:r>
        <w:rPr>
          <w:rStyle w:val="Bodytext1"/>
          <w:lang w:val="en-US" w:eastAsia="en-US" w:bidi="en-US"/>
        </w:rPr>
        <w:t xml:space="preserve">i </w:t>
      </w:r>
      <w:r>
        <w:rPr>
          <w:rStyle w:val="Bodytext1"/>
        </w:rPr>
        <w:t xml:space="preserve">poměry vzniklé </w:t>
      </w:r>
      <w:r>
        <w:rPr>
          <w:rStyle w:val="Bodytext1"/>
          <w:lang w:val="en-US" w:eastAsia="en-US" w:bidi="en-US"/>
        </w:rPr>
        <w:t xml:space="preserve">mezii </w:t>
      </w:r>
      <w:r>
        <w:rPr>
          <w:rStyle w:val="Bodytext1"/>
        </w:rPr>
        <w:t>smluvními</w:t>
      </w:r>
      <w:r>
        <w:rPr>
          <w:rStyle w:val="Bodytext1"/>
          <w:lang w:val="en-US" w:eastAsia="en-US" w:bidi="en-US"/>
        </w:rPr>
        <w:t xml:space="preserve">i stranamii dle </w:t>
      </w:r>
      <w:r>
        <w:rPr>
          <w:rStyle w:val="Bodytext1"/>
        </w:rPr>
        <w:t xml:space="preserve">této </w:t>
      </w:r>
      <w:r>
        <w:rPr>
          <w:rStyle w:val="Bodytext1"/>
          <w:lang w:val="en-US" w:eastAsia="en-US" w:bidi="en-US"/>
        </w:rPr>
        <w:t xml:space="preserve">smlouvy od 1.1.2025 do </w:t>
      </w:r>
      <w:r>
        <w:rPr>
          <w:rStyle w:val="Bodytext1"/>
        </w:rPr>
        <w:t>okamžiku nabytíÍ účinnosti</w:t>
      </w:r>
      <w:r>
        <w:rPr>
          <w:rStyle w:val="Bodytext1"/>
          <w:lang w:val="en-US" w:eastAsia="en-US" w:bidi="en-US"/>
        </w:rPr>
        <w:t xml:space="preserve">i </w:t>
      </w:r>
      <w:r>
        <w:rPr>
          <w:rStyle w:val="Bodytext1"/>
        </w:rPr>
        <w:t xml:space="preserve">této </w:t>
      </w:r>
      <w:r>
        <w:rPr>
          <w:rStyle w:val="Bodytext1"/>
          <w:lang w:val="en-US" w:eastAsia="en-US" w:bidi="en-US"/>
        </w:rPr>
        <w:t xml:space="preserve">smlouvy dle registru smluv. Tato smlouva se </w:t>
      </w:r>
      <w:r>
        <w:rPr>
          <w:rStyle w:val="Bodytext1"/>
        </w:rPr>
        <w:t xml:space="preserve">uzavírá </w:t>
      </w:r>
      <w:r>
        <w:rPr>
          <w:rStyle w:val="Bodytext1"/>
          <w:lang w:val="en-US" w:eastAsia="en-US" w:bidi="en-US"/>
        </w:rPr>
        <w:t xml:space="preserve">na dobu </w:t>
      </w:r>
      <w:r>
        <w:rPr>
          <w:rStyle w:val="Bodytext1"/>
        </w:rPr>
        <w:t>neurčitou.</w:t>
      </w:r>
    </w:p>
    <w:p w:rsidR="00740046" w:rsidRDefault="00F53D2D">
      <w:pPr>
        <w:pStyle w:val="Bodytext10"/>
        <w:numPr>
          <w:ilvl w:val="0"/>
          <w:numId w:val="13"/>
        </w:numPr>
        <w:tabs>
          <w:tab w:val="left" w:pos="336"/>
        </w:tabs>
        <w:ind w:left="360" w:hanging="360"/>
        <w:jc w:val="both"/>
      </w:pPr>
      <w:r>
        <w:rPr>
          <w:rStyle w:val="Bodytext1"/>
        </w:rPr>
        <w:t>Každá Smluvní</w:t>
      </w:r>
      <w:r>
        <w:rPr>
          <w:rStyle w:val="Bodytext1"/>
          <w:lang w:val="en-US" w:eastAsia="en-US" w:bidi="en-US"/>
        </w:rPr>
        <w:t>i s</w:t>
      </w:r>
      <w:r>
        <w:rPr>
          <w:rStyle w:val="Bodytext1"/>
          <w:lang w:val="en-US" w:eastAsia="en-US" w:bidi="en-US"/>
        </w:rPr>
        <w:t xml:space="preserve">trana je </w:t>
      </w:r>
      <w:r>
        <w:rPr>
          <w:rStyle w:val="Bodytext1"/>
        </w:rPr>
        <w:t xml:space="preserve">oprávněna </w:t>
      </w:r>
      <w:r>
        <w:rPr>
          <w:rStyle w:val="Bodytext1"/>
          <w:lang w:val="en-US" w:eastAsia="en-US" w:bidi="en-US"/>
        </w:rPr>
        <w:t xml:space="preserve">tuto Smlouvu </w:t>
      </w:r>
      <w:r>
        <w:rPr>
          <w:rStyle w:val="Bodytext1"/>
        </w:rPr>
        <w:t xml:space="preserve">vypovědět </w:t>
      </w:r>
      <w:r>
        <w:rPr>
          <w:rStyle w:val="Bodytext1"/>
          <w:lang w:val="en-US" w:eastAsia="en-US" w:bidi="en-US"/>
        </w:rPr>
        <w:t xml:space="preserve">s </w:t>
      </w:r>
      <w:r>
        <w:rPr>
          <w:rStyle w:val="Bodytext1"/>
        </w:rPr>
        <w:t xml:space="preserve">tím, že výpovědníÍ </w:t>
      </w:r>
      <w:r>
        <w:rPr>
          <w:rStyle w:val="Bodytext1"/>
          <w:lang w:val="en-US" w:eastAsia="en-US" w:bidi="en-US"/>
        </w:rPr>
        <w:t xml:space="preserve">doba </w:t>
      </w:r>
      <w:r>
        <w:rPr>
          <w:rStyle w:val="Bodytext1"/>
        </w:rPr>
        <w:t>činí</w:t>
      </w:r>
      <w:r>
        <w:rPr>
          <w:rStyle w:val="Bodytext1"/>
          <w:lang w:val="en-US" w:eastAsia="en-US" w:bidi="en-US"/>
        </w:rPr>
        <w:t xml:space="preserve">i 30 </w:t>
      </w:r>
      <w:r>
        <w:rPr>
          <w:rStyle w:val="Bodytext1"/>
        </w:rPr>
        <w:t>dní</w:t>
      </w:r>
      <w:r>
        <w:rPr>
          <w:rStyle w:val="Bodytext1"/>
          <w:lang w:val="en-US" w:eastAsia="en-US" w:bidi="en-US"/>
        </w:rPr>
        <w:t xml:space="preserve">i </w:t>
      </w:r>
      <w:r>
        <w:rPr>
          <w:rStyle w:val="Bodytext1"/>
        </w:rPr>
        <w:t xml:space="preserve">(výpověď </w:t>
      </w:r>
      <w:r>
        <w:rPr>
          <w:rStyle w:val="Bodytext1"/>
          <w:lang w:val="en-US" w:eastAsia="en-US" w:bidi="en-US"/>
        </w:rPr>
        <w:t xml:space="preserve">' </w:t>
      </w:r>
      <w:r>
        <w:rPr>
          <w:rStyle w:val="Bodytext1"/>
        </w:rPr>
        <w:t>musí</w:t>
      </w:r>
      <w:r>
        <w:rPr>
          <w:rStyle w:val="Bodytext1"/>
          <w:lang w:val="en-US" w:eastAsia="en-US" w:bidi="en-US"/>
        </w:rPr>
        <w:t xml:space="preserve">i </w:t>
      </w:r>
      <w:r>
        <w:rPr>
          <w:rStyle w:val="Bodytext1"/>
        </w:rPr>
        <w:t xml:space="preserve">být zaslána doporučeně). Výpověď </w:t>
      </w:r>
      <w:r>
        <w:rPr>
          <w:rStyle w:val="Bodytext1"/>
          <w:lang w:val="en-US" w:eastAsia="en-US" w:bidi="en-US"/>
        </w:rPr>
        <w:t xml:space="preserve">' Smlouvy </w:t>
      </w:r>
      <w:r>
        <w:rPr>
          <w:rStyle w:val="Bodytext1"/>
        </w:rPr>
        <w:t>musí</w:t>
      </w:r>
      <w:r>
        <w:rPr>
          <w:rStyle w:val="Bodytext1"/>
          <w:lang w:val="en-US" w:eastAsia="en-US" w:bidi="en-US"/>
        </w:rPr>
        <w:t xml:space="preserve">i </w:t>
      </w:r>
      <w:r>
        <w:rPr>
          <w:rStyle w:val="Bodytext1"/>
        </w:rPr>
        <w:t xml:space="preserve">být (the statement of termination shall be delivered by registered post). Termination of the Agreement must </w:t>
      </w:r>
      <w:r>
        <w:rPr>
          <w:rStyle w:val="Bodytext1"/>
        </w:rPr>
        <w:t>be made in writing, or otherwise it shall be null and void.</w:t>
      </w:r>
    </w:p>
    <w:p w:rsidR="00740046" w:rsidRDefault="00F53D2D">
      <w:pPr>
        <w:pStyle w:val="Heading310"/>
        <w:keepNext/>
        <w:keepLines/>
        <w:spacing w:after="0"/>
      </w:pPr>
      <w:bookmarkStart w:id="14" w:name="bookmark35"/>
      <w:r>
        <w:rPr>
          <w:rStyle w:val="Heading31"/>
          <w:b/>
          <w:bCs/>
        </w:rPr>
        <w:t>§ 6</w:t>
      </w:r>
      <w:bookmarkEnd w:id="14"/>
    </w:p>
    <w:p w:rsidR="00740046" w:rsidRDefault="00F53D2D">
      <w:pPr>
        <w:pStyle w:val="Heading310"/>
        <w:keepNext/>
        <w:keepLines/>
      </w:pPr>
      <w:r>
        <w:rPr>
          <w:rStyle w:val="Heading31"/>
          <w:b/>
          <w:bCs/>
        </w:rPr>
        <w:t>Miscellaneous</w:t>
      </w:r>
    </w:p>
    <w:p w:rsidR="00740046" w:rsidRDefault="00F53D2D">
      <w:pPr>
        <w:pStyle w:val="Bodytext10"/>
        <w:numPr>
          <w:ilvl w:val="0"/>
          <w:numId w:val="14"/>
        </w:numPr>
        <w:tabs>
          <w:tab w:val="left" w:pos="418"/>
        </w:tabs>
        <w:spacing w:after="420"/>
        <w:ind w:left="440" w:hanging="440"/>
        <w:jc w:val="both"/>
      </w:pPr>
      <w:r>
        <w:rPr>
          <w:rStyle w:val="Bodytext1"/>
        </w:rPr>
        <w:t xml:space="preserve">None of the provisions of this Agreement </w:t>
      </w:r>
      <w:r>
        <w:rPr>
          <w:rStyle w:val="Bodytext1"/>
        </w:rPr>
        <w:lastRenderedPageBreak/>
        <w:t xml:space="preserve">(including Appendixes) shall be deemed to be waived or modified except by a written document drawn expressly for such purpose and signed </w:t>
      </w:r>
      <w:r>
        <w:rPr>
          <w:rStyle w:val="Bodytext1"/>
        </w:rPr>
        <w:t>by both Parties.</w:t>
      </w:r>
    </w:p>
    <w:p w:rsidR="00740046" w:rsidRDefault="00F53D2D">
      <w:pPr>
        <w:pStyle w:val="Bodytext10"/>
        <w:numPr>
          <w:ilvl w:val="0"/>
          <w:numId w:val="14"/>
        </w:numPr>
        <w:tabs>
          <w:tab w:val="left" w:pos="418"/>
        </w:tabs>
        <w:ind w:left="440" w:hanging="440"/>
        <w:jc w:val="both"/>
      </w:pPr>
      <w:r>
        <w:rPr>
          <w:rStyle w:val="Bodytext1"/>
        </w:rPr>
        <w:t>No amendment of the provisions of this Agreement shall be effective unless it is set forth in writing and agreed on and signed by all Parties.</w:t>
      </w:r>
    </w:p>
    <w:p w:rsidR="00740046" w:rsidRDefault="00F53D2D">
      <w:pPr>
        <w:pStyle w:val="Bodytext10"/>
        <w:numPr>
          <w:ilvl w:val="0"/>
          <w:numId w:val="14"/>
        </w:numPr>
        <w:tabs>
          <w:tab w:val="left" w:pos="418"/>
        </w:tabs>
        <w:ind w:left="440" w:hanging="440"/>
        <w:jc w:val="both"/>
      </w:pPr>
      <w:r>
        <w:rPr>
          <w:rStyle w:val="Bodytext1"/>
        </w:rPr>
        <w:t xml:space="preserve">Failure or delay of either Party hereto to enforce any of its rights under this Agreement shall </w:t>
      </w:r>
      <w:r>
        <w:rPr>
          <w:rStyle w:val="Bodytext1"/>
        </w:rPr>
        <w:t>not be deemed a modification or a continuing waiver by such Party of any of its rights under this Agreement.</w:t>
      </w:r>
    </w:p>
    <w:p w:rsidR="00740046" w:rsidRDefault="00F53D2D">
      <w:pPr>
        <w:pStyle w:val="Bodytext10"/>
        <w:numPr>
          <w:ilvl w:val="0"/>
          <w:numId w:val="14"/>
        </w:numPr>
        <w:tabs>
          <w:tab w:val="left" w:pos="418"/>
        </w:tabs>
        <w:spacing w:after="420"/>
        <w:ind w:left="440" w:hanging="440"/>
        <w:jc w:val="both"/>
      </w:pPr>
      <w:r>
        <w:rPr>
          <w:rStyle w:val="Bodytext1"/>
        </w:rPr>
        <w:t xml:space="preserve">Neither of the Parties shall assign this Agreement nor any rights or obligations hereunder to any third party without the prior written consent of </w:t>
      </w:r>
      <w:r>
        <w:rPr>
          <w:rStyle w:val="Bodytext1"/>
        </w:rPr>
        <w:t>the other Party. Assignment of rights or obligations by one Party to any of its Affiliates shall be permitted with the previous written consent of the other Party.</w:t>
      </w:r>
    </w:p>
    <w:p w:rsidR="00740046" w:rsidRDefault="00F53D2D">
      <w:pPr>
        <w:pStyle w:val="Bodytext10"/>
        <w:numPr>
          <w:ilvl w:val="0"/>
          <w:numId w:val="14"/>
        </w:numPr>
        <w:tabs>
          <w:tab w:val="left" w:pos="418"/>
        </w:tabs>
        <w:spacing w:after="0"/>
        <w:ind w:left="440" w:hanging="440"/>
        <w:jc w:val="both"/>
      </w:pPr>
      <w:r>
        <w:rPr>
          <w:rStyle w:val="Bodytext1"/>
        </w:rPr>
        <w:t>This Agreement is concluded in English and in Czech. In the event of any discrepancy between</w:t>
      </w:r>
      <w:r>
        <w:rPr>
          <w:rStyle w:val="Bodytext1"/>
        </w:rPr>
        <w:t xml:space="preserve"> the Czech text of this Agreement and the English text, the Czech language version shall prevail.</w:t>
      </w:r>
    </w:p>
    <w:p w:rsidR="00740046" w:rsidRDefault="00F53D2D">
      <w:pPr>
        <w:pStyle w:val="Bodytext10"/>
        <w:spacing w:after="640"/>
        <w:ind w:left="360"/>
        <w:jc w:val="both"/>
      </w:pPr>
      <w:r>
        <w:rPr>
          <w:rStyle w:val="Bodytext1"/>
        </w:rPr>
        <w:t>vyhotovena písemně, v opačném případě je neplatná.</w:t>
      </w:r>
    </w:p>
    <w:p w:rsidR="00740046" w:rsidRDefault="00F53D2D">
      <w:pPr>
        <w:pStyle w:val="Heading310"/>
        <w:keepNext/>
        <w:keepLines/>
      </w:pPr>
      <w:bookmarkStart w:id="15" w:name="bookmark38"/>
      <w:r>
        <w:rPr>
          <w:rStyle w:val="Heading31"/>
          <w:b/>
          <w:bCs/>
        </w:rPr>
        <w:t>§ 6</w:t>
      </w:r>
      <w:r>
        <w:rPr>
          <w:rStyle w:val="Heading31"/>
          <w:b/>
          <w:bCs/>
        </w:rPr>
        <w:br/>
        <w:t>Různá ustanovení</w:t>
      </w:r>
      <w:bookmarkEnd w:id="15"/>
    </w:p>
    <w:p w:rsidR="00740046" w:rsidRDefault="00F53D2D">
      <w:pPr>
        <w:pStyle w:val="Bodytext10"/>
        <w:numPr>
          <w:ilvl w:val="0"/>
          <w:numId w:val="15"/>
        </w:numPr>
        <w:tabs>
          <w:tab w:val="left" w:pos="341"/>
        </w:tabs>
        <w:ind w:left="360" w:hanging="360"/>
        <w:jc w:val="both"/>
      </w:pPr>
      <w:r>
        <w:rPr>
          <w:rStyle w:val="Bodytext1"/>
        </w:rPr>
        <w:t>Jakoukoli odchylku od ustanovení této Smlouvy (včetně příloh) nebo jejich změnu lze pr</w:t>
      </w:r>
      <w:r>
        <w:rPr>
          <w:rStyle w:val="Bodytext1"/>
        </w:rPr>
        <w:t>ovést pouze na základě písemného dokumentu vyhotoveného výslovně za tímto účelem a podepsaného oběma Smluvními stranami.</w:t>
      </w:r>
    </w:p>
    <w:p w:rsidR="00740046" w:rsidRDefault="00F53D2D">
      <w:pPr>
        <w:pStyle w:val="Bodytext10"/>
        <w:numPr>
          <w:ilvl w:val="0"/>
          <w:numId w:val="15"/>
        </w:numPr>
        <w:tabs>
          <w:tab w:val="left" w:pos="341"/>
        </w:tabs>
        <w:ind w:left="360" w:hanging="360"/>
        <w:jc w:val="both"/>
      </w:pPr>
      <w:r>
        <w:rPr>
          <w:rStyle w:val="Bodytext1"/>
        </w:rPr>
        <w:t>Žádná změna ustanovení této Smlouvy nebude účinná, pokud nebude uzavřena v písemné formě a dohodnuta a podepsána všemi Smluvními strana</w:t>
      </w:r>
      <w:r>
        <w:rPr>
          <w:rStyle w:val="Bodytext1"/>
        </w:rPr>
        <w:t>mi.</w:t>
      </w:r>
    </w:p>
    <w:p w:rsidR="00740046" w:rsidRDefault="00F53D2D">
      <w:pPr>
        <w:pStyle w:val="Bodytext10"/>
        <w:numPr>
          <w:ilvl w:val="0"/>
          <w:numId w:val="15"/>
        </w:numPr>
        <w:tabs>
          <w:tab w:val="left" w:pos="341"/>
        </w:tabs>
        <w:ind w:left="440" w:hanging="440"/>
        <w:jc w:val="both"/>
      </w:pPr>
      <w:r>
        <w:rPr>
          <w:rStyle w:val="Bodytext1"/>
        </w:rPr>
        <w:t>V případě, že kterákoli ze Smluvních stran neuplatní některé ze svých práv z této Smlouvy nebo tak učiní s prodlením, nebude se mít za to, že svá práva z této Smlouvy upravila nebo se jejich uplatnění nadále vzdává.</w:t>
      </w:r>
    </w:p>
    <w:p w:rsidR="00740046" w:rsidRDefault="00F53D2D">
      <w:pPr>
        <w:pStyle w:val="Bodytext10"/>
        <w:numPr>
          <w:ilvl w:val="0"/>
          <w:numId w:val="15"/>
        </w:numPr>
        <w:tabs>
          <w:tab w:val="left" w:pos="341"/>
          <w:tab w:val="left" w:pos="1718"/>
          <w:tab w:val="left" w:pos="3374"/>
        </w:tabs>
        <w:spacing w:after="0"/>
        <w:ind w:left="440" w:hanging="440"/>
        <w:jc w:val="both"/>
      </w:pPr>
      <w:r>
        <w:rPr>
          <w:rStyle w:val="Bodytext1"/>
        </w:rPr>
        <w:t>Žádná Smluvní strana nepostoupí tuto</w:t>
      </w:r>
      <w:r>
        <w:rPr>
          <w:rStyle w:val="Bodytext1"/>
        </w:rPr>
        <w:t xml:space="preserve"> Smlouvu ani práva či povinnosti z ní vyplývající žádné třetí osobě bez předchozího písemného souhlasu druhé Smluvní strany. Postoupení práv a povinností Smluvní stranou kterékoli z jejích přidružených společností je přípustné</w:t>
      </w:r>
      <w:r>
        <w:rPr>
          <w:rStyle w:val="Bodytext1"/>
        </w:rPr>
        <w:tab/>
        <w:t>s předchozím</w:t>
      </w:r>
      <w:r>
        <w:rPr>
          <w:rStyle w:val="Bodytext1"/>
        </w:rPr>
        <w:tab/>
        <w:t>písemným</w:t>
      </w:r>
    </w:p>
    <w:p w:rsidR="00740046" w:rsidRDefault="00F53D2D">
      <w:pPr>
        <w:pStyle w:val="Bodytext10"/>
        <w:ind w:firstLine="440"/>
        <w:jc w:val="both"/>
      </w:pPr>
      <w:r>
        <w:rPr>
          <w:rStyle w:val="Bodytext1"/>
        </w:rPr>
        <w:t>souhlasem druhé Smluvní strany.</w:t>
      </w:r>
    </w:p>
    <w:p w:rsidR="00740046" w:rsidRDefault="00F53D2D">
      <w:pPr>
        <w:pStyle w:val="Bodytext10"/>
        <w:numPr>
          <w:ilvl w:val="0"/>
          <w:numId w:val="15"/>
        </w:numPr>
        <w:tabs>
          <w:tab w:val="left" w:pos="341"/>
        </w:tabs>
        <w:spacing w:after="0"/>
        <w:ind w:left="440" w:hanging="440"/>
        <w:jc w:val="both"/>
        <w:sectPr w:rsidR="00740046">
          <w:type w:val="continuous"/>
          <w:pgSz w:w="11900" w:h="16840"/>
          <w:pgMar w:top="1397" w:right="1480" w:bottom="1386" w:left="1492" w:header="969" w:footer="3" w:gutter="0"/>
          <w:cols w:num="2" w:space="137"/>
          <w:noEndnote/>
          <w:docGrid w:linePitch="360"/>
        </w:sectPr>
      </w:pPr>
      <w:r>
        <w:rPr>
          <w:rStyle w:val="Bodytext1"/>
        </w:rPr>
        <w:t>Tato Smlouva se uzavírá v anglickém a českém jazyce. V případě rozporu mezi českým zněním této Smlouvy a anglickým zněním má přednost česká verze.</w:t>
      </w:r>
    </w:p>
    <w:p w:rsidR="00740046" w:rsidRDefault="00740046">
      <w:pPr>
        <w:spacing w:line="228" w:lineRule="exact"/>
        <w:rPr>
          <w:sz w:val="18"/>
          <w:szCs w:val="18"/>
        </w:rPr>
      </w:pPr>
    </w:p>
    <w:p w:rsidR="00740046" w:rsidRDefault="00740046">
      <w:pPr>
        <w:spacing w:line="1" w:lineRule="exact"/>
        <w:sectPr w:rsidR="00740046">
          <w:type w:val="continuous"/>
          <w:pgSz w:w="11900" w:h="16840"/>
          <w:pgMar w:top="1402" w:right="0" w:bottom="1592" w:left="0" w:header="0" w:footer="3" w:gutter="0"/>
          <w:cols w:space="720"/>
          <w:noEndnote/>
          <w:docGrid w:linePitch="360"/>
        </w:sectPr>
      </w:pPr>
    </w:p>
    <w:p w:rsidR="00740046" w:rsidRDefault="00F53D2D">
      <w:pPr>
        <w:pStyle w:val="Heading310"/>
        <w:keepNext/>
        <w:keepLines/>
        <w:spacing w:after="0"/>
      </w:pPr>
      <w:bookmarkStart w:id="16" w:name="bookmark40"/>
      <w:r>
        <w:rPr>
          <w:rStyle w:val="Heading31"/>
          <w:b/>
          <w:bCs/>
        </w:rPr>
        <w:t>§ 7</w:t>
      </w:r>
      <w:bookmarkEnd w:id="16"/>
    </w:p>
    <w:p w:rsidR="00740046" w:rsidRDefault="00F53D2D">
      <w:pPr>
        <w:pStyle w:val="Heading310"/>
        <w:keepNext/>
        <w:keepLines/>
      </w:pPr>
      <w:r>
        <w:rPr>
          <w:rStyle w:val="Heading31"/>
          <w:b/>
          <w:bCs/>
        </w:rPr>
        <w:t>Anti-Corruption and S</w:t>
      </w:r>
      <w:r>
        <w:rPr>
          <w:rStyle w:val="Heading31"/>
          <w:b/>
          <w:bCs/>
        </w:rPr>
        <w:t>anctions regime</w:t>
      </w:r>
    </w:p>
    <w:p w:rsidR="00740046" w:rsidRDefault="00F53D2D">
      <w:pPr>
        <w:pStyle w:val="Bodytext10"/>
        <w:numPr>
          <w:ilvl w:val="0"/>
          <w:numId w:val="16"/>
        </w:numPr>
        <w:tabs>
          <w:tab w:val="left" w:pos="355"/>
        </w:tabs>
        <w:spacing w:after="0"/>
        <w:ind w:left="360" w:hanging="360"/>
        <w:jc w:val="both"/>
      </w:pPr>
      <w:r>
        <w:rPr>
          <w:rStyle w:val="Bodytext1"/>
        </w:rPr>
        <w:t xml:space="preserve">Each Party undertakes to fulfill its obligations under the Agreement in a manner consistent with good business ethics and all applicable anti-corruption laws on combating bribery of public officials in international business. Particularly, </w:t>
      </w:r>
      <w:r>
        <w:rPr>
          <w:rStyle w:val="Bodytext1"/>
        </w:rPr>
        <w:t>neither Party may: offer, promise or give any improper monetary or other advantage, directly or through intermediaries, to a public official, a healthcare professional or a person associated with a healthcare organization, to influence its/their decision o</w:t>
      </w:r>
      <w:r>
        <w:rPr>
          <w:rStyle w:val="Bodytext1"/>
        </w:rPr>
        <w:t>r actions in order to be conferred an advantage / make a third party obtain an advantage.</w:t>
      </w:r>
    </w:p>
    <w:p w:rsidR="00740046" w:rsidRDefault="00F53D2D">
      <w:pPr>
        <w:pStyle w:val="Heading310"/>
        <w:keepNext/>
        <w:keepLines/>
        <w:spacing w:after="0"/>
      </w:pPr>
      <w:bookmarkStart w:id="17" w:name="bookmark43"/>
      <w:r>
        <w:rPr>
          <w:rStyle w:val="Heading31"/>
          <w:b/>
          <w:bCs/>
        </w:rPr>
        <w:t>§ 7</w:t>
      </w:r>
      <w:bookmarkEnd w:id="17"/>
    </w:p>
    <w:p w:rsidR="00740046" w:rsidRDefault="00F53D2D">
      <w:pPr>
        <w:pStyle w:val="Heading310"/>
        <w:keepNext/>
        <w:keepLines/>
      </w:pPr>
      <w:r>
        <w:rPr>
          <w:rStyle w:val="Heading31"/>
          <w:b/>
          <w:bCs/>
        </w:rPr>
        <w:t>Protikorupční a sankční režim</w:t>
      </w:r>
    </w:p>
    <w:p w:rsidR="00740046" w:rsidRDefault="00F53D2D">
      <w:pPr>
        <w:pStyle w:val="Bodytext10"/>
        <w:numPr>
          <w:ilvl w:val="0"/>
          <w:numId w:val="16"/>
        </w:numPr>
        <w:tabs>
          <w:tab w:val="left" w:pos="355"/>
          <w:tab w:val="left" w:pos="2367"/>
        </w:tabs>
        <w:spacing w:after="0"/>
        <w:ind w:left="340" w:hanging="340"/>
        <w:jc w:val="both"/>
      </w:pPr>
      <w:r>
        <w:rPr>
          <w:rStyle w:val="Bodytext1"/>
        </w:rPr>
        <w:t>Každá strana se zavazuje plnit své závazky podle této smlouvy</w:t>
      </w:r>
      <w:r>
        <w:rPr>
          <w:rStyle w:val="Bodytext1"/>
        </w:rPr>
        <w:tab/>
        <w:t>způsobem, který je</w:t>
      </w:r>
    </w:p>
    <w:p w:rsidR="00740046" w:rsidRDefault="00F53D2D">
      <w:pPr>
        <w:pStyle w:val="Bodytext10"/>
        <w:tabs>
          <w:tab w:val="left" w:pos="1449"/>
          <w:tab w:val="left" w:pos="2356"/>
          <w:tab w:val="left" w:pos="4133"/>
        </w:tabs>
        <w:spacing w:after="0"/>
        <w:ind w:left="340"/>
        <w:jc w:val="both"/>
      </w:pPr>
      <w:r>
        <w:rPr>
          <w:rStyle w:val="Bodytext1"/>
        </w:rPr>
        <w:t>v souladu</w:t>
      </w:r>
      <w:r>
        <w:rPr>
          <w:rStyle w:val="Bodytext1"/>
        </w:rPr>
        <w:tab/>
        <w:t>s dobrou</w:t>
      </w:r>
      <w:r>
        <w:rPr>
          <w:rStyle w:val="Bodytext1"/>
        </w:rPr>
        <w:tab/>
        <w:t>etikou podnikání</w:t>
      </w:r>
      <w:r>
        <w:rPr>
          <w:rStyle w:val="Bodytext1"/>
        </w:rPr>
        <w:tab/>
        <w:t>a</w:t>
      </w:r>
    </w:p>
    <w:p w:rsidR="00740046" w:rsidRDefault="00F53D2D">
      <w:pPr>
        <w:pStyle w:val="Bodytext10"/>
        <w:tabs>
          <w:tab w:val="left" w:pos="2082"/>
        </w:tabs>
        <w:spacing w:after="0"/>
        <w:ind w:left="340"/>
        <w:jc w:val="both"/>
      </w:pPr>
      <w:r>
        <w:rPr>
          <w:rStyle w:val="Bodytext1"/>
        </w:rPr>
        <w:t>všemi přísluš</w:t>
      </w:r>
      <w:r>
        <w:rPr>
          <w:rStyle w:val="Bodytext1"/>
        </w:rPr>
        <w:t xml:space="preserve">nými protikorupčními zákony o boji proti podplácení veřejných činitelů v </w:t>
      </w:r>
      <w:r>
        <w:rPr>
          <w:rStyle w:val="Bodytext1"/>
        </w:rPr>
        <w:t>mezinárodním obchodě. Žádná ze stran zejména nesmí:</w:t>
      </w:r>
      <w:r>
        <w:rPr>
          <w:rStyle w:val="Bodytext1"/>
        </w:rPr>
        <w:tab/>
        <w:t>nabízet, slibovat nebo</w:t>
      </w:r>
    </w:p>
    <w:p w:rsidR="00740046" w:rsidRDefault="00F53D2D">
      <w:pPr>
        <w:pStyle w:val="Bodytext10"/>
        <w:spacing w:after="0"/>
        <w:ind w:left="340"/>
        <w:jc w:val="both"/>
      </w:pPr>
      <w:r>
        <w:rPr>
          <w:rStyle w:val="Bodytext1"/>
        </w:rPr>
        <w:t xml:space="preserve">poskytovat jakékoli nevhodné peněžní nebo jiné výhody, přímo nebo prostřednictvím zprostředkovatelů, </w:t>
      </w:r>
      <w:r>
        <w:rPr>
          <w:rStyle w:val="Bodytext1"/>
        </w:rPr>
        <w:t>veřejnému činiteli, zdravotnickému pracovníkovi nebo osobě sdružené ve zdravotnické organizaci, aby ovlivňovala její/její rozhodnutí nebo jednání za účelem získat výhodu / přimět třetí stranu získat výhodu.</w:t>
      </w:r>
      <w:r>
        <w:br w:type="page"/>
      </w:r>
    </w:p>
    <w:p w:rsidR="00740046" w:rsidRDefault="00F53D2D">
      <w:pPr>
        <w:pStyle w:val="Bodytext10"/>
        <w:numPr>
          <w:ilvl w:val="0"/>
          <w:numId w:val="16"/>
        </w:numPr>
        <w:tabs>
          <w:tab w:val="left" w:pos="379"/>
        </w:tabs>
        <w:ind w:left="360" w:hanging="360"/>
        <w:jc w:val="both"/>
      </w:pPr>
      <w:r>
        <w:rPr>
          <w:rStyle w:val="Bodytext1"/>
        </w:rPr>
        <w:lastRenderedPageBreak/>
        <w:t xml:space="preserve">Parties agree to comply with applicable </w:t>
      </w:r>
      <w:r>
        <w:rPr>
          <w:rStyle w:val="Bodytext1"/>
          <w:lang w:val="en-US" w:eastAsia="en-US" w:bidi="en-US"/>
        </w:rPr>
        <w:t>anti</w:t>
      </w:r>
      <w:r>
        <w:rPr>
          <w:rStyle w:val="Bodytext1"/>
          <w:lang w:val="en-US" w:eastAsia="en-US" w:bidi="en-US"/>
        </w:rPr>
        <w:softHyphen/>
        <w:t>cor</w:t>
      </w:r>
      <w:r>
        <w:rPr>
          <w:rStyle w:val="Bodytext1"/>
          <w:lang w:val="en-US" w:eastAsia="en-US" w:bidi="en-US"/>
        </w:rPr>
        <w:t>ruption</w:t>
      </w:r>
      <w:r>
        <w:rPr>
          <w:rStyle w:val="Bodytext1"/>
        </w:rPr>
        <w:t xml:space="preserve"> laws such as the U.S. Foreign Corrupt Practices Act (FCPA) and the UK Bribery Act of 2010 and, as well as any laws implementing the U.N. Convention Against Corruption and the OECD Anti-bribery Convention, including applicable </w:t>
      </w:r>
      <w:r>
        <w:rPr>
          <w:rStyle w:val="Bodytext1"/>
          <w:lang w:val="en-US" w:eastAsia="en-US" w:bidi="en-US"/>
        </w:rPr>
        <w:t>anti</w:t>
      </w:r>
      <w:r>
        <w:rPr>
          <w:rStyle w:val="Bodytext1"/>
          <w:lang w:val="en-US" w:eastAsia="en-US" w:bidi="en-US"/>
        </w:rPr>
        <w:softHyphen/>
        <w:t>corruption</w:t>
      </w:r>
      <w:r>
        <w:rPr>
          <w:rStyle w:val="Bodytext1"/>
        </w:rPr>
        <w:t xml:space="preserve"> laws o</w:t>
      </w:r>
      <w:r>
        <w:rPr>
          <w:rStyle w:val="Bodytext1"/>
        </w:rPr>
        <w:t xml:space="preserve">n the territory as well as internal compliance policies of the Parties, including Appendix 5 (collectively, </w:t>
      </w:r>
      <w:r>
        <w:rPr>
          <w:rStyle w:val="Bodytext1"/>
          <w:lang w:val="en-US" w:eastAsia="en-US" w:bidi="en-US"/>
        </w:rPr>
        <w:t>“Anti</w:t>
      </w:r>
      <w:r>
        <w:rPr>
          <w:rStyle w:val="Bodytext1"/>
          <w:lang w:val="en-US" w:eastAsia="en-US" w:bidi="en-US"/>
        </w:rPr>
        <w:softHyphen/>
        <w:t>Corruption</w:t>
      </w:r>
      <w:r>
        <w:rPr>
          <w:rStyle w:val="Bodytext1"/>
        </w:rPr>
        <w:t xml:space="preserve"> Laws”).</w:t>
      </w:r>
    </w:p>
    <w:p w:rsidR="00740046" w:rsidRDefault="00F53D2D">
      <w:pPr>
        <w:pStyle w:val="Bodytext10"/>
        <w:numPr>
          <w:ilvl w:val="0"/>
          <w:numId w:val="16"/>
        </w:numPr>
        <w:tabs>
          <w:tab w:val="left" w:pos="379"/>
          <w:tab w:val="left" w:pos="1416"/>
          <w:tab w:val="left" w:pos="2722"/>
          <w:tab w:val="left" w:pos="3086"/>
        </w:tabs>
        <w:spacing w:after="0"/>
        <w:ind w:left="360" w:hanging="360"/>
        <w:jc w:val="both"/>
      </w:pPr>
      <w:r>
        <w:rPr>
          <w:rStyle w:val="Bodytext1"/>
        </w:rPr>
        <w:t>In the event that each of the party is accused of or becomes subject to investigation by a governmental authority for an al</w:t>
      </w:r>
      <w:r>
        <w:rPr>
          <w:rStyle w:val="Bodytext1"/>
        </w:rPr>
        <w:t xml:space="preserve">leged violation of applicable </w:t>
      </w:r>
      <w:r>
        <w:rPr>
          <w:rStyle w:val="Bodytext1"/>
          <w:lang w:val="en-US" w:eastAsia="en-US" w:bidi="en-US"/>
        </w:rPr>
        <w:t>Anti</w:t>
      </w:r>
      <w:r>
        <w:rPr>
          <w:rStyle w:val="Bodytext1"/>
          <w:lang w:val="en-US" w:eastAsia="en-US" w:bidi="en-US"/>
        </w:rPr>
        <w:softHyphen/>
        <w:t>Corruption</w:t>
      </w:r>
      <w:r>
        <w:rPr>
          <w:rStyle w:val="Bodytext1"/>
        </w:rPr>
        <w:t xml:space="preserve"> Laws in connection with this Agreement, or each of the party notifies the other party that it has a reasonable basis for believing that other party has not complied with applicable Anti-Corruption Law in connec</w:t>
      </w:r>
      <w:r>
        <w:rPr>
          <w:rStyle w:val="Bodytext1"/>
        </w:rPr>
        <w:t>tion with this Agreement (and discloses in reasonable detail the evidence underlying such belief), the party which notifies the infringement party shall have the right</w:t>
      </w:r>
      <w:r>
        <w:rPr>
          <w:rStyle w:val="Bodytext1"/>
        </w:rPr>
        <w:tab/>
        <w:t>to request</w:t>
      </w:r>
      <w:r>
        <w:rPr>
          <w:rStyle w:val="Bodytext1"/>
        </w:rPr>
        <w:tab/>
        <w:t>in</w:t>
      </w:r>
      <w:r>
        <w:rPr>
          <w:rStyle w:val="Bodytext1"/>
        </w:rPr>
        <w:tab/>
        <w:t>writing that</w:t>
      </w:r>
    </w:p>
    <w:p w:rsidR="00740046" w:rsidRDefault="00F53D2D">
      <w:pPr>
        <w:pStyle w:val="Bodytext10"/>
        <w:spacing w:after="420"/>
        <w:ind w:left="360"/>
        <w:jc w:val="both"/>
      </w:pPr>
      <w:r>
        <w:rPr>
          <w:rStyle w:val="Bodytext1"/>
        </w:rPr>
        <w:t>infringement party provide access to (either directly or thro</w:t>
      </w:r>
      <w:r>
        <w:rPr>
          <w:rStyle w:val="Bodytext1"/>
        </w:rPr>
        <w:t>ugh legal counsel or an internationally recognized independent auditor) such written records or other information reasonably required to credibly refute such alleged non-compliance.</w:t>
      </w:r>
    </w:p>
    <w:p w:rsidR="00740046" w:rsidRDefault="00F53D2D">
      <w:pPr>
        <w:pStyle w:val="Bodytext10"/>
      </w:pPr>
      <w:r>
        <w:rPr>
          <w:rStyle w:val="Bodytext1"/>
        </w:rPr>
        <w:t xml:space="preserve">If, in connection with this Agreement, any Party breaches its obligations </w:t>
      </w:r>
      <w:r>
        <w:rPr>
          <w:rStyle w:val="Bodytext1"/>
        </w:rPr>
        <w:t>under §8, Accord Business Partner Code of Conduct (attached in Appendix no. 5) a or admits to a violation or is determined by a governmental authority to have violated applicable Anti-Corruption Law, then other Party shall be entitled to immediately termin</w:t>
      </w:r>
      <w:r>
        <w:rPr>
          <w:rStyle w:val="Bodytext1"/>
        </w:rPr>
        <w:t>ate this Agreement upon written notice to Recipient.</w:t>
      </w:r>
    </w:p>
    <w:p w:rsidR="00740046" w:rsidRDefault="00F53D2D">
      <w:pPr>
        <w:pStyle w:val="Heading310"/>
        <w:keepNext/>
        <w:keepLines/>
      </w:pPr>
      <w:bookmarkStart w:id="18" w:name="bookmark46"/>
      <w:r>
        <w:rPr>
          <w:rStyle w:val="Heading31"/>
          <w:b/>
          <w:bCs/>
        </w:rPr>
        <w:t>§ 8</w:t>
      </w:r>
      <w:r>
        <w:rPr>
          <w:rStyle w:val="Heading31"/>
          <w:b/>
          <w:bCs/>
        </w:rPr>
        <w:br/>
        <w:t>Governing Law</w:t>
      </w:r>
      <w:bookmarkEnd w:id="18"/>
    </w:p>
    <w:p w:rsidR="00740046" w:rsidRDefault="00F53D2D">
      <w:pPr>
        <w:pStyle w:val="Bodytext10"/>
        <w:numPr>
          <w:ilvl w:val="0"/>
          <w:numId w:val="17"/>
        </w:numPr>
        <w:tabs>
          <w:tab w:val="left" w:pos="379"/>
        </w:tabs>
        <w:ind w:left="440" w:hanging="440"/>
        <w:jc w:val="both"/>
      </w:pPr>
      <w:r>
        <w:rPr>
          <w:rStyle w:val="Bodytext1"/>
        </w:rPr>
        <w:t>This Agreement and any dispute thereof shall be interpreted and governed by the laws of Czech Republic.</w:t>
      </w:r>
    </w:p>
    <w:p w:rsidR="00740046" w:rsidRDefault="00F53D2D">
      <w:pPr>
        <w:pStyle w:val="Bodytext10"/>
        <w:numPr>
          <w:ilvl w:val="0"/>
          <w:numId w:val="17"/>
        </w:numPr>
        <w:tabs>
          <w:tab w:val="left" w:pos="379"/>
        </w:tabs>
        <w:spacing w:after="0"/>
        <w:ind w:left="440" w:hanging="440"/>
        <w:jc w:val="both"/>
      </w:pPr>
      <w:r>
        <w:rPr>
          <w:rStyle w:val="Bodytext1"/>
        </w:rPr>
        <w:t>Parties agree that courts of Czech Republic shall have the exclusive jurisdiction</w:t>
      </w:r>
      <w:r>
        <w:rPr>
          <w:rStyle w:val="Bodytext1"/>
        </w:rPr>
        <w:t xml:space="preserve"> in case of any disputes between the Parties which are impossible to be solved amicably.</w:t>
      </w:r>
    </w:p>
    <w:p w:rsidR="00740046" w:rsidRDefault="00F53D2D">
      <w:pPr>
        <w:pStyle w:val="Bodytext10"/>
        <w:numPr>
          <w:ilvl w:val="0"/>
          <w:numId w:val="17"/>
        </w:numPr>
        <w:tabs>
          <w:tab w:val="left" w:pos="370"/>
          <w:tab w:val="left" w:pos="2203"/>
          <w:tab w:val="right" w:pos="4277"/>
        </w:tabs>
        <w:spacing w:after="0"/>
        <w:ind w:left="360" w:hanging="360"/>
        <w:jc w:val="both"/>
      </w:pPr>
      <w:r>
        <w:rPr>
          <w:rStyle w:val="Bodytext1"/>
        </w:rPr>
        <w:t>Strany souhlasí s tím, že budou dodržovat platné protikorupční zákony, jako je americký zákon o zahraničních korupčních praktikách (FCPA) a britský zákon o úplatcích z</w:t>
      </w:r>
      <w:r>
        <w:rPr>
          <w:rStyle w:val="Bodytext1"/>
        </w:rPr>
        <w:t xml:space="preserve"> roku 2010, a také všechny zákony provádějící Úmluvu OSN proti korupci a Úmluvu OECD o boji proti úplatkářství,</w:t>
      </w:r>
      <w:r>
        <w:rPr>
          <w:rStyle w:val="Bodytext1"/>
        </w:rPr>
        <w:tab/>
        <w:t>včetně</w:t>
      </w:r>
      <w:r>
        <w:rPr>
          <w:rStyle w:val="Bodytext1"/>
        </w:rPr>
        <w:tab/>
        <w:t>platných</w:t>
      </w:r>
    </w:p>
    <w:p w:rsidR="00740046" w:rsidRDefault="00F53D2D">
      <w:pPr>
        <w:pStyle w:val="Bodytext10"/>
        <w:ind w:left="360"/>
        <w:jc w:val="both"/>
      </w:pPr>
      <w:r>
        <w:rPr>
          <w:rStyle w:val="Bodytext1"/>
        </w:rPr>
        <w:t>protikorupčních zákonů na území, jakož i vnitřních zásad dodržování předpisů smluvních stran, včetně přílohy 5 (souhrnně „protik</w:t>
      </w:r>
      <w:r>
        <w:rPr>
          <w:rStyle w:val="Bodytext1"/>
        </w:rPr>
        <w:t>orupční zákony“).</w:t>
      </w:r>
    </w:p>
    <w:p w:rsidR="00740046" w:rsidRDefault="00F53D2D">
      <w:pPr>
        <w:pStyle w:val="Bodytext10"/>
        <w:numPr>
          <w:ilvl w:val="0"/>
          <w:numId w:val="17"/>
        </w:numPr>
        <w:tabs>
          <w:tab w:val="left" w:pos="370"/>
          <w:tab w:val="left" w:pos="1469"/>
          <w:tab w:val="left" w:pos="3202"/>
          <w:tab w:val="left" w:pos="4200"/>
        </w:tabs>
        <w:spacing w:after="0"/>
        <w:ind w:left="360" w:hanging="360"/>
        <w:jc w:val="both"/>
      </w:pPr>
      <w:r>
        <w:rPr>
          <w:rStyle w:val="Bodytext1"/>
        </w:rPr>
        <w:t>V případě, že je každá ze stran obviněna nebo se stane předmětem vyšetřování ze strany vládního orgánu za údajné porušení platných</w:t>
      </w:r>
      <w:r>
        <w:rPr>
          <w:rStyle w:val="Bodytext1"/>
        </w:rPr>
        <w:tab/>
        <w:t>protikorupčních</w:t>
      </w:r>
      <w:r>
        <w:rPr>
          <w:rStyle w:val="Bodytext1"/>
        </w:rPr>
        <w:tab/>
        <w:t>zákonů</w:t>
      </w:r>
      <w:r>
        <w:rPr>
          <w:rStyle w:val="Bodytext1"/>
        </w:rPr>
        <w:tab/>
        <w:t>v</w:t>
      </w:r>
    </w:p>
    <w:p w:rsidR="00740046" w:rsidRDefault="00F53D2D">
      <w:pPr>
        <w:pStyle w:val="Bodytext10"/>
        <w:tabs>
          <w:tab w:val="left" w:pos="1238"/>
          <w:tab w:val="left" w:pos="2609"/>
          <w:tab w:val="left" w:pos="4200"/>
        </w:tabs>
        <w:spacing w:after="0"/>
        <w:ind w:left="360"/>
        <w:jc w:val="both"/>
      </w:pPr>
      <w:r>
        <w:rPr>
          <w:rStyle w:val="Bodytext1"/>
        </w:rPr>
        <w:t xml:space="preserve">souvislosti s touto smlouvou, nebo každá ze stran oznámí druhé straně, že má </w:t>
      </w:r>
      <w:r>
        <w:rPr>
          <w:rStyle w:val="Bodytext1"/>
        </w:rPr>
        <w:t>rozumný důvod k domněnce, že druhá strana nedodržela platné protikorupční zákony v souvislosti s touto smlouvou (a dostatečně podrobně zveřejní důkazy, na nichž se toto přesvědčení opírá), strana, která oznámí porušující stranu, bude mít právo písemně požá</w:t>
      </w:r>
      <w:r>
        <w:rPr>
          <w:rStyle w:val="Bodytext1"/>
        </w:rPr>
        <w:t>dat porušující strana poskytne přístup (buď přímo, nebo prostřednictvím právního zástupce nebo mezinárodně uznávaného nezávislého auditora) k takovým písemným záznamům nebo jiným informacím, které jsou</w:t>
      </w:r>
      <w:r>
        <w:rPr>
          <w:rStyle w:val="Bodytext1"/>
        </w:rPr>
        <w:tab/>
        <w:t>přiměřeně</w:t>
      </w:r>
      <w:r>
        <w:rPr>
          <w:rStyle w:val="Bodytext1"/>
        </w:rPr>
        <w:tab/>
        <w:t>požadované</w:t>
      </w:r>
      <w:r>
        <w:rPr>
          <w:rStyle w:val="Bodytext1"/>
        </w:rPr>
        <w:tab/>
        <w:t>k</w:t>
      </w:r>
    </w:p>
    <w:p w:rsidR="00740046" w:rsidRDefault="00F53D2D">
      <w:pPr>
        <w:pStyle w:val="Bodytext10"/>
        <w:tabs>
          <w:tab w:val="left" w:pos="2249"/>
          <w:tab w:val="left" w:pos="3466"/>
        </w:tabs>
        <w:spacing w:after="0"/>
        <w:ind w:firstLine="360"/>
        <w:jc w:val="both"/>
      </w:pPr>
      <w:r>
        <w:rPr>
          <w:rStyle w:val="Bodytext1"/>
        </w:rPr>
        <w:t>důvěryhodnému</w:t>
      </w:r>
      <w:r>
        <w:rPr>
          <w:rStyle w:val="Bodytext1"/>
        </w:rPr>
        <w:tab/>
        <w:t>vyvrácení</w:t>
      </w:r>
      <w:r>
        <w:rPr>
          <w:rStyle w:val="Bodytext1"/>
        </w:rPr>
        <w:tab/>
        <w:t>takovéh</w:t>
      </w:r>
      <w:r>
        <w:rPr>
          <w:rStyle w:val="Bodytext1"/>
        </w:rPr>
        <w:t>o</w:t>
      </w:r>
    </w:p>
    <w:p w:rsidR="00740046" w:rsidRDefault="00F53D2D">
      <w:pPr>
        <w:pStyle w:val="Bodytext10"/>
        <w:ind w:firstLine="360"/>
        <w:jc w:val="both"/>
      </w:pPr>
      <w:r>
        <w:rPr>
          <w:rStyle w:val="Bodytext1"/>
        </w:rPr>
        <w:t>údajného nedodržení.</w:t>
      </w:r>
    </w:p>
    <w:p w:rsidR="00740046" w:rsidRDefault="00F53D2D">
      <w:pPr>
        <w:pStyle w:val="Bodytext10"/>
        <w:jc w:val="both"/>
      </w:pPr>
      <w:r>
        <w:rPr>
          <w:rStyle w:val="Bodytext1"/>
        </w:rPr>
        <w:t xml:space="preserve">Pokud v souvislosti s touto Smlouvou kterákoli Strana poruší své povinnosti podle § 8, Etický kodex obchodního partnera Accordu (přiložený v Příloze č. 5) </w:t>
      </w:r>
      <w:proofErr w:type="gramStart"/>
      <w:r>
        <w:rPr>
          <w:rStyle w:val="Bodytext1"/>
        </w:rPr>
        <w:t>a nebo</w:t>
      </w:r>
      <w:proofErr w:type="gramEnd"/>
      <w:r>
        <w:rPr>
          <w:rStyle w:val="Bodytext1"/>
        </w:rPr>
        <w:t xml:space="preserve"> přizná porušení nebo je vládním orgánem rozhodnuto, že porušila platný </w:t>
      </w:r>
      <w:r>
        <w:rPr>
          <w:rStyle w:val="Bodytext1"/>
        </w:rPr>
        <w:t>protikorupční zákon, pak bude druhá Strana oprávněna okamžitě ukončit tuto Smlouvu na základě písemného oznámení Příjemci.</w:t>
      </w:r>
    </w:p>
    <w:p w:rsidR="00740046" w:rsidRDefault="00F53D2D">
      <w:pPr>
        <w:pStyle w:val="Heading310"/>
        <w:keepNext/>
        <w:keepLines/>
      </w:pPr>
      <w:bookmarkStart w:id="19" w:name="bookmark48"/>
      <w:r>
        <w:rPr>
          <w:rStyle w:val="Heading31"/>
          <w:b/>
          <w:bCs/>
        </w:rPr>
        <w:t>§ 8</w:t>
      </w:r>
      <w:r>
        <w:rPr>
          <w:rStyle w:val="Heading31"/>
          <w:b/>
          <w:bCs/>
        </w:rPr>
        <w:br/>
        <w:t>Rozhodné právo</w:t>
      </w:r>
      <w:bookmarkEnd w:id="19"/>
    </w:p>
    <w:p w:rsidR="00740046" w:rsidRDefault="00F53D2D">
      <w:pPr>
        <w:pStyle w:val="Bodytext10"/>
        <w:numPr>
          <w:ilvl w:val="0"/>
          <w:numId w:val="18"/>
        </w:numPr>
        <w:tabs>
          <w:tab w:val="left" w:pos="370"/>
        </w:tabs>
        <w:ind w:left="360" w:hanging="360"/>
        <w:jc w:val="both"/>
      </w:pPr>
      <w:r>
        <w:rPr>
          <w:rStyle w:val="Bodytext1"/>
        </w:rPr>
        <w:t xml:space="preserve">Tato Smlouva a jakýkoli spor z ní vyplývající se řídí právním řádem České republiky a budou vykládány v souladu s </w:t>
      </w:r>
      <w:r>
        <w:rPr>
          <w:rStyle w:val="Bodytext1"/>
        </w:rPr>
        <w:t>ním.</w:t>
      </w:r>
    </w:p>
    <w:p w:rsidR="00740046" w:rsidRDefault="00F53D2D">
      <w:pPr>
        <w:pStyle w:val="Bodytext10"/>
        <w:numPr>
          <w:ilvl w:val="0"/>
          <w:numId w:val="18"/>
        </w:numPr>
        <w:tabs>
          <w:tab w:val="left" w:pos="370"/>
        </w:tabs>
        <w:spacing w:after="0"/>
        <w:ind w:left="440" w:hanging="440"/>
        <w:jc w:val="both"/>
        <w:sectPr w:rsidR="00740046">
          <w:type w:val="continuous"/>
          <w:pgSz w:w="11900" w:h="16840"/>
          <w:pgMar w:top="1402" w:right="1491" w:bottom="1592" w:left="1505" w:header="974" w:footer="3" w:gutter="0"/>
          <w:cols w:num="2" w:space="163"/>
          <w:noEndnote/>
          <w:docGrid w:linePitch="360"/>
        </w:sectPr>
      </w:pPr>
      <w:r>
        <w:rPr>
          <w:rStyle w:val="Bodytext1"/>
        </w:rPr>
        <w:t>Smluvní strany ujednávají, že výhradní pravomoc k rozhodování jakýchkoli sporů mezi nimi, které nemohou být vyřešeny smírnou cestou, mají soudy České republiky.</w:t>
      </w:r>
    </w:p>
    <w:p w:rsidR="00740046" w:rsidRDefault="00740046">
      <w:pPr>
        <w:spacing w:line="240" w:lineRule="exact"/>
        <w:rPr>
          <w:sz w:val="19"/>
          <w:szCs w:val="19"/>
        </w:rPr>
      </w:pPr>
    </w:p>
    <w:p w:rsidR="00740046" w:rsidRDefault="00740046">
      <w:pPr>
        <w:spacing w:line="240" w:lineRule="exact"/>
        <w:rPr>
          <w:sz w:val="19"/>
          <w:szCs w:val="19"/>
        </w:rPr>
      </w:pPr>
    </w:p>
    <w:p w:rsidR="00740046" w:rsidRDefault="00740046">
      <w:pPr>
        <w:spacing w:before="7" w:after="7" w:line="240" w:lineRule="exact"/>
        <w:rPr>
          <w:sz w:val="19"/>
          <w:szCs w:val="19"/>
        </w:rPr>
      </w:pPr>
    </w:p>
    <w:p w:rsidR="00740046" w:rsidRDefault="00740046">
      <w:pPr>
        <w:spacing w:line="1" w:lineRule="exact"/>
        <w:sectPr w:rsidR="00740046">
          <w:type w:val="continuous"/>
          <w:pgSz w:w="11900" w:h="16840"/>
          <w:pgMar w:top="1413" w:right="0" w:bottom="1413" w:left="0" w:header="0" w:footer="3" w:gutter="0"/>
          <w:cols w:space="720"/>
          <w:noEndnote/>
          <w:docGrid w:linePitch="360"/>
        </w:sectPr>
      </w:pPr>
    </w:p>
    <w:p w:rsidR="00740046" w:rsidRDefault="00F53D2D">
      <w:pPr>
        <w:spacing w:line="1" w:lineRule="exact"/>
      </w:pPr>
      <w:r>
        <w:rPr>
          <w:noProof/>
        </w:rPr>
        <mc:AlternateContent>
          <mc:Choice Requires="wps">
            <w:drawing>
              <wp:anchor distT="0" distB="0" distL="0" distR="0" simplePos="0" relativeHeight="125829378" behindDoc="0" locked="0" layoutInCell="1" allowOverlap="1">
                <wp:simplePos x="0" y="0"/>
                <wp:positionH relativeFrom="page">
                  <wp:posOffset>5107305</wp:posOffset>
                </wp:positionH>
                <wp:positionV relativeFrom="paragraph">
                  <wp:posOffset>12700</wp:posOffset>
                </wp:positionV>
                <wp:extent cx="234950" cy="15240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234950" cy="152400"/>
                        </a:xfrm>
                        <a:prstGeom prst="rect">
                          <a:avLst/>
                        </a:prstGeom>
                        <a:noFill/>
                      </wps:spPr>
                      <wps:txbx>
                        <w:txbxContent>
                          <w:p w:rsidR="00740046" w:rsidRDefault="00F53D2D">
                            <w:pPr>
                              <w:pStyle w:val="Bodytext10"/>
                              <w:spacing w:after="0"/>
                            </w:pPr>
                            <w:r>
                              <w:rPr>
                                <w:rStyle w:val="Bodytext1"/>
                              </w:rPr>
                              <w:t>***</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402.15pt;margin-top:1pt;width:18.5pt;height:12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" filled="f" stroked="f">
                <v:textbox inset="0,0,0,0">
                  <w:txbxContent>
                    <w:p w:rsidR="00740046" w:rsidRDefault="00F53D2D">
                      <w:pPr>
                        <w:pStyle w:val="Bodytext10"/>
                        <w:spacing w:after="0"/>
                      </w:pPr>
                      <w:r>
                        <w:rPr>
                          <w:rStyle w:val="Bodytext1"/>
                        </w:rPr>
                        <w:t>***</w:t>
                      </w:r>
                    </w:p>
                  </w:txbxContent>
                </v:textbox>
                <w10:wrap type="square" anchorx="page"/>
              </v:shape>
            </w:pict>
          </mc:Fallback>
        </mc:AlternateContent>
      </w:r>
    </w:p>
    <w:p w:rsidR="00740046" w:rsidRDefault="00F53D2D">
      <w:pPr>
        <w:pStyle w:val="Bodytext10"/>
        <w:spacing w:after="0"/>
        <w:ind w:left="2000"/>
        <w:sectPr w:rsidR="00740046">
          <w:type w:val="continuous"/>
          <w:pgSz w:w="11900" w:h="16840"/>
          <w:pgMar w:top="1413" w:right="3855" w:bottom="1413" w:left="1507" w:header="0" w:footer="3" w:gutter="0"/>
          <w:cols w:space="720"/>
          <w:noEndnote/>
          <w:docGrid w:linePitch="360"/>
        </w:sectPr>
      </w:pPr>
      <w:r>
        <w:rPr>
          <w:rStyle w:val="Bodytext1"/>
        </w:rPr>
        <w:t>***</w:t>
      </w:r>
    </w:p>
    <w:p w:rsidR="00740046" w:rsidRDefault="00F53D2D">
      <w:pPr>
        <w:pStyle w:val="Bodytext10"/>
        <w:spacing w:after="400" w:line="276" w:lineRule="auto"/>
      </w:pPr>
      <w:r>
        <w:rPr>
          <w:rStyle w:val="Bodytext1"/>
        </w:rPr>
        <w:lastRenderedPageBreak/>
        <w:t>Signatures on behalf of the Parties / Podpisy za Smluvní strany:</w:t>
      </w:r>
    </w:p>
    <w:p w:rsidR="00740046" w:rsidRDefault="00F53D2D">
      <w:pPr>
        <w:pStyle w:val="Bodytext10"/>
        <w:spacing w:after="100" w:line="276" w:lineRule="auto"/>
      </w:pPr>
      <w:r>
        <w:rPr>
          <w:rStyle w:val="Bodytext1"/>
        </w:rPr>
        <w:t>For Accord / Za společnost Accord:</w:t>
      </w:r>
    </w:p>
    <w:p w:rsidR="00740046" w:rsidRDefault="00740046">
      <w:pPr>
        <w:pStyle w:val="Bodytext40"/>
      </w:pPr>
    </w:p>
    <w:p w:rsidR="00740046" w:rsidRDefault="00F53D2D">
      <w:pPr>
        <w:pStyle w:val="Heading310"/>
        <w:keepNext/>
        <w:keepLines/>
        <w:spacing w:after="100" w:line="276" w:lineRule="auto"/>
        <w:jc w:val="left"/>
      </w:pPr>
      <w:bookmarkStart w:id="20" w:name="bookmark50"/>
      <w:r>
        <w:rPr>
          <w:rStyle w:val="Heading31"/>
          <w:b/>
          <w:bCs/>
        </w:rPr>
        <w:t>ACCORD HEALTHCARE s.r.o.</w:t>
      </w:r>
      <w:bookmarkEnd w:id="20"/>
    </w:p>
    <w:p w:rsidR="00740046" w:rsidRDefault="00F53D2D">
      <w:pPr>
        <w:pStyle w:val="Bodytext10"/>
        <w:spacing w:after="400" w:line="276" w:lineRule="auto"/>
      </w:pPr>
      <w:r>
        <w:rPr>
          <w:rStyle w:val="Bodytext1"/>
        </w:rPr>
        <w:t xml:space="preserve">Ing. Gustav Svěrák, </w:t>
      </w:r>
      <w:r>
        <w:rPr>
          <w:rStyle w:val="Bodytext1"/>
        </w:rPr>
        <w:t>jednatel/Executive director</w:t>
      </w:r>
    </w:p>
    <w:p w:rsidR="00740046" w:rsidRDefault="00F53D2D">
      <w:pPr>
        <w:pStyle w:val="Bodytext10"/>
        <w:spacing w:after="800" w:line="276" w:lineRule="auto"/>
      </w:pPr>
      <w:r>
        <w:rPr>
          <w:rStyle w:val="Bodytext1"/>
        </w:rPr>
        <w:t>Datum/Date:</w:t>
      </w:r>
      <w:r w:rsidR="00133CED">
        <w:rPr>
          <w:rStyle w:val="Bodytext1"/>
        </w:rPr>
        <w:t xml:space="preserve"> 16. 4. 2025 el. podpis</w:t>
      </w:r>
    </w:p>
    <w:p w:rsidR="00740046" w:rsidRDefault="00F53D2D">
      <w:pPr>
        <w:pStyle w:val="Bodytext10"/>
        <w:spacing w:after="400"/>
      </w:pPr>
      <w:r>
        <w:rPr>
          <w:rStyle w:val="Bodytext1"/>
        </w:rPr>
        <w:t>For the Recipient / Za Příjemce:</w:t>
      </w:r>
    </w:p>
    <w:p w:rsidR="00740046" w:rsidRDefault="00740046" w:rsidP="00133CED">
      <w:pPr>
        <w:pStyle w:val="Bodytext30"/>
        <w:spacing w:line="276" w:lineRule="auto"/>
        <w:rPr>
          <w:sz w:val="12"/>
          <w:szCs w:val="12"/>
        </w:rPr>
      </w:pPr>
    </w:p>
    <w:p w:rsidR="00740046" w:rsidRDefault="00F53D2D">
      <w:pPr>
        <w:pStyle w:val="Heading310"/>
        <w:keepNext/>
        <w:keepLines/>
        <w:spacing w:after="100"/>
        <w:jc w:val="left"/>
      </w:pPr>
      <w:bookmarkStart w:id="21" w:name="bookmark52"/>
      <w:r>
        <w:rPr>
          <w:rStyle w:val="Heading31"/>
          <w:b/>
          <w:bCs/>
        </w:rPr>
        <w:t>Krajská nemocnice T. Bati, a. s.</w:t>
      </w:r>
      <w:bookmarkEnd w:id="21"/>
    </w:p>
    <w:p w:rsidR="00740046" w:rsidRDefault="00F53D2D">
      <w:pPr>
        <w:pStyle w:val="Bodytext10"/>
        <w:spacing w:after="440"/>
      </w:pPr>
      <w:r>
        <w:rPr>
          <w:rStyle w:val="Bodytext1"/>
        </w:rPr>
        <w:t>Ing. Jan Hrdý – předseda představenstva</w:t>
      </w:r>
    </w:p>
    <w:p w:rsidR="00740046" w:rsidRDefault="00F53D2D">
      <w:pPr>
        <w:pStyle w:val="Bodytext10"/>
        <w:spacing w:after="400"/>
      </w:pPr>
      <w:r>
        <w:rPr>
          <w:rStyle w:val="Bodytext1"/>
        </w:rPr>
        <w:t>Datum/Date:</w:t>
      </w:r>
      <w:r w:rsidR="00133CED">
        <w:rPr>
          <w:rStyle w:val="Bodytext1"/>
        </w:rPr>
        <w:t xml:space="preserve"> 16. 4. 2025 el. podpis</w:t>
      </w:r>
    </w:p>
    <w:p w:rsidR="00740046" w:rsidRDefault="00740046" w:rsidP="00133CED">
      <w:pPr>
        <w:pStyle w:val="Bodytext30"/>
        <w:spacing w:line="240" w:lineRule="auto"/>
        <w:ind w:left="2040"/>
      </w:pPr>
    </w:p>
    <w:p w:rsidR="00740046" w:rsidRDefault="00F53D2D">
      <w:pPr>
        <w:pStyle w:val="Heading310"/>
        <w:keepNext/>
        <w:keepLines/>
        <w:spacing w:after="100"/>
        <w:jc w:val="left"/>
      </w:pPr>
      <w:bookmarkStart w:id="22" w:name="bookmark54"/>
      <w:r>
        <w:rPr>
          <w:rStyle w:val="Heading31"/>
          <w:b/>
          <w:bCs/>
        </w:rPr>
        <w:t>Krajská nemocnice T. Bati, a. s.</w:t>
      </w:r>
      <w:bookmarkEnd w:id="22"/>
    </w:p>
    <w:p w:rsidR="00740046" w:rsidRDefault="00F53D2D">
      <w:pPr>
        <w:pStyle w:val="Bodytext10"/>
        <w:spacing w:after="440"/>
      </w:pPr>
      <w:r>
        <w:rPr>
          <w:rStyle w:val="Bodytext1"/>
        </w:rPr>
        <w:t>Ing. Martin Déva – člen představenstva</w:t>
      </w:r>
    </w:p>
    <w:p w:rsidR="00740046" w:rsidRDefault="00F53D2D">
      <w:pPr>
        <w:pStyle w:val="Bodytext10"/>
        <w:spacing w:after="0"/>
      </w:pPr>
      <w:r>
        <w:rPr>
          <w:rStyle w:val="Bodytext1"/>
        </w:rPr>
        <w:t>Datum/Date:</w:t>
      </w:r>
      <w:r w:rsidR="00133CED">
        <w:rPr>
          <w:rStyle w:val="Bodytext1"/>
        </w:rPr>
        <w:t xml:space="preserve"> 16. 4. 2025 el. podpis</w:t>
      </w:r>
      <w:r>
        <w:br w:type="page"/>
      </w:r>
    </w:p>
    <w:tbl>
      <w:tblPr>
        <w:tblOverlap w:val="never"/>
        <w:tblW w:w="9091" w:type="dxa"/>
        <w:jc w:val="center"/>
        <w:tblLayout w:type="fixed"/>
        <w:tblCellMar>
          <w:left w:w="10" w:type="dxa"/>
          <w:right w:w="10" w:type="dxa"/>
        </w:tblCellMar>
        <w:tblLook w:val="0000" w:firstRow="0" w:lastRow="0" w:firstColumn="0" w:lastColumn="0" w:noHBand="0" w:noVBand="0"/>
      </w:tblPr>
      <w:tblGrid>
        <w:gridCol w:w="4550"/>
        <w:gridCol w:w="4541"/>
      </w:tblGrid>
      <w:tr w:rsidR="00740046" w:rsidTr="00133CED">
        <w:tblPrEx>
          <w:tblCellMar>
            <w:top w:w="0" w:type="dxa"/>
            <w:bottom w:w="0" w:type="dxa"/>
          </w:tblCellMar>
        </w:tblPrEx>
        <w:trPr>
          <w:trHeight w:hRule="exact" w:val="720"/>
          <w:jc w:val="center"/>
        </w:trPr>
        <w:tc>
          <w:tcPr>
            <w:tcW w:w="4550" w:type="dxa"/>
            <w:tcBorders>
              <w:top w:val="single" w:sz="4" w:space="0" w:color="auto"/>
              <w:left w:val="single" w:sz="4" w:space="0" w:color="auto"/>
            </w:tcBorders>
            <w:shd w:val="clear" w:color="auto" w:fill="auto"/>
          </w:tcPr>
          <w:p w:rsidR="00740046" w:rsidRDefault="00F53D2D">
            <w:pPr>
              <w:pStyle w:val="Other10"/>
              <w:spacing w:after="0"/>
            </w:pPr>
            <w:r>
              <w:rPr>
                <w:rStyle w:val="Other1"/>
                <w:b/>
                <w:bCs/>
              </w:rPr>
              <w:lastRenderedPageBreak/>
              <w:t>Appendix No. 1 – Products</w:t>
            </w:r>
          </w:p>
        </w:tc>
        <w:tc>
          <w:tcPr>
            <w:tcW w:w="4541" w:type="dxa"/>
            <w:tcBorders>
              <w:top w:val="single" w:sz="4" w:space="0" w:color="auto"/>
              <w:left w:val="single" w:sz="4" w:space="0" w:color="auto"/>
              <w:right w:val="single" w:sz="4" w:space="0" w:color="auto"/>
            </w:tcBorders>
            <w:shd w:val="clear" w:color="auto" w:fill="auto"/>
          </w:tcPr>
          <w:p w:rsidR="00740046" w:rsidRDefault="00F53D2D">
            <w:pPr>
              <w:pStyle w:val="Other10"/>
              <w:spacing w:after="0"/>
            </w:pPr>
            <w:r>
              <w:rPr>
                <w:rStyle w:val="Other1"/>
                <w:b/>
                <w:bCs/>
              </w:rPr>
              <w:t>Příloha č. 1 – Přípravky</w:t>
            </w:r>
            <w:r w:rsidR="00133CED">
              <w:rPr>
                <w:rStyle w:val="Other1"/>
                <w:b/>
                <w:bCs/>
              </w:rPr>
              <w:t xml:space="preserve"> – </w:t>
            </w:r>
            <w:r w:rsidR="00133CED" w:rsidRPr="00133CED">
              <w:rPr>
                <w:rStyle w:val="Other1"/>
                <w:b/>
                <w:bCs/>
                <w:color w:val="FF0000"/>
              </w:rPr>
              <w:t>obchodní tajemství</w:t>
            </w:r>
          </w:p>
        </w:tc>
      </w:tr>
      <w:tr w:rsidR="00133CED" w:rsidTr="00133CED">
        <w:tblPrEx>
          <w:tblCellMar>
            <w:top w:w="0" w:type="dxa"/>
            <w:bottom w:w="0" w:type="dxa"/>
          </w:tblCellMar>
        </w:tblPrEx>
        <w:trPr>
          <w:trHeight w:hRule="exact" w:val="720"/>
          <w:jc w:val="center"/>
        </w:trPr>
        <w:tc>
          <w:tcPr>
            <w:tcW w:w="4550" w:type="dxa"/>
            <w:tcBorders>
              <w:top w:val="single" w:sz="4" w:space="0" w:color="auto"/>
              <w:left w:val="single" w:sz="4" w:space="0" w:color="auto"/>
              <w:bottom w:val="single" w:sz="4" w:space="0" w:color="auto"/>
            </w:tcBorders>
            <w:shd w:val="clear" w:color="auto" w:fill="auto"/>
          </w:tcPr>
          <w:p w:rsidR="00133CED" w:rsidRDefault="00133CED" w:rsidP="00133CED">
            <w:pPr>
              <w:pStyle w:val="Other10"/>
            </w:pPr>
            <w:r>
              <w:rPr>
                <w:rStyle w:val="Other1"/>
                <w:b/>
                <w:bCs/>
              </w:rPr>
              <w:t>Appendix No. 2 – Template and Calculation of Bonus</w:t>
            </w:r>
          </w:p>
          <w:p w:rsidR="00133CED" w:rsidRDefault="00133CED" w:rsidP="00133CED">
            <w:pPr>
              <w:pStyle w:val="Other10"/>
            </w:pPr>
            <w:r>
              <w:rPr>
                <w:rStyle w:val="Other1"/>
                <w:b/>
                <w:bCs/>
              </w:rPr>
              <w:t>The method of determination of the Bonus: through the following calculation:</w:t>
            </w:r>
          </w:p>
          <w:p w:rsidR="00133CED" w:rsidRDefault="00133CED" w:rsidP="00133CED">
            <w:pPr>
              <w:pStyle w:val="Other10"/>
            </w:pPr>
            <w:r>
              <w:rPr>
                <w:rStyle w:val="Other1"/>
                <w:b/>
                <w:bCs/>
              </w:rPr>
              <w:t>Settlement Period = calendar quarter</w:t>
            </w:r>
          </w:p>
          <w:p w:rsidR="00133CED" w:rsidRDefault="00133CED" w:rsidP="00133CED">
            <w:pPr>
              <w:pStyle w:val="Other10"/>
              <w:tabs>
                <w:tab w:val="left" w:pos="600"/>
                <w:tab w:val="left" w:pos="998"/>
                <w:tab w:val="left" w:pos="1747"/>
                <w:tab w:val="left" w:pos="2136"/>
                <w:tab w:val="left" w:pos="2573"/>
                <w:tab w:val="left" w:pos="3624"/>
                <w:tab w:val="left" w:pos="4013"/>
              </w:tabs>
              <w:spacing w:after="0"/>
              <w:jc w:val="both"/>
            </w:pPr>
            <w:r>
              <w:rPr>
                <w:rStyle w:val="Other1"/>
                <w:b/>
                <w:bCs/>
              </w:rPr>
              <w:t xml:space="preserve">Value of Products </w:t>
            </w:r>
            <w:r>
              <w:rPr>
                <w:rStyle w:val="Other1"/>
              </w:rPr>
              <w:t>– to be calculated as the sum</w:t>
            </w:r>
            <w:r>
              <w:rPr>
                <w:rStyle w:val="Other1"/>
              </w:rPr>
              <w:tab/>
              <w:t>of</w:t>
            </w:r>
            <w:r>
              <w:rPr>
                <w:rStyle w:val="Other1"/>
              </w:rPr>
              <w:tab/>
              <w:t>prices</w:t>
            </w:r>
            <w:r>
              <w:rPr>
                <w:rStyle w:val="Other1"/>
              </w:rPr>
              <w:tab/>
              <w:t>of</w:t>
            </w:r>
            <w:r>
              <w:rPr>
                <w:rStyle w:val="Other1"/>
              </w:rPr>
              <w:tab/>
              <w:t>all</w:t>
            </w:r>
            <w:r>
              <w:rPr>
                <w:rStyle w:val="Other1"/>
              </w:rPr>
              <w:tab/>
              <w:t>packages</w:t>
            </w:r>
            <w:r>
              <w:rPr>
                <w:rStyle w:val="Other1"/>
              </w:rPr>
              <w:tab/>
              <w:t>of</w:t>
            </w:r>
            <w:r>
              <w:rPr>
                <w:rStyle w:val="Other1"/>
              </w:rPr>
              <w:tab/>
              <w:t>the</w:t>
            </w:r>
          </w:p>
          <w:p w:rsidR="00133CED" w:rsidRDefault="00133CED" w:rsidP="00133CED">
            <w:pPr>
              <w:pStyle w:val="Other10"/>
              <w:tabs>
                <w:tab w:val="left" w:pos="1478"/>
                <w:tab w:val="left" w:pos="3490"/>
              </w:tabs>
              <w:spacing w:after="0"/>
              <w:jc w:val="both"/>
            </w:pPr>
            <w:r>
              <w:rPr>
                <w:rStyle w:val="Other1"/>
              </w:rPr>
              <w:t>corresponding</w:t>
            </w:r>
            <w:r>
              <w:rPr>
                <w:rStyle w:val="Other1"/>
              </w:rPr>
              <w:tab/>
              <w:t>Products that the</w:t>
            </w:r>
            <w:r>
              <w:rPr>
                <w:rStyle w:val="Other1"/>
              </w:rPr>
              <w:tab/>
              <w:t>Recipient</w:t>
            </w:r>
          </w:p>
          <w:p w:rsidR="00133CED" w:rsidRDefault="00133CED" w:rsidP="00133CED">
            <w:pPr>
              <w:pStyle w:val="Other10"/>
              <w:tabs>
                <w:tab w:val="left" w:pos="1190"/>
                <w:tab w:val="left" w:pos="1910"/>
                <w:tab w:val="left" w:pos="3149"/>
                <w:tab w:val="left" w:pos="4008"/>
              </w:tabs>
              <w:spacing w:after="0"/>
              <w:jc w:val="both"/>
            </w:pPr>
            <w:r>
              <w:rPr>
                <w:rStyle w:val="Other1"/>
              </w:rPr>
              <w:t>purchases</w:t>
            </w:r>
            <w:r>
              <w:rPr>
                <w:rStyle w:val="Other1"/>
              </w:rPr>
              <w:tab/>
              <w:t>from</w:t>
            </w:r>
            <w:r>
              <w:rPr>
                <w:rStyle w:val="Other1"/>
              </w:rPr>
              <w:tab/>
              <w:t>Distributor</w:t>
            </w:r>
            <w:r>
              <w:rPr>
                <w:rStyle w:val="Other1"/>
              </w:rPr>
              <w:tab/>
              <w:t>during</w:t>
            </w:r>
            <w:r>
              <w:rPr>
                <w:rStyle w:val="Other1"/>
              </w:rPr>
              <w:tab/>
              <w:t>the</w:t>
            </w:r>
          </w:p>
          <w:p w:rsidR="00133CED" w:rsidRDefault="00133CED" w:rsidP="00133CED">
            <w:pPr>
              <w:pStyle w:val="Other10"/>
              <w:jc w:val="both"/>
            </w:pPr>
            <w:r>
              <w:rPr>
                <w:rStyle w:val="Other1"/>
              </w:rPr>
              <w:t>Settlement Period. For the purpose of Bonus calculation, the sums of amounts of invoices issued by the Distributor during the Settlement Period or, as the case may be, their aliquot amounts, are to be included in the invoiced quantity of the Products.</w:t>
            </w:r>
          </w:p>
          <w:p w:rsidR="00133CED" w:rsidRDefault="00133CED" w:rsidP="00133CED">
            <w:pPr>
              <w:pStyle w:val="Other10"/>
              <w:spacing w:after="0"/>
              <w:jc w:val="both"/>
            </w:pPr>
            <w:r>
              <w:rPr>
                <w:rStyle w:val="Other1"/>
                <w:b/>
                <w:bCs/>
              </w:rPr>
              <w:t xml:space="preserve">Group of Products </w:t>
            </w:r>
            <w:r>
              <w:rPr>
                <w:rStyle w:val="Other1"/>
              </w:rPr>
              <w:t>= groups as stipulated in</w:t>
            </w:r>
          </w:p>
          <w:p w:rsidR="00133CED" w:rsidRDefault="00133CED" w:rsidP="00133CED">
            <w:pPr>
              <w:pStyle w:val="Other10"/>
            </w:pPr>
            <w:r>
              <w:rPr>
                <w:rStyle w:val="Other1"/>
              </w:rPr>
              <w:t>Appendix No. 1</w:t>
            </w:r>
          </w:p>
        </w:tc>
        <w:tc>
          <w:tcPr>
            <w:tcW w:w="4541" w:type="dxa"/>
            <w:tcBorders>
              <w:top w:val="single" w:sz="4" w:space="0" w:color="auto"/>
              <w:left w:val="single" w:sz="4" w:space="0" w:color="auto"/>
              <w:bottom w:val="single" w:sz="4" w:space="0" w:color="auto"/>
              <w:right w:val="single" w:sz="4" w:space="0" w:color="auto"/>
            </w:tcBorders>
            <w:shd w:val="clear" w:color="auto" w:fill="auto"/>
          </w:tcPr>
          <w:p w:rsidR="00133CED" w:rsidRDefault="00133CED" w:rsidP="00133CED">
            <w:pPr>
              <w:pStyle w:val="Other10"/>
              <w:spacing w:after="420"/>
              <w:jc w:val="both"/>
            </w:pPr>
            <w:r>
              <w:rPr>
                <w:rStyle w:val="Other1"/>
                <w:b/>
                <w:bCs/>
              </w:rPr>
              <w:t xml:space="preserve">Příloha č. 2 – Vzor a výpočet Bonusu – </w:t>
            </w:r>
            <w:r w:rsidRPr="00133CED">
              <w:rPr>
                <w:rStyle w:val="Other1"/>
                <w:b/>
                <w:bCs/>
                <w:color w:val="FF0000"/>
              </w:rPr>
              <w:t>obchodní tajemství</w:t>
            </w:r>
          </w:p>
          <w:p w:rsidR="00133CED" w:rsidRDefault="00133CED" w:rsidP="00133CED">
            <w:pPr>
              <w:pStyle w:val="Other10"/>
            </w:pPr>
            <w:r>
              <w:rPr>
                <w:rStyle w:val="Other1"/>
                <w:b/>
                <w:bCs/>
              </w:rPr>
              <w:t>Způsob stanovení výše Bonusu: pomocí následujícího výpočtu:</w:t>
            </w:r>
          </w:p>
          <w:p w:rsidR="00133CED" w:rsidRDefault="00133CED" w:rsidP="00133CED">
            <w:pPr>
              <w:pStyle w:val="Other10"/>
            </w:pPr>
            <w:r>
              <w:rPr>
                <w:rStyle w:val="Other1"/>
                <w:b/>
                <w:bCs/>
              </w:rPr>
              <w:t>Zúčtovací období = kalendářní čtvrtletí</w:t>
            </w:r>
          </w:p>
          <w:p w:rsidR="00133CED" w:rsidRDefault="00133CED" w:rsidP="00133CED">
            <w:pPr>
              <w:pStyle w:val="Other10"/>
              <w:tabs>
                <w:tab w:val="left" w:pos="3067"/>
              </w:tabs>
              <w:spacing w:after="0"/>
              <w:jc w:val="both"/>
            </w:pPr>
            <w:r>
              <w:rPr>
                <w:rStyle w:val="Other1"/>
                <w:b/>
                <w:bCs/>
              </w:rPr>
              <w:t xml:space="preserve">Hodnota Přípravků </w:t>
            </w:r>
            <w:r>
              <w:rPr>
                <w:rStyle w:val="Other1"/>
              </w:rPr>
              <w:t>– bude vypočteno jako součet cen všech balení příslušného Přípravku, které Příjemce koupí od Distributora během Zúčtovacího období. Do fakturované hodnoty Přípravků se pro účely výpočtu Bonusu zahrne součet částek fakturovaných</w:t>
            </w:r>
            <w:r>
              <w:rPr>
                <w:rStyle w:val="Other1"/>
              </w:rPr>
              <w:tab/>
              <w:t>Distributorem</w:t>
            </w:r>
          </w:p>
          <w:p w:rsidR="00133CED" w:rsidRDefault="00133CED" w:rsidP="00133CED">
            <w:pPr>
              <w:pStyle w:val="Other10"/>
              <w:spacing w:after="420"/>
              <w:jc w:val="both"/>
            </w:pPr>
            <w:r>
              <w:rPr>
                <w:rStyle w:val="Other1"/>
              </w:rPr>
              <w:t>během Zúčtovacího období, případně jejich poměrná část.</w:t>
            </w:r>
          </w:p>
          <w:p w:rsidR="00133CED" w:rsidRDefault="00133CED" w:rsidP="00133CED">
            <w:pPr>
              <w:pStyle w:val="Other10"/>
              <w:spacing w:after="0"/>
              <w:jc w:val="both"/>
            </w:pPr>
            <w:r>
              <w:rPr>
                <w:rStyle w:val="Other1"/>
                <w:b/>
                <w:bCs/>
              </w:rPr>
              <w:t xml:space="preserve">Skupina Přípravků </w:t>
            </w:r>
            <w:r>
              <w:rPr>
                <w:rStyle w:val="Other1"/>
              </w:rPr>
              <w:t>= skupiny uvedené</w:t>
            </w:r>
          </w:p>
          <w:p w:rsidR="00133CED" w:rsidRDefault="00133CED" w:rsidP="00133CED">
            <w:pPr>
              <w:pStyle w:val="Other10"/>
              <w:spacing w:after="320"/>
            </w:pPr>
            <w:r>
              <w:rPr>
                <w:rStyle w:val="Other1"/>
              </w:rPr>
              <w:t>v Příloze č. 1</w:t>
            </w:r>
          </w:p>
        </w:tc>
      </w:tr>
    </w:tbl>
    <w:p w:rsidR="00740046" w:rsidRDefault="00F53D2D">
      <w:pPr>
        <w:spacing w:line="1" w:lineRule="exact"/>
      </w:pPr>
      <w:bookmarkStart w:id="23" w:name="_GoBack"/>
      <w:bookmarkEnd w:id="23"/>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541"/>
        <w:gridCol w:w="4546"/>
      </w:tblGrid>
      <w:tr w:rsidR="00740046">
        <w:tblPrEx>
          <w:tblCellMar>
            <w:top w:w="0" w:type="dxa"/>
            <w:bottom w:w="0" w:type="dxa"/>
          </w:tblCellMar>
        </w:tblPrEx>
        <w:trPr>
          <w:trHeight w:hRule="exact" w:val="552"/>
          <w:jc w:val="center"/>
        </w:trPr>
        <w:tc>
          <w:tcPr>
            <w:tcW w:w="4541" w:type="dxa"/>
            <w:tcBorders>
              <w:top w:val="single" w:sz="4" w:space="0" w:color="auto"/>
              <w:left w:val="single" w:sz="4" w:space="0" w:color="auto"/>
            </w:tcBorders>
            <w:shd w:val="clear" w:color="auto" w:fill="auto"/>
          </w:tcPr>
          <w:p w:rsidR="00740046" w:rsidRDefault="00F53D2D">
            <w:pPr>
              <w:pStyle w:val="Other10"/>
              <w:spacing w:after="0"/>
            </w:pPr>
            <w:r>
              <w:rPr>
                <w:rStyle w:val="Other1"/>
                <w:b/>
                <w:bCs/>
              </w:rPr>
              <w:lastRenderedPageBreak/>
              <w:t>Appendix No. 3 – The List of the Distributors:</w:t>
            </w:r>
          </w:p>
        </w:tc>
        <w:tc>
          <w:tcPr>
            <w:tcW w:w="4546" w:type="dxa"/>
            <w:tcBorders>
              <w:top w:val="single" w:sz="4" w:space="0" w:color="auto"/>
              <w:left w:val="single" w:sz="4" w:space="0" w:color="auto"/>
              <w:right w:val="single" w:sz="4" w:space="0" w:color="auto"/>
            </w:tcBorders>
            <w:shd w:val="clear" w:color="auto" w:fill="auto"/>
            <w:vAlign w:val="center"/>
          </w:tcPr>
          <w:p w:rsidR="00740046" w:rsidRDefault="00F53D2D">
            <w:pPr>
              <w:pStyle w:val="Other10"/>
              <w:spacing w:after="0"/>
              <w:jc w:val="both"/>
            </w:pPr>
            <w:r>
              <w:rPr>
                <w:rStyle w:val="Other1"/>
                <w:b/>
                <w:bCs/>
              </w:rPr>
              <w:t>Příloha č. 3 – Seznam Distributorů:</w:t>
            </w:r>
          </w:p>
        </w:tc>
      </w:tr>
      <w:tr w:rsidR="00740046">
        <w:tblPrEx>
          <w:tblCellMar>
            <w:top w:w="0" w:type="dxa"/>
            <w:bottom w:w="0" w:type="dxa"/>
          </w:tblCellMar>
        </w:tblPrEx>
        <w:trPr>
          <w:trHeight w:hRule="exact" w:val="1008"/>
          <w:jc w:val="center"/>
        </w:trPr>
        <w:tc>
          <w:tcPr>
            <w:tcW w:w="4541" w:type="dxa"/>
            <w:tcBorders>
              <w:left w:val="single" w:sz="4" w:space="0" w:color="auto"/>
            </w:tcBorders>
            <w:shd w:val="clear" w:color="auto" w:fill="auto"/>
            <w:vAlign w:val="bottom"/>
          </w:tcPr>
          <w:p w:rsidR="00740046" w:rsidRDefault="00F53D2D">
            <w:pPr>
              <w:pStyle w:val="Other10"/>
              <w:spacing w:after="0"/>
              <w:jc w:val="both"/>
              <w:rPr>
                <w:sz w:val="20"/>
                <w:szCs w:val="20"/>
              </w:rPr>
            </w:pPr>
            <w:r>
              <w:rPr>
                <w:rStyle w:val="Other1"/>
              </w:rPr>
              <w:t xml:space="preserve">1) ViaPharma s.r.o., ID No. 14888742, with registered seat in Prague, Na Florenci 2116/15, Nove Mesto, 11000 Prague 1, </w:t>
            </w:r>
            <w:r>
              <w:rPr>
                <w:rStyle w:val="Other1"/>
                <w:rFonts w:ascii="Arial" w:eastAsia="Arial" w:hAnsi="Arial" w:cs="Arial"/>
                <w:sz w:val="20"/>
                <w:szCs w:val="20"/>
              </w:rPr>
              <w:t>0000097519</w:t>
            </w:r>
          </w:p>
        </w:tc>
        <w:tc>
          <w:tcPr>
            <w:tcW w:w="4546" w:type="dxa"/>
            <w:tcBorders>
              <w:left w:val="single" w:sz="4" w:space="0" w:color="auto"/>
              <w:right w:val="single" w:sz="4" w:space="0" w:color="auto"/>
            </w:tcBorders>
            <w:shd w:val="clear" w:color="auto" w:fill="auto"/>
            <w:vAlign w:val="bottom"/>
          </w:tcPr>
          <w:p w:rsidR="00740046" w:rsidRDefault="00F53D2D">
            <w:pPr>
              <w:pStyle w:val="Other10"/>
              <w:spacing w:after="0"/>
              <w:ind w:left="460" w:hanging="460"/>
              <w:jc w:val="both"/>
            </w:pPr>
            <w:r>
              <w:rPr>
                <w:rStyle w:val="Other1"/>
              </w:rPr>
              <w:t>1) ViaPharma s.r.o., IČO: 14888742, se sídlem na adrese v Praze, Na Florenci 2116/15, Nové Město, 11000 Praha 1,</w:t>
            </w:r>
          </w:p>
          <w:p w:rsidR="00740046" w:rsidRDefault="00F53D2D">
            <w:pPr>
              <w:pStyle w:val="Other10"/>
              <w:spacing w:after="0" w:line="228" w:lineRule="auto"/>
              <w:ind w:firstLine="640"/>
              <w:jc w:val="both"/>
              <w:rPr>
                <w:sz w:val="20"/>
                <w:szCs w:val="20"/>
              </w:rPr>
            </w:pPr>
            <w:r>
              <w:rPr>
                <w:rStyle w:val="Other1"/>
                <w:rFonts w:ascii="Arial" w:eastAsia="Arial" w:hAnsi="Arial" w:cs="Arial"/>
                <w:sz w:val="20"/>
                <w:szCs w:val="20"/>
              </w:rPr>
              <w:t>0000097519</w:t>
            </w:r>
          </w:p>
        </w:tc>
      </w:tr>
      <w:tr w:rsidR="00740046">
        <w:tblPrEx>
          <w:tblCellMar>
            <w:top w:w="0" w:type="dxa"/>
            <w:bottom w:w="0" w:type="dxa"/>
          </w:tblCellMar>
        </w:tblPrEx>
        <w:trPr>
          <w:trHeight w:hRule="exact" w:val="341"/>
          <w:jc w:val="center"/>
        </w:trPr>
        <w:tc>
          <w:tcPr>
            <w:tcW w:w="4541" w:type="dxa"/>
            <w:tcBorders>
              <w:left w:val="single" w:sz="4" w:space="0" w:color="auto"/>
            </w:tcBorders>
            <w:shd w:val="clear" w:color="auto" w:fill="auto"/>
          </w:tcPr>
          <w:p w:rsidR="00740046" w:rsidRDefault="00F53D2D">
            <w:pPr>
              <w:pStyle w:val="Other10"/>
              <w:spacing w:after="0"/>
              <w:ind w:firstLine="660"/>
              <w:rPr>
                <w:sz w:val="20"/>
                <w:szCs w:val="20"/>
              </w:rPr>
            </w:pPr>
            <w:r>
              <w:rPr>
                <w:rStyle w:val="Other1"/>
                <w:rFonts w:ascii="Arial" w:eastAsia="Arial" w:hAnsi="Arial" w:cs="Arial"/>
                <w:sz w:val="20"/>
                <w:szCs w:val="20"/>
              </w:rPr>
              <w:t>0000100175</w:t>
            </w:r>
          </w:p>
        </w:tc>
        <w:tc>
          <w:tcPr>
            <w:tcW w:w="4546" w:type="dxa"/>
            <w:tcBorders>
              <w:left w:val="single" w:sz="4" w:space="0" w:color="auto"/>
              <w:right w:val="single" w:sz="4" w:space="0" w:color="auto"/>
            </w:tcBorders>
            <w:shd w:val="clear" w:color="auto" w:fill="auto"/>
          </w:tcPr>
          <w:p w:rsidR="00740046" w:rsidRDefault="00F53D2D">
            <w:pPr>
              <w:pStyle w:val="Other10"/>
              <w:spacing w:after="0"/>
              <w:ind w:firstLine="640"/>
              <w:jc w:val="both"/>
              <w:rPr>
                <w:sz w:val="20"/>
                <w:szCs w:val="20"/>
              </w:rPr>
            </w:pPr>
            <w:r>
              <w:rPr>
                <w:rStyle w:val="Other1"/>
                <w:rFonts w:ascii="Arial" w:eastAsia="Arial" w:hAnsi="Arial" w:cs="Arial"/>
                <w:sz w:val="20"/>
                <w:szCs w:val="20"/>
              </w:rPr>
              <w:t>0000100175</w:t>
            </w:r>
          </w:p>
        </w:tc>
      </w:tr>
      <w:tr w:rsidR="00740046">
        <w:tblPrEx>
          <w:tblCellMar>
            <w:top w:w="0" w:type="dxa"/>
            <w:bottom w:w="0" w:type="dxa"/>
          </w:tblCellMar>
        </w:tblPrEx>
        <w:trPr>
          <w:trHeight w:hRule="exact" w:val="562"/>
          <w:jc w:val="center"/>
        </w:trPr>
        <w:tc>
          <w:tcPr>
            <w:tcW w:w="4541" w:type="dxa"/>
            <w:tcBorders>
              <w:left w:val="single" w:sz="4" w:space="0" w:color="auto"/>
            </w:tcBorders>
            <w:shd w:val="clear" w:color="auto" w:fill="auto"/>
            <w:vAlign w:val="bottom"/>
          </w:tcPr>
          <w:p w:rsidR="00740046" w:rsidRDefault="00F53D2D">
            <w:pPr>
              <w:pStyle w:val="Other10"/>
              <w:spacing w:after="0"/>
            </w:pPr>
            <w:r>
              <w:rPr>
                <w:rStyle w:val="Other1"/>
              </w:rPr>
              <w:t>2) PHOENIX lékárenský velkoobchod s.r.o., ID</w:t>
            </w:r>
          </w:p>
          <w:p w:rsidR="00740046" w:rsidRDefault="00F53D2D">
            <w:pPr>
              <w:pStyle w:val="Other10"/>
              <w:spacing w:after="0"/>
              <w:ind w:firstLine="460"/>
              <w:jc w:val="both"/>
            </w:pPr>
            <w:r>
              <w:rPr>
                <w:rStyle w:val="Other1"/>
              </w:rPr>
              <w:t>No. 45359326, with registered seat in</w:t>
            </w:r>
          </w:p>
        </w:tc>
        <w:tc>
          <w:tcPr>
            <w:tcW w:w="4546" w:type="dxa"/>
            <w:tcBorders>
              <w:left w:val="single" w:sz="4" w:space="0" w:color="auto"/>
              <w:right w:val="single" w:sz="4" w:space="0" w:color="auto"/>
            </w:tcBorders>
            <w:shd w:val="clear" w:color="auto" w:fill="auto"/>
            <w:vAlign w:val="bottom"/>
          </w:tcPr>
          <w:p w:rsidR="00740046" w:rsidRDefault="00F53D2D">
            <w:pPr>
              <w:pStyle w:val="Other10"/>
              <w:tabs>
                <w:tab w:val="left" w:pos="955"/>
                <w:tab w:val="left" w:pos="2126"/>
                <w:tab w:val="left" w:pos="3293"/>
                <w:tab w:val="left" w:pos="3696"/>
              </w:tabs>
              <w:spacing w:after="0"/>
              <w:ind w:left="460" w:hanging="460"/>
              <w:jc w:val="both"/>
            </w:pPr>
            <w:r>
              <w:rPr>
                <w:rStyle w:val="Other1"/>
              </w:rPr>
              <w:t>2) PHOENIX lékárenský velkoobchod s.r.o., IČO:</w:t>
            </w:r>
            <w:r>
              <w:rPr>
                <w:rStyle w:val="Other1"/>
              </w:rPr>
              <w:tab/>
              <w:t>45359326,</w:t>
            </w:r>
            <w:r>
              <w:rPr>
                <w:rStyle w:val="Other1"/>
              </w:rPr>
              <w:tab/>
              <w:t>se sídlem</w:t>
            </w:r>
            <w:r>
              <w:rPr>
                <w:rStyle w:val="Other1"/>
              </w:rPr>
              <w:tab/>
              <w:t>na</w:t>
            </w:r>
            <w:r>
              <w:rPr>
                <w:rStyle w:val="Other1"/>
              </w:rPr>
              <w:tab/>
              <w:t>adrese</w:t>
            </w:r>
          </w:p>
        </w:tc>
      </w:tr>
      <w:tr w:rsidR="00740046">
        <w:tblPrEx>
          <w:tblCellMar>
            <w:top w:w="0" w:type="dxa"/>
            <w:bottom w:w="0" w:type="dxa"/>
          </w:tblCellMar>
        </w:tblPrEx>
        <w:trPr>
          <w:trHeight w:hRule="exact" w:val="648"/>
          <w:jc w:val="center"/>
        </w:trPr>
        <w:tc>
          <w:tcPr>
            <w:tcW w:w="4541" w:type="dxa"/>
            <w:tcBorders>
              <w:left w:val="single" w:sz="4" w:space="0" w:color="auto"/>
            </w:tcBorders>
            <w:shd w:val="clear" w:color="auto" w:fill="auto"/>
          </w:tcPr>
          <w:p w:rsidR="00740046" w:rsidRDefault="00F53D2D">
            <w:pPr>
              <w:pStyle w:val="Other10"/>
              <w:spacing w:after="0"/>
              <w:ind w:firstLine="460"/>
              <w:jc w:val="both"/>
            </w:pPr>
            <w:r>
              <w:rPr>
                <w:rStyle w:val="Other1"/>
              </w:rPr>
              <w:t>Prague, K Pérovně 945/7, Hostivař, 102 00</w:t>
            </w:r>
          </w:p>
          <w:p w:rsidR="00740046" w:rsidRDefault="00F53D2D">
            <w:pPr>
              <w:pStyle w:val="Other10"/>
              <w:spacing w:after="0"/>
              <w:ind w:firstLine="460"/>
            </w:pPr>
            <w:r>
              <w:rPr>
                <w:rStyle w:val="Other1"/>
              </w:rPr>
              <w:t>Prague 10.</w:t>
            </w:r>
          </w:p>
          <w:p w:rsidR="00740046" w:rsidRDefault="00F53D2D">
            <w:pPr>
              <w:pStyle w:val="Other10"/>
              <w:spacing w:after="0"/>
              <w:ind w:firstLine="720"/>
              <w:rPr>
                <w:sz w:val="20"/>
                <w:szCs w:val="20"/>
              </w:rPr>
            </w:pPr>
            <w:r>
              <w:rPr>
                <w:rStyle w:val="Other1"/>
                <w:rFonts w:ascii="Arial" w:eastAsia="Arial" w:hAnsi="Arial" w:cs="Arial"/>
                <w:sz w:val="20"/>
                <w:szCs w:val="20"/>
              </w:rPr>
              <w:t>1603034</w:t>
            </w:r>
          </w:p>
        </w:tc>
        <w:tc>
          <w:tcPr>
            <w:tcW w:w="4546" w:type="dxa"/>
            <w:tcBorders>
              <w:left w:val="single" w:sz="4" w:space="0" w:color="auto"/>
              <w:right w:val="single" w:sz="4" w:space="0" w:color="auto"/>
            </w:tcBorders>
            <w:shd w:val="clear" w:color="auto" w:fill="auto"/>
          </w:tcPr>
          <w:p w:rsidR="00740046" w:rsidRDefault="00F53D2D">
            <w:pPr>
              <w:pStyle w:val="Other10"/>
              <w:spacing w:after="0"/>
              <w:ind w:left="460"/>
              <w:jc w:val="both"/>
            </w:pPr>
            <w:r>
              <w:rPr>
                <w:rStyle w:val="Other1"/>
              </w:rPr>
              <w:t xml:space="preserve">v Praze, K </w:t>
            </w:r>
            <w:r>
              <w:rPr>
                <w:rStyle w:val="Other1"/>
              </w:rPr>
              <w:t>Pérovně 945/7, Hostivař, 102 00 Praha 10.</w:t>
            </w:r>
          </w:p>
          <w:p w:rsidR="00740046" w:rsidRDefault="00F53D2D">
            <w:pPr>
              <w:pStyle w:val="Other10"/>
              <w:spacing w:after="0" w:line="230" w:lineRule="auto"/>
              <w:ind w:firstLine="700"/>
              <w:jc w:val="both"/>
              <w:rPr>
                <w:sz w:val="20"/>
                <w:szCs w:val="20"/>
              </w:rPr>
            </w:pPr>
            <w:r>
              <w:rPr>
                <w:rStyle w:val="Other1"/>
                <w:rFonts w:ascii="Arial" w:eastAsia="Arial" w:hAnsi="Arial" w:cs="Arial"/>
                <w:sz w:val="20"/>
                <w:szCs w:val="20"/>
              </w:rPr>
              <w:t>1603034</w:t>
            </w:r>
          </w:p>
        </w:tc>
      </w:tr>
      <w:tr w:rsidR="00740046">
        <w:tblPrEx>
          <w:tblCellMar>
            <w:top w:w="0" w:type="dxa"/>
            <w:bottom w:w="0" w:type="dxa"/>
          </w:tblCellMar>
        </w:tblPrEx>
        <w:trPr>
          <w:trHeight w:hRule="exact" w:val="216"/>
          <w:jc w:val="center"/>
        </w:trPr>
        <w:tc>
          <w:tcPr>
            <w:tcW w:w="4541" w:type="dxa"/>
            <w:tcBorders>
              <w:left w:val="single" w:sz="4" w:space="0" w:color="auto"/>
            </w:tcBorders>
            <w:shd w:val="clear" w:color="auto" w:fill="auto"/>
            <w:vAlign w:val="bottom"/>
          </w:tcPr>
          <w:p w:rsidR="00740046" w:rsidRDefault="00F53D2D">
            <w:pPr>
              <w:pStyle w:val="Other10"/>
              <w:spacing w:after="0"/>
              <w:ind w:firstLine="720"/>
              <w:rPr>
                <w:sz w:val="20"/>
                <w:szCs w:val="20"/>
              </w:rPr>
            </w:pPr>
            <w:r>
              <w:rPr>
                <w:rStyle w:val="Other1"/>
                <w:rFonts w:ascii="Arial" w:eastAsia="Arial" w:hAnsi="Arial" w:cs="Arial"/>
                <w:sz w:val="20"/>
                <w:szCs w:val="20"/>
              </w:rPr>
              <w:t>1603159</w:t>
            </w:r>
          </w:p>
        </w:tc>
        <w:tc>
          <w:tcPr>
            <w:tcW w:w="4546" w:type="dxa"/>
            <w:tcBorders>
              <w:left w:val="single" w:sz="4" w:space="0" w:color="auto"/>
              <w:right w:val="single" w:sz="4" w:space="0" w:color="auto"/>
            </w:tcBorders>
            <w:shd w:val="clear" w:color="auto" w:fill="auto"/>
            <w:vAlign w:val="bottom"/>
          </w:tcPr>
          <w:p w:rsidR="00740046" w:rsidRDefault="00F53D2D">
            <w:pPr>
              <w:pStyle w:val="Other10"/>
              <w:spacing w:after="0"/>
              <w:ind w:firstLine="700"/>
              <w:jc w:val="both"/>
              <w:rPr>
                <w:sz w:val="20"/>
                <w:szCs w:val="20"/>
              </w:rPr>
            </w:pPr>
            <w:r>
              <w:rPr>
                <w:rStyle w:val="Other1"/>
                <w:rFonts w:ascii="Arial" w:eastAsia="Arial" w:hAnsi="Arial" w:cs="Arial"/>
                <w:sz w:val="20"/>
                <w:szCs w:val="20"/>
              </w:rPr>
              <w:t>1603159</w:t>
            </w:r>
          </w:p>
        </w:tc>
      </w:tr>
      <w:tr w:rsidR="00740046">
        <w:tblPrEx>
          <w:tblCellMar>
            <w:top w:w="0" w:type="dxa"/>
            <w:bottom w:w="0" w:type="dxa"/>
          </w:tblCellMar>
        </w:tblPrEx>
        <w:trPr>
          <w:trHeight w:hRule="exact" w:val="360"/>
          <w:jc w:val="center"/>
        </w:trPr>
        <w:tc>
          <w:tcPr>
            <w:tcW w:w="4541" w:type="dxa"/>
            <w:tcBorders>
              <w:left w:val="single" w:sz="4" w:space="0" w:color="auto"/>
            </w:tcBorders>
            <w:shd w:val="clear" w:color="auto" w:fill="auto"/>
          </w:tcPr>
          <w:p w:rsidR="00740046" w:rsidRDefault="00F53D2D">
            <w:pPr>
              <w:pStyle w:val="Other10"/>
              <w:spacing w:after="0"/>
              <w:ind w:firstLine="720"/>
              <w:rPr>
                <w:sz w:val="20"/>
                <w:szCs w:val="20"/>
              </w:rPr>
            </w:pPr>
            <w:r>
              <w:rPr>
                <w:rStyle w:val="Other1"/>
                <w:rFonts w:ascii="Arial" w:eastAsia="Arial" w:hAnsi="Arial" w:cs="Arial"/>
                <w:sz w:val="20"/>
                <w:szCs w:val="20"/>
              </w:rPr>
              <w:t>1602218</w:t>
            </w:r>
          </w:p>
        </w:tc>
        <w:tc>
          <w:tcPr>
            <w:tcW w:w="4546" w:type="dxa"/>
            <w:tcBorders>
              <w:left w:val="single" w:sz="4" w:space="0" w:color="auto"/>
              <w:right w:val="single" w:sz="4" w:space="0" w:color="auto"/>
            </w:tcBorders>
            <w:shd w:val="clear" w:color="auto" w:fill="auto"/>
          </w:tcPr>
          <w:p w:rsidR="00740046" w:rsidRDefault="00F53D2D">
            <w:pPr>
              <w:pStyle w:val="Other10"/>
              <w:spacing w:after="0"/>
              <w:ind w:firstLine="700"/>
              <w:rPr>
                <w:sz w:val="20"/>
                <w:szCs w:val="20"/>
              </w:rPr>
            </w:pPr>
            <w:r>
              <w:rPr>
                <w:rStyle w:val="Other1"/>
                <w:rFonts w:ascii="Arial" w:eastAsia="Arial" w:hAnsi="Arial" w:cs="Arial"/>
                <w:sz w:val="20"/>
                <w:szCs w:val="20"/>
              </w:rPr>
              <w:t>160221</w:t>
            </w:r>
          </w:p>
        </w:tc>
      </w:tr>
      <w:tr w:rsidR="00740046">
        <w:tblPrEx>
          <w:tblCellMar>
            <w:top w:w="0" w:type="dxa"/>
            <w:bottom w:w="0" w:type="dxa"/>
          </w:tblCellMar>
        </w:tblPrEx>
        <w:trPr>
          <w:trHeight w:hRule="exact" w:val="994"/>
          <w:jc w:val="center"/>
        </w:trPr>
        <w:tc>
          <w:tcPr>
            <w:tcW w:w="4541" w:type="dxa"/>
            <w:tcBorders>
              <w:left w:val="single" w:sz="4" w:space="0" w:color="auto"/>
            </w:tcBorders>
            <w:shd w:val="clear" w:color="auto" w:fill="auto"/>
            <w:vAlign w:val="bottom"/>
          </w:tcPr>
          <w:p w:rsidR="00740046" w:rsidRDefault="00F53D2D">
            <w:pPr>
              <w:pStyle w:val="Other10"/>
              <w:spacing w:after="0"/>
              <w:ind w:left="460" w:hanging="460"/>
              <w:jc w:val="both"/>
            </w:pPr>
            <w:r>
              <w:rPr>
                <w:rStyle w:val="Other1"/>
              </w:rPr>
              <w:t>3) Alliance Healthcare s.r.o., ID No. 14707420, registered seat in Prague, Podle Trati č.p. 624/7, 108 00 Praha 10- Malešice</w:t>
            </w:r>
          </w:p>
          <w:p w:rsidR="00740046" w:rsidRDefault="00F53D2D">
            <w:pPr>
              <w:pStyle w:val="Other10"/>
              <w:spacing w:after="0" w:line="228" w:lineRule="auto"/>
              <w:ind w:firstLine="720"/>
              <w:rPr>
                <w:sz w:val="20"/>
                <w:szCs w:val="20"/>
              </w:rPr>
            </w:pPr>
            <w:r>
              <w:rPr>
                <w:rStyle w:val="Other1"/>
                <w:rFonts w:ascii="Arial" w:eastAsia="Arial" w:hAnsi="Arial" w:cs="Arial"/>
                <w:sz w:val="20"/>
                <w:szCs w:val="20"/>
              </w:rPr>
              <w:t>061825</w:t>
            </w:r>
          </w:p>
        </w:tc>
        <w:tc>
          <w:tcPr>
            <w:tcW w:w="4546" w:type="dxa"/>
            <w:tcBorders>
              <w:left w:val="single" w:sz="4" w:space="0" w:color="auto"/>
              <w:right w:val="single" w:sz="4" w:space="0" w:color="auto"/>
            </w:tcBorders>
            <w:shd w:val="clear" w:color="auto" w:fill="auto"/>
            <w:vAlign w:val="bottom"/>
          </w:tcPr>
          <w:p w:rsidR="00740046" w:rsidRDefault="00F53D2D">
            <w:pPr>
              <w:pStyle w:val="Other10"/>
              <w:spacing w:after="0"/>
              <w:ind w:left="460" w:hanging="460"/>
              <w:jc w:val="both"/>
            </w:pPr>
            <w:r>
              <w:rPr>
                <w:rStyle w:val="Other1"/>
              </w:rPr>
              <w:t xml:space="preserve">3) Alliance Healthcare s.r.o., IČO: </w:t>
            </w:r>
            <w:r>
              <w:rPr>
                <w:rStyle w:val="Other1"/>
              </w:rPr>
              <w:t>14707420, se sídlem na adrese Podle Trati č.p. 624/7, 108 00 Praha 10- Malešice</w:t>
            </w:r>
          </w:p>
          <w:p w:rsidR="00740046" w:rsidRDefault="00F53D2D">
            <w:pPr>
              <w:pStyle w:val="Other10"/>
              <w:spacing w:after="0" w:line="228" w:lineRule="auto"/>
              <w:ind w:firstLine="700"/>
              <w:rPr>
                <w:sz w:val="20"/>
                <w:szCs w:val="20"/>
              </w:rPr>
            </w:pPr>
            <w:r>
              <w:rPr>
                <w:rStyle w:val="Other1"/>
                <w:rFonts w:ascii="Arial" w:eastAsia="Arial" w:hAnsi="Arial" w:cs="Arial"/>
                <w:sz w:val="20"/>
                <w:szCs w:val="20"/>
              </w:rPr>
              <w:t>061825</w:t>
            </w:r>
          </w:p>
        </w:tc>
      </w:tr>
      <w:tr w:rsidR="00740046">
        <w:tblPrEx>
          <w:tblCellMar>
            <w:top w:w="0" w:type="dxa"/>
            <w:bottom w:w="0" w:type="dxa"/>
          </w:tblCellMar>
        </w:tblPrEx>
        <w:trPr>
          <w:trHeight w:hRule="exact" w:val="360"/>
          <w:jc w:val="center"/>
        </w:trPr>
        <w:tc>
          <w:tcPr>
            <w:tcW w:w="4541" w:type="dxa"/>
            <w:tcBorders>
              <w:left w:val="single" w:sz="4" w:space="0" w:color="auto"/>
            </w:tcBorders>
            <w:shd w:val="clear" w:color="auto" w:fill="auto"/>
          </w:tcPr>
          <w:p w:rsidR="00740046" w:rsidRDefault="00F53D2D">
            <w:pPr>
              <w:pStyle w:val="Other10"/>
              <w:spacing w:after="0"/>
              <w:ind w:firstLine="720"/>
              <w:rPr>
                <w:sz w:val="20"/>
                <w:szCs w:val="20"/>
              </w:rPr>
            </w:pPr>
            <w:r>
              <w:rPr>
                <w:rStyle w:val="Other1"/>
                <w:rFonts w:ascii="Arial" w:eastAsia="Arial" w:hAnsi="Arial" w:cs="Arial"/>
                <w:sz w:val="20"/>
                <w:szCs w:val="20"/>
              </w:rPr>
              <w:t>100256</w:t>
            </w:r>
          </w:p>
        </w:tc>
        <w:tc>
          <w:tcPr>
            <w:tcW w:w="4546" w:type="dxa"/>
            <w:tcBorders>
              <w:left w:val="single" w:sz="4" w:space="0" w:color="auto"/>
              <w:right w:val="single" w:sz="4" w:space="0" w:color="auto"/>
            </w:tcBorders>
            <w:shd w:val="clear" w:color="auto" w:fill="auto"/>
          </w:tcPr>
          <w:p w:rsidR="00740046" w:rsidRDefault="00F53D2D">
            <w:pPr>
              <w:pStyle w:val="Other10"/>
              <w:spacing w:after="0"/>
              <w:ind w:firstLine="700"/>
              <w:rPr>
                <w:sz w:val="20"/>
                <w:szCs w:val="20"/>
              </w:rPr>
            </w:pPr>
            <w:r>
              <w:rPr>
                <w:rStyle w:val="Other1"/>
                <w:rFonts w:ascii="Arial" w:eastAsia="Arial" w:hAnsi="Arial" w:cs="Arial"/>
                <w:sz w:val="20"/>
                <w:szCs w:val="20"/>
              </w:rPr>
              <w:t>100256</w:t>
            </w:r>
          </w:p>
        </w:tc>
      </w:tr>
      <w:tr w:rsidR="00740046">
        <w:tblPrEx>
          <w:tblCellMar>
            <w:top w:w="0" w:type="dxa"/>
            <w:bottom w:w="0" w:type="dxa"/>
          </w:tblCellMar>
        </w:tblPrEx>
        <w:trPr>
          <w:trHeight w:hRule="exact" w:val="960"/>
          <w:jc w:val="center"/>
        </w:trPr>
        <w:tc>
          <w:tcPr>
            <w:tcW w:w="4541" w:type="dxa"/>
            <w:tcBorders>
              <w:left w:val="single" w:sz="4" w:space="0" w:color="auto"/>
            </w:tcBorders>
            <w:shd w:val="clear" w:color="auto" w:fill="auto"/>
            <w:vAlign w:val="center"/>
          </w:tcPr>
          <w:p w:rsidR="00740046" w:rsidRDefault="00F53D2D">
            <w:pPr>
              <w:pStyle w:val="Other10"/>
              <w:tabs>
                <w:tab w:val="left" w:pos="970"/>
                <w:tab w:val="left" w:pos="1354"/>
                <w:tab w:val="left" w:pos="2342"/>
                <w:tab w:val="left" w:pos="3374"/>
              </w:tabs>
              <w:spacing w:after="0"/>
              <w:ind w:left="460" w:hanging="460"/>
              <w:jc w:val="both"/>
            </w:pPr>
            <w:r>
              <w:rPr>
                <w:rStyle w:val="Other1"/>
              </w:rPr>
              <w:t>4) Pharmos a.s., ID No. 19010290, registered seat</w:t>
            </w:r>
            <w:r>
              <w:rPr>
                <w:rStyle w:val="Other1"/>
              </w:rPr>
              <w:tab/>
              <w:t>in</w:t>
            </w:r>
            <w:r>
              <w:rPr>
                <w:rStyle w:val="Other1"/>
              </w:rPr>
              <w:tab/>
              <w:t>Ostrava,</w:t>
            </w:r>
            <w:r>
              <w:rPr>
                <w:rStyle w:val="Other1"/>
              </w:rPr>
              <w:tab/>
              <w:t>Těšínská</w:t>
            </w:r>
            <w:r>
              <w:rPr>
                <w:rStyle w:val="Other1"/>
              </w:rPr>
              <w:tab/>
              <w:t>1349/296,</w:t>
            </w:r>
          </w:p>
          <w:p w:rsidR="00740046" w:rsidRDefault="00F53D2D">
            <w:pPr>
              <w:pStyle w:val="Other10"/>
              <w:spacing w:after="0"/>
              <w:ind w:firstLine="460"/>
            </w:pPr>
            <w:r>
              <w:rPr>
                <w:rStyle w:val="Other1"/>
              </w:rPr>
              <w:t>Radvanice, 716 00 Ostrava</w:t>
            </w:r>
          </w:p>
          <w:p w:rsidR="00740046" w:rsidRDefault="00F53D2D">
            <w:pPr>
              <w:pStyle w:val="Other10"/>
              <w:spacing w:after="0"/>
              <w:ind w:firstLine="960"/>
            </w:pPr>
            <w:r>
              <w:rPr>
                <w:rStyle w:val="Other1"/>
              </w:rPr>
              <w:t>605064</w:t>
            </w:r>
          </w:p>
        </w:tc>
        <w:tc>
          <w:tcPr>
            <w:tcW w:w="4546" w:type="dxa"/>
            <w:tcBorders>
              <w:left w:val="single" w:sz="4" w:space="0" w:color="auto"/>
              <w:right w:val="single" w:sz="4" w:space="0" w:color="auto"/>
            </w:tcBorders>
            <w:shd w:val="clear" w:color="auto" w:fill="auto"/>
            <w:vAlign w:val="bottom"/>
          </w:tcPr>
          <w:p w:rsidR="00740046" w:rsidRDefault="00F53D2D">
            <w:pPr>
              <w:pStyle w:val="Other10"/>
              <w:spacing w:after="0"/>
              <w:ind w:left="460" w:hanging="460"/>
              <w:jc w:val="both"/>
            </w:pPr>
            <w:r>
              <w:rPr>
                <w:rStyle w:val="Other1"/>
              </w:rPr>
              <w:t xml:space="preserve">4) Pharmos a.s., IČO: 19010290, se </w:t>
            </w:r>
            <w:r>
              <w:rPr>
                <w:rStyle w:val="Other1"/>
              </w:rPr>
              <w:t>sídlem na adrese: Těšínská 1349/296, Radvanice, 716 00 Ostrava</w:t>
            </w:r>
          </w:p>
        </w:tc>
      </w:tr>
      <w:tr w:rsidR="00740046">
        <w:tblPrEx>
          <w:tblCellMar>
            <w:top w:w="0" w:type="dxa"/>
            <w:bottom w:w="0" w:type="dxa"/>
          </w:tblCellMar>
        </w:tblPrEx>
        <w:trPr>
          <w:trHeight w:hRule="exact" w:val="216"/>
          <w:jc w:val="center"/>
        </w:trPr>
        <w:tc>
          <w:tcPr>
            <w:tcW w:w="4541" w:type="dxa"/>
            <w:tcBorders>
              <w:left w:val="single" w:sz="4" w:space="0" w:color="auto"/>
            </w:tcBorders>
            <w:shd w:val="clear" w:color="auto" w:fill="auto"/>
          </w:tcPr>
          <w:p w:rsidR="00740046" w:rsidRDefault="00F53D2D">
            <w:pPr>
              <w:pStyle w:val="Other10"/>
              <w:spacing w:after="0"/>
              <w:ind w:firstLine="960"/>
            </w:pPr>
            <w:r>
              <w:rPr>
                <w:rStyle w:val="Other1"/>
              </w:rPr>
              <w:t>605063</w:t>
            </w:r>
          </w:p>
        </w:tc>
        <w:tc>
          <w:tcPr>
            <w:tcW w:w="4546" w:type="dxa"/>
            <w:tcBorders>
              <w:left w:val="single" w:sz="4" w:space="0" w:color="auto"/>
              <w:right w:val="single" w:sz="4" w:space="0" w:color="auto"/>
            </w:tcBorders>
            <w:shd w:val="clear" w:color="auto" w:fill="auto"/>
          </w:tcPr>
          <w:p w:rsidR="00740046" w:rsidRDefault="00F53D2D">
            <w:pPr>
              <w:pStyle w:val="Other10"/>
              <w:spacing w:after="0"/>
              <w:ind w:firstLine="960"/>
              <w:jc w:val="both"/>
            </w:pPr>
            <w:r>
              <w:rPr>
                <w:rStyle w:val="Other1"/>
              </w:rPr>
              <w:t>605064</w:t>
            </w:r>
          </w:p>
        </w:tc>
      </w:tr>
      <w:tr w:rsidR="00740046">
        <w:tblPrEx>
          <w:tblCellMar>
            <w:top w:w="0" w:type="dxa"/>
            <w:bottom w:w="0" w:type="dxa"/>
          </w:tblCellMar>
        </w:tblPrEx>
        <w:trPr>
          <w:trHeight w:hRule="exact" w:val="446"/>
          <w:jc w:val="center"/>
        </w:trPr>
        <w:tc>
          <w:tcPr>
            <w:tcW w:w="4541" w:type="dxa"/>
            <w:tcBorders>
              <w:left w:val="single" w:sz="4" w:space="0" w:color="auto"/>
            </w:tcBorders>
            <w:shd w:val="clear" w:color="auto" w:fill="auto"/>
          </w:tcPr>
          <w:p w:rsidR="00740046" w:rsidRDefault="00F53D2D">
            <w:pPr>
              <w:pStyle w:val="Other10"/>
              <w:spacing w:after="0"/>
              <w:ind w:firstLine="960"/>
            </w:pPr>
            <w:r>
              <w:rPr>
                <w:rStyle w:val="Other1"/>
              </w:rPr>
              <w:t>605091</w:t>
            </w:r>
          </w:p>
        </w:tc>
        <w:tc>
          <w:tcPr>
            <w:tcW w:w="4546" w:type="dxa"/>
            <w:tcBorders>
              <w:left w:val="single" w:sz="4" w:space="0" w:color="auto"/>
              <w:right w:val="single" w:sz="4" w:space="0" w:color="auto"/>
            </w:tcBorders>
            <w:shd w:val="clear" w:color="auto" w:fill="auto"/>
            <w:vAlign w:val="bottom"/>
          </w:tcPr>
          <w:p w:rsidR="00740046" w:rsidRDefault="00F53D2D">
            <w:pPr>
              <w:pStyle w:val="Other10"/>
              <w:spacing w:after="0"/>
              <w:ind w:firstLine="960"/>
              <w:jc w:val="both"/>
            </w:pPr>
            <w:r>
              <w:rPr>
                <w:rStyle w:val="Other1"/>
              </w:rPr>
              <w:t>605063</w:t>
            </w:r>
          </w:p>
          <w:p w:rsidR="00740046" w:rsidRDefault="00F53D2D">
            <w:pPr>
              <w:pStyle w:val="Other10"/>
              <w:spacing w:after="0"/>
              <w:ind w:firstLine="960"/>
              <w:jc w:val="both"/>
            </w:pPr>
            <w:r>
              <w:rPr>
                <w:rStyle w:val="Other1"/>
              </w:rPr>
              <w:t>605091</w:t>
            </w:r>
          </w:p>
        </w:tc>
      </w:tr>
      <w:tr w:rsidR="00740046">
        <w:tblPrEx>
          <w:tblCellMar>
            <w:top w:w="0" w:type="dxa"/>
            <w:bottom w:w="0" w:type="dxa"/>
          </w:tblCellMar>
        </w:tblPrEx>
        <w:trPr>
          <w:trHeight w:hRule="exact" w:val="461"/>
          <w:jc w:val="center"/>
        </w:trPr>
        <w:tc>
          <w:tcPr>
            <w:tcW w:w="4541" w:type="dxa"/>
            <w:tcBorders>
              <w:left w:val="single" w:sz="4" w:space="0" w:color="auto"/>
            </w:tcBorders>
            <w:shd w:val="clear" w:color="auto" w:fill="auto"/>
          </w:tcPr>
          <w:p w:rsidR="00740046" w:rsidRDefault="00F53D2D">
            <w:pPr>
              <w:pStyle w:val="Other10"/>
              <w:tabs>
                <w:tab w:val="left" w:pos="1488"/>
                <w:tab w:val="left" w:pos="2184"/>
                <w:tab w:val="left" w:pos="2990"/>
                <w:tab w:val="left" w:pos="3586"/>
                <w:tab w:val="left" w:pos="3998"/>
              </w:tabs>
              <w:spacing w:after="0"/>
            </w:pPr>
            <w:r>
              <w:rPr>
                <w:rStyle w:val="Other1"/>
              </w:rPr>
              <w:t>5) Promedica</w:t>
            </w:r>
            <w:r>
              <w:rPr>
                <w:rStyle w:val="Other1"/>
              </w:rPr>
              <w:tab/>
              <w:t>Praha</w:t>
            </w:r>
            <w:r>
              <w:rPr>
                <w:rStyle w:val="Other1"/>
              </w:rPr>
              <w:tab/>
              <w:t>Group,</w:t>
            </w:r>
            <w:r>
              <w:rPr>
                <w:rStyle w:val="Other1"/>
              </w:rPr>
              <w:tab/>
              <w:t>a.s.,</w:t>
            </w:r>
            <w:r>
              <w:rPr>
                <w:rStyle w:val="Other1"/>
              </w:rPr>
              <w:tab/>
              <w:t>ID</w:t>
            </w:r>
            <w:r>
              <w:rPr>
                <w:rStyle w:val="Other1"/>
              </w:rPr>
              <w:tab/>
              <w:t>No.</w:t>
            </w:r>
          </w:p>
          <w:p w:rsidR="00740046" w:rsidRDefault="00F53D2D">
            <w:pPr>
              <w:pStyle w:val="Other10"/>
              <w:tabs>
                <w:tab w:val="left" w:pos="1670"/>
                <w:tab w:val="left" w:pos="2812"/>
                <w:tab w:val="left" w:pos="3431"/>
                <w:tab w:val="left" w:pos="3830"/>
              </w:tabs>
              <w:spacing w:after="0"/>
              <w:ind w:firstLine="460"/>
              <w:jc w:val="both"/>
            </w:pPr>
            <w:r>
              <w:rPr>
                <w:rStyle w:val="Other1"/>
              </w:rPr>
              <w:t>25099019,</w:t>
            </w:r>
            <w:r>
              <w:rPr>
                <w:rStyle w:val="Other1"/>
              </w:rPr>
              <w:tab/>
              <w:t>registered</w:t>
            </w:r>
            <w:r>
              <w:rPr>
                <w:rStyle w:val="Other1"/>
              </w:rPr>
              <w:tab/>
              <w:t>seat</w:t>
            </w:r>
            <w:r>
              <w:rPr>
                <w:rStyle w:val="Other1"/>
              </w:rPr>
              <w:tab/>
              <w:t>in</w:t>
            </w:r>
            <w:r>
              <w:rPr>
                <w:rStyle w:val="Other1"/>
              </w:rPr>
              <w:tab/>
              <w:t>Praha,</w:t>
            </w:r>
          </w:p>
        </w:tc>
        <w:tc>
          <w:tcPr>
            <w:tcW w:w="4546" w:type="dxa"/>
            <w:tcBorders>
              <w:left w:val="single" w:sz="4" w:space="0" w:color="auto"/>
              <w:right w:val="single" w:sz="4" w:space="0" w:color="auto"/>
            </w:tcBorders>
            <w:shd w:val="clear" w:color="auto" w:fill="auto"/>
            <w:vAlign w:val="bottom"/>
          </w:tcPr>
          <w:p w:rsidR="00740046" w:rsidRDefault="00F53D2D">
            <w:pPr>
              <w:pStyle w:val="Other10"/>
              <w:tabs>
                <w:tab w:val="left" w:pos="1565"/>
                <w:tab w:val="left" w:pos="2338"/>
                <w:tab w:val="left" w:pos="3211"/>
                <w:tab w:val="left" w:pos="3878"/>
              </w:tabs>
              <w:spacing w:after="0"/>
              <w:jc w:val="both"/>
            </w:pPr>
            <w:r>
              <w:rPr>
                <w:rStyle w:val="Other1"/>
              </w:rPr>
              <w:t>5) Promedica</w:t>
            </w:r>
            <w:r>
              <w:rPr>
                <w:rStyle w:val="Other1"/>
              </w:rPr>
              <w:tab/>
              <w:t>Praha</w:t>
            </w:r>
            <w:r>
              <w:rPr>
                <w:rStyle w:val="Other1"/>
              </w:rPr>
              <w:tab/>
              <w:t>Group,</w:t>
            </w:r>
            <w:r>
              <w:rPr>
                <w:rStyle w:val="Other1"/>
              </w:rPr>
              <w:tab/>
              <w:t>a.s.,</w:t>
            </w:r>
            <w:r>
              <w:rPr>
                <w:rStyle w:val="Other1"/>
              </w:rPr>
              <w:tab/>
              <w:t>IČO:</w:t>
            </w:r>
          </w:p>
        </w:tc>
      </w:tr>
      <w:tr w:rsidR="00740046">
        <w:tblPrEx>
          <w:tblCellMar>
            <w:top w:w="0" w:type="dxa"/>
            <w:bottom w:w="0" w:type="dxa"/>
          </w:tblCellMar>
        </w:tblPrEx>
        <w:trPr>
          <w:trHeight w:hRule="exact" w:val="432"/>
          <w:jc w:val="center"/>
        </w:trPr>
        <w:tc>
          <w:tcPr>
            <w:tcW w:w="4541" w:type="dxa"/>
            <w:tcBorders>
              <w:left w:val="single" w:sz="4" w:space="0" w:color="auto"/>
            </w:tcBorders>
            <w:shd w:val="clear" w:color="auto" w:fill="auto"/>
          </w:tcPr>
          <w:p w:rsidR="00740046" w:rsidRDefault="00F53D2D">
            <w:pPr>
              <w:pStyle w:val="Other10"/>
              <w:spacing w:after="0"/>
              <w:ind w:firstLine="460"/>
            </w:pPr>
            <w:r>
              <w:rPr>
                <w:rStyle w:val="Other1"/>
              </w:rPr>
              <w:t>Juarézova 1071/7, 160 00 Praha 6</w:t>
            </w:r>
          </w:p>
          <w:p w:rsidR="00740046" w:rsidRDefault="00F53D2D">
            <w:pPr>
              <w:pStyle w:val="Other10"/>
              <w:spacing w:after="0"/>
              <w:ind w:firstLine="960"/>
            </w:pPr>
            <w:r>
              <w:rPr>
                <w:rStyle w:val="Other1"/>
              </w:rPr>
              <w:t>0133</w:t>
            </w:r>
          </w:p>
        </w:tc>
        <w:tc>
          <w:tcPr>
            <w:tcW w:w="4546" w:type="dxa"/>
            <w:tcBorders>
              <w:left w:val="single" w:sz="4" w:space="0" w:color="auto"/>
              <w:right w:val="single" w:sz="4" w:space="0" w:color="auto"/>
            </w:tcBorders>
            <w:shd w:val="clear" w:color="auto" w:fill="auto"/>
          </w:tcPr>
          <w:p w:rsidR="00740046" w:rsidRDefault="00F53D2D">
            <w:pPr>
              <w:pStyle w:val="Other10"/>
              <w:spacing w:after="0"/>
              <w:ind w:left="460"/>
              <w:jc w:val="both"/>
            </w:pPr>
            <w:r>
              <w:rPr>
                <w:rStyle w:val="Other1"/>
              </w:rPr>
              <w:t>25099019, se sídlem na adrese v Praze, Juarézova 1071/7, 160 00 Praha 6</w:t>
            </w:r>
          </w:p>
        </w:tc>
      </w:tr>
      <w:tr w:rsidR="00740046">
        <w:tblPrEx>
          <w:tblCellMar>
            <w:top w:w="0" w:type="dxa"/>
            <w:bottom w:w="0" w:type="dxa"/>
          </w:tblCellMar>
        </w:tblPrEx>
        <w:trPr>
          <w:trHeight w:hRule="exact" w:val="230"/>
          <w:jc w:val="center"/>
        </w:trPr>
        <w:tc>
          <w:tcPr>
            <w:tcW w:w="4541" w:type="dxa"/>
            <w:tcBorders>
              <w:left w:val="single" w:sz="4" w:space="0" w:color="auto"/>
            </w:tcBorders>
            <w:shd w:val="clear" w:color="auto" w:fill="auto"/>
          </w:tcPr>
          <w:p w:rsidR="00740046" w:rsidRDefault="00F53D2D">
            <w:pPr>
              <w:pStyle w:val="Other10"/>
              <w:spacing w:after="0"/>
              <w:ind w:firstLine="960"/>
            </w:pPr>
            <w:r>
              <w:rPr>
                <w:rStyle w:val="Other1"/>
              </w:rPr>
              <w:t>0134</w:t>
            </w:r>
          </w:p>
        </w:tc>
        <w:tc>
          <w:tcPr>
            <w:tcW w:w="4546" w:type="dxa"/>
            <w:tcBorders>
              <w:left w:val="single" w:sz="4" w:space="0" w:color="auto"/>
              <w:right w:val="single" w:sz="4" w:space="0" w:color="auto"/>
            </w:tcBorders>
            <w:shd w:val="clear" w:color="auto" w:fill="auto"/>
          </w:tcPr>
          <w:p w:rsidR="00740046" w:rsidRDefault="00F53D2D">
            <w:pPr>
              <w:pStyle w:val="Other10"/>
              <w:spacing w:after="0"/>
              <w:ind w:left="1020"/>
            </w:pPr>
            <w:r>
              <w:rPr>
                <w:rStyle w:val="Other1"/>
              </w:rPr>
              <w:t>0133</w:t>
            </w:r>
          </w:p>
        </w:tc>
      </w:tr>
      <w:tr w:rsidR="00740046">
        <w:tblPrEx>
          <w:tblCellMar>
            <w:top w:w="0" w:type="dxa"/>
            <w:bottom w:w="0" w:type="dxa"/>
          </w:tblCellMar>
        </w:tblPrEx>
        <w:trPr>
          <w:trHeight w:hRule="exact" w:val="240"/>
          <w:jc w:val="center"/>
        </w:trPr>
        <w:tc>
          <w:tcPr>
            <w:tcW w:w="4541" w:type="dxa"/>
            <w:tcBorders>
              <w:left w:val="single" w:sz="4" w:space="0" w:color="auto"/>
              <w:bottom w:val="single" w:sz="4" w:space="0" w:color="auto"/>
            </w:tcBorders>
            <w:shd w:val="clear" w:color="auto" w:fill="auto"/>
          </w:tcPr>
          <w:p w:rsidR="00740046" w:rsidRDefault="00740046">
            <w:pPr>
              <w:rPr>
                <w:sz w:val="10"/>
                <w:szCs w:val="10"/>
              </w:rPr>
            </w:pPr>
          </w:p>
        </w:tc>
        <w:tc>
          <w:tcPr>
            <w:tcW w:w="4546" w:type="dxa"/>
            <w:tcBorders>
              <w:left w:val="single" w:sz="4" w:space="0" w:color="auto"/>
              <w:bottom w:val="single" w:sz="4" w:space="0" w:color="auto"/>
              <w:right w:val="single" w:sz="4" w:space="0" w:color="auto"/>
            </w:tcBorders>
            <w:shd w:val="clear" w:color="auto" w:fill="auto"/>
          </w:tcPr>
          <w:p w:rsidR="00740046" w:rsidRDefault="00F53D2D">
            <w:pPr>
              <w:pStyle w:val="Other10"/>
              <w:spacing w:after="0"/>
              <w:ind w:left="1020"/>
            </w:pPr>
            <w:r>
              <w:rPr>
                <w:rStyle w:val="Other1"/>
              </w:rPr>
              <w:t>0134</w:t>
            </w:r>
          </w:p>
        </w:tc>
      </w:tr>
    </w:tbl>
    <w:p w:rsidR="00740046" w:rsidRDefault="00740046">
      <w:pPr>
        <w:sectPr w:rsidR="00740046">
          <w:pgSz w:w="11900" w:h="16840"/>
          <w:pgMar w:top="1406" w:right="1396" w:bottom="2029" w:left="1412" w:header="978"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546"/>
        <w:gridCol w:w="4546"/>
      </w:tblGrid>
      <w:tr w:rsidR="00740046">
        <w:tblPrEx>
          <w:tblCellMar>
            <w:top w:w="0" w:type="dxa"/>
            <w:bottom w:w="0" w:type="dxa"/>
          </w:tblCellMar>
        </w:tblPrEx>
        <w:trPr>
          <w:trHeight w:hRule="exact" w:val="557"/>
          <w:jc w:val="center"/>
        </w:trPr>
        <w:tc>
          <w:tcPr>
            <w:tcW w:w="4546" w:type="dxa"/>
            <w:tcBorders>
              <w:top w:val="single" w:sz="4" w:space="0" w:color="auto"/>
              <w:left w:val="single" w:sz="4" w:space="0" w:color="auto"/>
            </w:tcBorders>
            <w:shd w:val="clear" w:color="auto" w:fill="auto"/>
          </w:tcPr>
          <w:p w:rsidR="00740046" w:rsidRDefault="00F53D2D">
            <w:pPr>
              <w:pStyle w:val="Other10"/>
              <w:spacing w:after="0"/>
            </w:pPr>
            <w:r>
              <w:rPr>
                <w:rStyle w:val="Other1"/>
                <w:b/>
                <w:bCs/>
              </w:rPr>
              <w:lastRenderedPageBreak/>
              <w:t xml:space="preserve">Appendix No. 4 – </w:t>
            </w:r>
            <w:proofErr w:type="gramStart"/>
            <w:r>
              <w:rPr>
                <w:rStyle w:val="Other1"/>
                <w:b/>
                <w:bCs/>
              </w:rPr>
              <w:t>E-mail</w:t>
            </w:r>
            <w:proofErr w:type="gramEnd"/>
            <w:r>
              <w:rPr>
                <w:rStyle w:val="Other1"/>
                <w:b/>
                <w:bCs/>
              </w:rPr>
              <w:t xml:space="preserve"> addresses for communication (see § 2 para. 5)</w:t>
            </w:r>
          </w:p>
        </w:tc>
        <w:tc>
          <w:tcPr>
            <w:tcW w:w="4546" w:type="dxa"/>
            <w:tcBorders>
              <w:top w:val="single" w:sz="4" w:space="0" w:color="auto"/>
              <w:left w:val="single" w:sz="4" w:space="0" w:color="auto"/>
              <w:right w:val="single" w:sz="4" w:space="0" w:color="auto"/>
            </w:tcBorders>
            <w:shd w:val="clear" w:color="auto" w:fill="auto"/>
          </w:tcPr>
          <w:p w:rsidR="00740046" w:rsidRDefault="00F53D2D">
            <w:pPr>
              <w:pStyle w:val="Other10"/>
              <w:spacing w:after="0"/>
            </w:pPr>
            <w:r>
              <w:rPr>
                <w:rStyle w:val="Other1"/>
                <w:b/>
                <w:bCs/>
              </w:rPr>
              <w:t xml:space="preserve">Příloha č. 4 – Emailové adresy pro vzájemnou komunikaci (viz § 2 odst. </w:t>
            </w:r>
            <w:r>
              <w:rPr>
                <w:rStyle w:val="Other1"/>
                <w:b/>
                <w:bCs/>
              </w:rPr>
              <w:t>5)</w:t>
            </w:r>
          </w:p>
        </w:tc>
      </w:tr>
      <w:tr w:rsidR="00740046">
        <w:tblPrEx>
          <w:tblCellMar>
            <w:top w:w="0" w:type="dxa"/>
            <w:bottom w:w="0" w:type="dxa"/>
          </w:tblCellMar>
        </w:tblPrEx>
        <w:trPr>
          <w:trHeight w:hRule="exact" w:val="322"/>
          <w:jc w:val="center"/>
        </w:trPr>
        <w:tc>
          <w:tcPr>
            <w:tcW w:w="4546" w:type="dxa"/>
            <w:tcBorders>
              <w:left w:val="single" w:sz="4" w:space="0" w:color="auto"/>
            </w:tcBorders>
            <w:shd w:val="clear" w:color="auto" w:fill="auto"/>
            <w:vAlign w:val="center"/>
          </w:tcPr>
          <w:p w:rsidR="00740046" w:rsidRDefault="00F53D2D">
            <w:pPr>
              <w:pStyle w:val="Other10"/>
              <w:spacing w:after="0"/>
            </w:pPr>
            <w:r>
              <w:rPr>
                <w:rStyle w:val="Other1"/>
                <w:b/>
                <w:bCs/>
              </w:rPr>
              <w:t>Accord:</w:t>
            </w:r>
          </w:p>
        </w:tc>
        <w:tc>
          <w:tcPr>
            <w:tcW w:w="4546" w:type="dxa"/>
            <w:tcBorders>
              <w:left w:val="single" w:sz="4" w:space="0" w:color="auto"/>
              <w:right w:val="single" w:sz="4" w:space="0" w:color="auto"/>
            </w:tcBorders>
            <w:shd w:val="clear" w:color="auto" w:fill="auto"/>
            <w:vAlign w:val="center"/>
          </w:tcPr>
          <w:p w:rsidR="00740046" w:rsidRDefault="00F53D2D">
            <w:pPr>
              <w:pStyle w:val="Other10"/>
              <w:spacing w:after="0"/>
            </w:pPr>
            <w:r>
              <w:rPr>
                <w:rStyle w:val="Other1"/>
                <w:b/>
                <w:bCs/>
              </w:rPr>
              <w:t>Accord:</w:t>
            </w:r>
          </w:p>
        </w:tc>
      </w:tr>
      <w:tr w:rsidR="00740046">
        <w:tblPrEx>
          <w:tblCellMar>
            <w:top w:w="0" w:type="dxa"/>
            <w:bottom w:w="0" w:type="dxa"/>
          </w:tblCellMar>
        </w:tblPrEx>
        <w:trPr>
          <w:trHeight w:hRule="exact" w:val="360"/>
          <w:jc w:val="center"/>
        </w:trPr>
        <w:tc>
          <w:tcPr>
            <w:tcW w:w="4546" w:type="dxa"/>
            <w:tcBorders>
              <w:left w:val="single" w:sz="4" w:space="0" w:color="auto"/>
            </w:tcBorders>
            <w:shd w:val="clear" w:color="auto" w:fill="auto"/>
          </w:tcPr>
          <w:p w:rsidR="00740046" w:rsidRDefault="00F53D2D">
            <w:pPr>
              <w:pStyle w:val="Other10"/>
              <w:spacing w:after="0"/>
              <w:rPr>
                <w:sz w:val="22"/>
                <w:szCs w:val="22"/>
              </w:rPr>
            </w:pPr>
            <w:hyperlink r:id="rId9" w:history="1">
              <w:r>
                <w:rPr>
                  <w:rStyle w:val="Other1"/>
                  <w:rFonts w:ascii="Calibri" w:eastAsia="Calibri" w:hAnsi="Calibri" w:cs="Calibri"/>
                  <w:color w:val="0563C1"/>
                  <w:sz w:val="22"/>
                  <w:szCs w:val="22"/>
                  <w:u w:val="single"/>
                </w:rPr>
                <w:t>Obchod_CZ@accord-healthcare.com</w:t>
              </w:r>
            </w:hyperlink>
          </w:p>
        </w:tc>
        <w:tc>
          <w:tcPr>
            <w:tcW w:w="4546" w:type="dxa"/>
            <w:tcBorders>
              <w:left w:val="single" w:sz="4" w:space="0" w:color="auto"/>
              <w:right w:val="single" w:sz="4" w:space="0" w:color="auto"/>
            </w:tcBorders>
            <w:shd w:val="clear" w:color="auto" w:fill="auto"/>
          </w:tcPr>
          <w:p w:rsidR="00740046" w:rsidRDefault="00F53D2D">
            <w:pPr>
              <w:pStyle w:val="Other10"/>
              <w:spacing w:after="0"/>
              <w:rPr>
                <w:sz w:val="22"/>
                <w:szCs w:val="22"/>
              </w:rPr>
            </w:pPr>
            <w:hyperlink r:id="rId10" w:history="1">
              <w:r>
                <w:rPr>
                  <w:rStyle w:val="Other1"/>
                  <w:rFonts w:ascii="Calibri" w:eastAsia="Calibri" w:hAnsi="Calibri" w:cs="Calibri"/>
                  <w:color w:val="0563C1"/>
                  <w:sz w:val="22"/>
                  <w:szCs w:val="22"/>
                  <w:u w:val="single"/>
                </w:rPr>
                <w:t>Obchod_CZ@accord-healthcare.com</w:t>
              </w:r>
            </w:hyperlink>
          </w:p>
        </w:tc>
      </w:tr>
      <w:tr w:rsidR="00740046">
        <w:tblPrEx>
          <w:tblCellMar>
            <w:top w:w="0" w:type="dxa"/>
            <w:bottom w:w="0" w:type="dxa"/>
          </w:tblCellMar>
        </w:tblPrEx>
        <w:trPr>
          <w:trHeight w:hRule="exact" w:val="461"/>
          <w:jc w:val="center"/>
        </w:trPr>
        <w:tc>
          <w:tcPr>
            <w:tcW w:w="4546" w:type="dxa"/>
            <w:tcBorders>
              <w:left w:val="single" w:sz="4" w:space="0" w:color="auto"/>
            </w:tcBorders>
            <w:shd w:val="clear" w:color="auto" w:fill="auto"/>
            <w:vAlign w:val="center"/>
          </w:tcPr>
          <w:p w:rsidR="00740046" w:rsidRDefault="00F53D2D">
            <w:pPr>
              <w:pStyle w:val="Other10"/>
              <w:spacing w:after="0"/>
            </w:pPr>
            <w:r>
              <w:rPr>
                <w:rStyle w:val="Other1"/>
                <w:b/>
                <w:bCs/>
              </w:rPr>
              <w:t>Recipient:</w:t>
            </w:r>
          </w:p>
        </w:tc>
        <w:tc>
          <w:tcPr>
            <w:tcW w:w="4546" w:type="dxa"/>
            <w:tcBorders>
              <w:left w:val="single" w:sz="4" w:space="0" w:color="auto"/>
              <w:right w:val="single" w:sz="4" w:space="0" w:color="auto"/>
            </w:tcBorders>
            <w:shd w:val="clear" w:color="auto" w:fill="auto"/>
            <w:vAlign w:val="center"/>
          </w:tcPr>
          <w:p w:rsidR="00740046" w:rsidRDefault="00F53D2D">
            <w:pPr>
              <w:pStyle w:val="Other10"/>
              <w:spacing w:after="0"/>
            </w:pPr>
            <w:r>
              <w:rPr>
                <w:rStyle w:val="Other1"/>
                <w:b/>
                <w:bCs/>
              </w:rPr>
              <w:t>Příjemce:</w:t>
            </w:r>
          </w:p>
        </w:tc>
      </w:tr>
      <w:tr w:rsidR="00740046">
        <w:tblPrEx>
          <w:tblCellMar>
            <w:top w:w="0" w:type="dxa"/>
            <w:bottom w:w="0" w:type="dxa"/>
          </w:tblCellMar>
        </w:tblPrEx>
        <w:trPr>
          <w:trHeight w:hRule="exact" w:val="878"/>
          <w:jc w:val="center"/>
        </w:trPr>
        <w:tc>
          <w:tcPr>
            <w:tcW w:w="4546" w:type="dxa"/>
            <w:tcBorders>
              <w:left w:val="single" w:sz="4" w:space="0" w:color="auto"/>
              <w:bottom w:val="single" w:sz="4" w:space="0" w:color="auto"/>
            </w:tcBorders>
            <w:shd w:val="clear" w:color="auto" w:fill="auto"/>
          </w:tcPr>
          <w:p w:rsidR="00740046" w:rsidRDefault="00F53D2D">
            <w:pPr>
              <w:pStyle w:val="Other10"/>
              <w:spacing w:before="80" w:after="0"/>
              <w:ind w:firstLine="160"/>
              <w:rPr>
                <w:sz w:val="22"/>
                <w:szCs w:val="22"/>
              </w:rPr>
            </w:pPr>
            <w:hyperlink r:id="rId11" w:history="1">
              <w:r>
                <w:rPr>
                  <w:rStyle w:val="Other1"/>
                  <w:rFonts w:ascii="Calibri" w:eastAsia="Calibri" w:hAnsi="Calibri" w:cs="Calibri"/>
                  <w:color w:val="0563C1"/>
                  <w:sz w:val="22"/>
                  <w:szCs w:val="22"/>
                  <w:u w:val="single"/>
                </w:rPr>
                <w:t>kompenzace.lekarna@bnzlin.cz</w:t>
              </w:r>
            </w:hyperlink>
          </w:p>
        </w:tc>
        <w:tc>
          <w:tcPr>
            <w:tcW w:w="4546" w:type="dxa"/>
            <w:tcBorders>
              <w:left w:val="single" w:sz="4" w:space="0" w:color="auto"/>
              <w:bottom w:val="single" w:sz="4" w:space="0" w:color="auto"/>
              <w:right w:val="single" w:sz="4" w:space="0" w:color="auto"/>
            </w:tcBorders>
            <w:shd w:val="clear" w:color="auto" w:fill="auto"/>
          </w:tcPr>
          <w:p w:rsidR="00740046" w:rsidRDefault="00F53D2D">
            <w:pPr>
              <w:pStyle w:val="Other10"/>
              <w:spacing w:before="80" w:after="0"/>
              <w:rPr>
                <w:sz w:val="22"/>
                <w:szCs w:val="22"/>
              </w:rPr>
            </w:pPr>
            <w:hyperlink r:id="rId12" w:history="1">
              <w:r>
                <w:rPr>
                  <w:rStyle w:val="Other1"/>
                  <w:rFonts w:ascii="Calibri" w:eastAsia="Calibri" w:hAnsi="Calibri" w:cs="Calibri"/>
                  <w:color w:val="0563C1"/>
                  <w:sz w:val="22"/>
                  <w:szCs w:val="22"/>
                  <w:u w:val="single"/>
                </w:rPr>
                <w:t>kompenzace.lekarna@bnzlin.cz</w:t>
              </w:r>
            </w:hyperlink>
          </w:p>
        </w:tc>
      </w:tr>
    </w:tbl>
    <w:p w:rsidR="00740046" w:rsidRDefault="00740046">
      <w:pPr>
        <w:sectPr w:rsidR="00740046">
          <w:pgSz w:w="11900" w:h="16840"/>
          <w:pgMar w:top="1430" w:right="1398" w:bottom="1070" w:left="1412" w:header="1002" w:footer="3" w:gutter="0"/>
          <w:cols w:space="720"/>
          <w:noEndnote/>
          <w:docGrid w:linePitch="360"/>
        </w:sectPr>
      </w:pPr>
    </w:p>
    <w:p w:rsidR="00740046" w:rsidRDefault="00740046">
      <w:pPr>
        <w:sectPr w:rsidR="00740046">
          <w:footerReference w:type="even" r:id="rId13"/>
          <w:footerReference w:type="default" r:id="rId14"/>
          <w:pgSz w:w="11900" w:h="16840"/>
          <w:pgMar w:top="1417" w:right="1402" w:bottom="1417" w:left="1412" w:header="0" w:footer="3" w:gutter="0"/>
          <w:cols w:space="720"/>
          <w:noEndnote/>
          <w:docGrid w:linePitch="360"/>
        </w:sectPr>
      </w:pPr>
    </w:p>
    <w:p w:rsidR="00740046" w:rsidRDefault="00740046">
      <w:pPr>
        <w:jc w:val="center"/>
        <w:rPr>
          <w:sz w:val="2"/>
          <w:szCs w:val="2"/>
        </w:rPr>
      </w:pPr>
    </w:p>
    <w:p w:rsidR="00740046" w:rsidRDefault="00740046">
      <w:pPr>
        <w:spacing w:after="379" w:line="1" w:lineRule="exact"/>
      </w:pPr>
    </w:p>
    <w:p w:rsidR="00740046" w:rsidRDefault="00740046">
      <w:pPr>
        <w:jc w:val="center"/>
        <w:rPr>
          <w:sz w:val="2"/>
          <w:szCs w:val="2"/>
        </w:rPr>
      </w:pPr>
    </w:p>
    <w:p w:rsidR="00740046" w:rsidRDefault="00740046">
      <w:pPr>
        <w:spacing w:after="159" w:line="1" w:lineRule="exact"/>
      </w:pPr>
    </w:p>
    <w:sectPr w:rsidR="00740046" w:rsidSect="00133CED">
      <w:footerReference w:type="even" r:id="rId15"/>
      <w:footerReference w:type="default" r:id="rId16"/>
      <w:pgSz w:w="11900" w:h="16840"/>
      <w:pgMar w:top="2829" w:right="845" w:bottom="4935" w:left="8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D2D" w:rsidRDefault="00F53D2D">
      <w:r>
        <w:separator/>
      </w:r>
    </w:p>
  </w:endnote>
  <w:endnote w:type="continuationSeparator" w:id="0">
    <w:p w:rsidR="00F53D2D" w:rsidRDefault="00F5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046" w:rsidRDefault="00F53D2D">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6526530</wp:posOffset>
              </wp:positionH>
              <wp:positionV relativeFrom="page">
                <wp:posOffset>10273030</wp:posOffset>
              </wp:positionV>
              <wp:extent cx="125095"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740046" w:rsidRDefault="00F53D2D">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513.9pt;margin-top:808.9pt;width:9.85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" filled="f" stroked="f">
              <v:textbox style="mso-fit-shape-to-text:t" inset="0,0,0,0">
                <w:txbxContent>
                  <w:p w:rsidR="00740046" w:rsidRDefault="00F53D2D">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046" w:rsidRDefault="00F53D2D">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6526530</wp:posOffset>
              </wp:positionH>
              <wp:positionV relativeFrom="page">
                <wp:posOffset>10273030</wp:posOffset>
              </wp:positionV>
              <wp:extent cx="125095" cy="91440"/>
              <wp:effectExtent l="0" t="0" r="0" b="0"/>
              <wp:wrapNone/>
              <wp:docPr id="1" name="Shape 1"/>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740046" w:rsidRDefault="00F53D2D">
                          <w:pPr>
                            <w:pStyle w:val="Headerorfooter20"/>
                            <w:rPr>
                              <w:sz w:val="22"/>
                              <w:szCs w:val="22"/>
                            </w:rPr>
                          </w:pPr>
                          <w:r>
                            <w:fldChar w:fldCharType="begin"/>
                          </w:r>
                          <w:r>
                            <w:instrText xml:space="preserve"> PAGE \* MERGEF</w:instrText>
                          </w:r>
                          <w:r>
                            <w:instrText xml:space="preserve">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8" type="#_x0000_t202" style="position:absolute;margin-left:513.9pt;margin-top:808.9pt;width:9.8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" filled="f" stroked="f">
              <v:textbox style="mso-fit-shape-to-text:t" inset="0,0,0,0">
                <w:txbxContent>
                  <w:p w:rsidR="00740046" w:rsidRDefault="00F53D2D">
                    <w:pPr>
                      <w:pStyle w:val="Headerorfooter20"/>
                      <w:rPr>
                        <w:sz w:val="22"/>
                        <w:szCs w:val="22"/>
                      </w:rPr>
                    </w:pPr>
                    <w:r>
                      <w:fldChar w:fldCharType="begin"/>
                    </w:r>
                    <w:r>
                      <w:instrText xml:space="preserve"> PAGE \* MERGEF</w:instrText>
                    </w:r>
                    <w:r>
                      <w:instrText xml:space="preserve">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046" w:rsidRDefault="00740046">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046" w:rsidRDefault="00F53D2D">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6526530</wp:posOffset>
              </wp:positionH>
              <wp:positionV relativeFrom="page">
                <wp:posOffset>10273030</wp:posOffset>
              </wp:positionV>
              <wp:extent cx="125095"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740046" w:rsidRDefault="00F53D2D">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9" type="#_x0000_t202" style="position:absolute;margin-left:513.9pt;margin-top:808.9pt;width:9.85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" filled="f" stroked="f">
              <v:textbox style="mso-fit-shape-to-text:t" inset="0,0,0,0">
                <w:txbxContent>
                  <w:p w:rsidR="00740046" w:rsidRDefault="00F53D2D">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046" w:rsidRDefault="00F53D2D">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6526530</wp:posOffset>
              </wp:positionH>
              <wp:positionV relativeFrom="page">
                <wp:posOffset>10273030</wp:posOffset>
              </wp:positionV>
              <wp:extent cx="125095" cy="91440"/>
              <wp:effectExtent l="0" t="0" r="0" b="0"/>
              <wp:wrapNone/>
              <wp:docPr id="18" name="Shape 18"/>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740046" w:rsidRDefault="00F53D2D">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 o:spid="_x0000_s1030" type="#_x0000_t202" style="position:absolute;margin-left:513.9pt;margin-top:808.9pt;width:9.85pt;height:7.2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" filled="f" stroked="f">
              <v:textbox style="mso-fit-shape-to-text:t" inset="0,0,0,0">
                <w:txbxContent>
                  <w:p w:rsidR="00740046" w:rsidRDefault="00F53D2D">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046" w:rsidRDefault="00F53D2D">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6526530</wp:posOffset>
              </wp:positionH>
              <wp:positionV relativeFrom="page">
                <wp:posOffset>10273030</wp:posOffset>
              </wp:positionV>
              <wp:extent cx="125095" cy="91440"/>
              <wp:effectExtent l="0" t="0" r="0" b="0"/>
              <wp:wrapNone/>
              <wp:docPr id="16" name="Shape 16"/>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740046" w:rsidRDefault="00F53D2D">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 o:spid="_x0000_s1031" type="#_x0000_t202" style="position:absolute;margin-left:513.9pt;margin-top:808.9pt;width:9.85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" filled="f" stroked="f">
              <v:textbox style="mso-fit-shape-to-text:t" inset="0,0,0,0">
                <w:txbxContent>
                  <w:p w:rsidR="00740046" w:rsidRDefault="00F53D2D">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D2D" w:rsidRDefault="00F53D2D"/>
  </w:footnote>
  <w:footnote w:type="continuationSeparator" w:id="0">
    <w:p w:rsidR="00F53D2D" w:rsidRDefault="00F53D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6B16"/>
    <w:multiLevelType w:val="multilevel"/>
    <w:tmpl w:val="F148058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54144E"/>
    <w:multiLevelType w:val="multilevel"/>
    <w:tmpl w:val="582ACAD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8B427C"/>
    <w:multiLevelType w:val="multilevel"/>
    <w:tmpl w:val="9EEC71E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1D0D3E"/>
    <w:multiLevelType w:val="multilevel"/>
    <w:tmpl w:val="54EC5CC4"/>
    <w:lvl w:ilvl="0">
      <w:start w:val="6"/>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2B5691"/>
    <w:multiLevelType w:val="multilevel"/>
    <w:tmpl w:val="70549EA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0C096C"/>
    <w:multiLevelType w:val="multilevel"/>
    <w:tmpl w:val="3AA2A88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F24C1E"/>
    <w:multiLevelType w:val="multilevel"/>
    <w:tmpl w:val="BD248722"/>
    <w:lvl w:ilvl="0">
      <w:start w:val="3"/>
      <w:numFmt w:val="decimal"/>
      <w:lvlText w:val="§ %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C74CCE"/>
    <w:multiLevelType w:val="multilevel"/>
    <w:tmpl w:val="64F0E2B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CF1D84"/>
    <w:multiLevelType w:val="multilevel"/>
    <w:tmpl w:val="F78E9EC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3F45B8"/>
    <w:multiLevelType w:val="multilevel"/>
    <w:tmpl w:val="F1B2BDC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9D3A89"/>
    <w:multiLevelType w:val="multilevel"/>
    <w:tmpl w:val="8D92985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3B2B1A"/>
    <w:multiLevelType w:val="multilevel"/>
    <w:tmpl w:val="9C40EBB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4D3753"/>
    <w:multiLevelType w:val="multilevel"/>
    <w:tmpl w:val="790411D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780EE1"/>
    <w:multiLevelType w:val="multilevel"/>
    <w:tmpl w:val="FF04C53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5F4634"/>
    <w:multiLevelType w:val="multilevel"/>
    <w:tmpl w:val="DC566D0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0877F5"/>
    <w:multiLevelType w:val="multilevel"/>
    <w:tmpl w:val="6EB470D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3F2CD1"/>
    <w:multiLevelType w:val="multilevel"/>
    <w:tmpl w:val="FEDCD00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7A0810"/>
    <w:multiLevelType w:val="multilevel"/>
    <w:tmpl w:val="EF9838C6"/>
    <w:lvl w:ilvl="0">
      <w:start w:val="4"/>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D624C1"/>
    <w:multiLevelType w:val="multilevel"/>
    <w:tmpl w:val="67DA85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17"/>
  </w:num>
  <w:num w:numId="4">
    <w:abstractNumId w:val="5"/>
  </w:num>
  <w:num w:numId="5">
    <w:abstractNumId w:val="13"/>
  </w:num>
  <w:num w:numId="6">
    <w:abstractNumId w:val="3"/>
  </w:num>
  <w:num w:numId="7">
    <w:abstractNumId w:val="4"/>
  </w:num>
  <w:num w:numId="8">
    <w:abstractNumId w:val="6"/>
  </w:num>
  <w:num w:numId="9">
    <w:abstractNumId w:val="7"/>
  </w:num>
  <w:num w:numId="10">
    <w:abstractNumId w:val="1"/>
  </w:num>
  <w:num w:numId="11">
    <w:abstractNumId w:val="2"/>
  </w:num>
  <w:num w:numId="12">
    <w:abstractNumId w:val="9"/>
  </w:num>
  <w:num w:numId="13">
    <w:abstractNumId w:val="11"/>
  </w:num>
  <w:num w:numId="14">
    <w:abstractNumId w:val="16"/>
  </w:num>
  <w:num w:numId="15">
    <w:abstractNumId w:val="14"/>
  </w:num>
  <w:num w:numId="16">
    <w:abstractNumId w:val="12"/>
  </w:num>
  <w:num w:numId="17">
    <w:abstractNumId w:val="10"/>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46"/>
    <w:rsid w:val="00133CED"/>
    <w:rsid w:val="00740046"/>
    <w:rsid w:val="00F53D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9B7A"/>
  <w15:docId w15:val="{5EE99CD8-CEAF-4F5A-893B-54BF9FBB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1">
    <w:name w:val="Heading #3|1_"/>
    <w:basedOn w:val="Standardnpsmoodstavce"/>
    <w:link w:val="Heading310"/>
    <w:rPr>
      <w:rFonts w:ascii="Verdana" w:eastAsia="Verdana" w:hAnsi="Verdana" w:cs="Verdana"/>
      <w:b/>
      <w:bCs/>
      <w:i w:val="0"/>
      <w:iCs w:val="0"/>
      <w:smallCaps w:val="0"/>
      <w:strike w:val="0"/>
      <w:sz w:val="18"/>
      <w:szCs w:val="18"/>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1">
    <w:name w:val="Body text|1_"/>
    <w:basedOn w:val="Standardnpsmoodstavce"/>
    <w:link w:val="Bodytext10"/>
    <w:rPr>
      <w:rFonts w:ascii="Verdana" w:eastAsia="Verdana" w:hAnsi="Verdana" w:cs="Verdana"/>
      <w:b w:val="0"/>
      <w:bCs w:val="0"/>
      <w:i w:val="0"/>
      <w:iCs w:val="0"/>
      <w:smallCaps w:val="0"/>
      <w:strike w:val="0"/>
      <w:sz w:val="18"/>
      <w:szCs w:val="18"/>
      <w:u w:val="none"/>
    </w:rPr>
  </w:style>
  <w:style w:type="character" w:customStyle="1" w:styleId="Bodytext2">
    <w:name w:val="Body text|2_"/>
    <w:basedOn w:val="Standardnpsmoodstavce"/>
    <w:link w:val="Bodytext20"/>
    <w:rPr>
      <w:rFonts w:ascii="Calibri" w:eastAsia="Calibri" w:hAnsi="Calibri" w:cs="Calibri"/>
      <w:b w:val="0"/>
      <w:bCs w:val="0"/>
      <w:i w:val="0"/>
      <w:iCs w:val="0"/>
      <w:smallCaps w:val="0"/>
      <w:strike w:val="0"/>
      <w:sz w:val="20"/>
      <w:szCs w:val="20"/>
      <w:u w:val="none"/>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32"/>
      <w:szCs w:val="32"/>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9"/>
      <w:szCs w:val="19"/>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3"/>
      <w:szCs w:val="13"/>
      <w:u w:val="none"/>
    </w:rPr>
  </w:style>
  <w:style w:type="character" w:customStyle="1" w:styleId="Other1">
    <w:name w:val="Other|1_"/>
    <w:basedOn w:val="Standardnpsmoodstavce"/>
    <w:link w:val="Other10"/>
    <w:rPr>
      <w:rFonts w:ascii="Verdana" w:eastAsia="Verdana" w:hAnsi="Verdana" w:cs="Verdana"/>
      <w:b w:val="0"/>
      <w:bCs w:val="0"/>
      <w:i w:val="0"/>
      <w:iCs w:val="0"/>
      <w:smallCaps w:val="0"/>
      <w:strike w:val="0"/>
      <w:sz w:val="18"/>
      <w:szCs w:val="18"/>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color w:val="E5E2DE"/>
      <w:sz w:val="82"/>
      <w:szCs w:val="82"/>
      <w:u w:val="none"/>
      <w:lang w:val="en-US" w:eastAsia="en-US" w:bidi="en-US"/>
    </w:rPr>
  </w:style>
  <w:style w:type="character" w:customStyle="1" w:styleId="Bodytext5">
    <w:name w:val="Body text|5_"/>
    <w:basedOn w:val="Standardnpsmoodstavce"/>
    <w:link w:val="Bodytext50"/>
    <w:rPr>
      <w:rFonts w:ascii="Calibri" w:eastAsia="Calibri" w:hAnsi="Calibri" w:cs="Calibri"/>
      <w:b/>
      <w:bCs/>
      <w:i w:val="0"/>
      <w:iCs w:val="0"/>
      <w:smallCaps w:val="0"/>
      <w:strike w:val="0"/>
      <w:color w:val="EBEBEB"/>
      <w:sz w:val="72"/>
      <w:szCs w:val="72"/>
      <w:u w:val="none"/>
      <w:lang w:val="en-US" w:eastAsia="en-US" w:bidi="en-US"/>
    </w:rPr>
  </w:style>
  <w:style w:type="character" w:customStyle="1" w:styleId="Heading21">
    <w:name w:val="Heading #2|1_"/>
    <w:basedOn w:val="Standardnpsmoodstavce"/>
    <w:link w:val="Heading210"/>
    <w:rPr>
      <w:rFonts w:ascii="Calibri" w:eastAsia="Calibri" w:hAnsi="Calibri" w:cs="Calibri"/>
      <w:b w:val="0"/>
      <w:bCs w:val="0"/>
      <w:i w:val="0"/>
      <w:iCs w:val="0"/>
      <w:smallCaps w:val="0"/>
      <w:strike w:val="0"/>
      <w:color w:val="ED7D31"/>
      <w:sz w:val="40"/>
      <w:szCs w:val="40"/>
      <w:u w:val="single"/>
    </w:rPr>
  </w:style>
  <w:style w:type="paragraph" w:customStyle="1" w:styleId="Heading310">
    <w:name w:val="Heading #3|1"/>
    <w:basedOn w:val="Normln"/>
    <w:link w:val="Heading31"/>
    <w:pPr>
      <w:spacing w:after="200"/>
      <w:jc w:val="center"/>
      <w:outlineLvl w:val="2"/>
    </w:pPr>
    <w:rPr>
      <w:rFonts w:ascii="Verdana" w:eastAsia="Verdana" w:hAnsi="Verdana" w:cs="Verdana"/>
      <w:b/>
      <w:bCs/>
      <w:sz w:val="18"/>
      <w:szCs w:val="18"/>
    </w:rPr>
  </w:style>
  <w:style w:type="paragraph" w:customStyle="1" w:styleId="Headerorfooter20">
    <w:name w:val="Header or footer|2"/>
    <w:basedOn w:val="Normln"/>
    <w:link w:val="Headerorfooter2"/>
    <w:rPr>
      <w:sz w:val="20"/>
      <w:szCs w:val="20"/>
    </w:rPr>
  </w:style>
  <w:style w:type="paragraph" w:customStyle="1" w:styleId="Bodytext10">
    <w:name w:val="Body text|1"/>
    <w:basedOn w:val="Normln"/>
    <w:link w:val="Bodytext1"/>
    <w:pPr>
      <w:spacing w:after="200"/>
    </w:pPr>
    <w:rPr>
      <w:rFonts w:ascii="Verdana" w:eastAsia="Verdana" w:hAnsi="Verdana" w:cs="Verdana"/>
      <w:sz w:val="18"/>
      <w:szCs w:val="18"/>
    </w:rPr>
  </w:style>
  <w:style w:type="paragraph" w:customStyle="1" w:styleId="Bodytext20">
    <w:name w:val="Body text|2"/>
    <w:basedOn w:val="Normln"/>
    <w:link w:val="Bodytext2"/>
    <w:pPr>
      <w:spacing w:after="160" w:line="254" w:lineRule="auto"/>
      <w:ind w:left="520"/>
    </w:pPr>
    <w:rPr>
      <w:rFonts w:ascii="Calibri" w:eastAsia="Calibri" w:hAnsi="Calibri" w:cs="Calibri"/>
      <w:sz w:val="20"/>
      <w:szCs w:val="20"/>
    </w:rPr>
  </w:style>
  <w:style w:type="paragraph" w:customStyle="1" w:styleId="Bodytext60">
    <w:name w:val="Body text|6"/>
    <w:basedOn w:val="Normln"/>
    <w:link w:val="Bodytext6"/>
    <w:pPr>
      <w:spacing w:line="276" w:lineRule="auto"/>
    </w:pPr>
    <w:rPr>
      <w:rFonts w:ascii="Arial" w:eastAsia="Arial" w:hAnsi="Arial" w:cs="Arial"/>
      <w:sz w:val="32"/>
      <w:szCs w:val="32"/>
    </w:rPr>
  </w:style>
  <w:style w:type="paragraph" w:customStyle="1" w:styleId="Bodytext40">
    <w:name w:val="Body text|4"/>
    <w:basedOn w:val="Normln"/>
    <w:link w:val="Bodytext4"/>
    <w:pPr>
      <w:spacing w:after="280" w:line="276" w:lineRule="auto"/>
    </w:pPr>
    <w:rPr>
      <w:rFonts w:ascii="Arial" w:eastAsia="Arial" w:hAnsi="Arial" w:cs="Arial"/>
      <w:sz w:val="19"/>
      <w:szCs w:val="19"/>
    </w:rPr>
  </w:style>
  <w:style w:type="paragraph" w:customStyle="1" w:styleId="Bodytext30">
    <w:name w:val="Body text|3"/>
    <w:basedOn w:val="Normln"/>
    <w:link w:val="Bodytext3"/>
    <w:pPr>
      <w:spacing w:line="257" w:lineRule="auto"/>
      <w:ind w:left="220"/>
    </w:pPr>
    <w:rPr>
      <w:rFonts w:ascii="Arial" w:eastAsia="Arial" w:hAnsi="Arial" w:cs="Arial"/>
      <w:sz w:val="13"/>
      <w:szCs w:val="13"/>
    </w:rPr>
  </w:style>
  <w:style w:type="paragraph" w:customStyle="1" w:styleId="Other10">
    <w:name w:val="Other|1"/>
    <w:basedOn w:val="Normln"/>
    <w:link w:val="Other1"/>
    <w:pPr>
      <w:spacing w:after="200"/>
    </w:pPr>
    <w:rPr>
      <w:rFonts w:ascii="Verdana" w:eastAsia="Verdana" w:hAnsi="Verdana" w:cs="Verdana"/>
      <w:sz w:val="18"/>
      <w:szCs w:val="18"/>
    </w:rPr>
  </w:style>
  <w:style w:type="paragraph" w:customStyle="1" w:styleId="Heading110">
    <w:name w:val="Heading #1|1"/>
    <w:basedOn w:val="Normln"/>
    <w:link w:val="Heading11"/>
    <w:pPr>
      <w:spacing w:after="140"/>
      <w:jc w:val="center"/>
      <w:outlineLvl w:val="0"/>
    </w:pPr>
    <w:rPr>
      <w:rFonts w:ascii="Arial" w:eastAsia="Arial" w:hAnsi="Arial" w:cs="Arial"/>
      <w:color w:val="E5E2DE"/>
      <w:sz w:val="82"/>
      <w:szCs w:val="82"/>
      <w:lang w:val="en-US" w:eastAsia="en-US" w:bidi="en-US"/>
    </w:rPr>
  </w:style>
  <w:style w:type="paragraph" w:customStyle="1" w:styleId="Bodytext50">
    <w:name w:val="Body text|5"/>
    <w:basedOn w:val="Normln"/>
    <w:link w:val="Bodytext5"/>
    <w:pPr>
      <w:spacing w:after="260"/>
      <w:jc w:val="center"/>
    </w:pPr>
    <w:rPr>
      <w:rFonts w:ascii="Calibri" w:eastAsia="Calibri" w:hAnsi="Calibri" w:cs="Calibri"/>
      <w:b/>
      <w:bCs/>
      <w:color w:val="EBEBEB"/>
      <w:sz w:val="72"/>
      <w:szCs w:val="72"/>
      <w:lang w:val="en-US" w:eastAsia="en-US" w:bidi="en-US"/>
    </w:rPr>
  </w:style>
  <w:style w:type="paragraph" w:customStyle="1" w:styleId="Heading210">
    <w:name w:val="Heading #2|1"/>
    <w:basedOn w:val="Normln"/>
    <w:link w:val="Heading21"/>
    <w:pPr>
      <w:spacing w:after="160"/>
      <w:ind w:left="260" w:firstLine="260"/>
      <w:outlineLvl w:val="1"/>
    </w:pPr>
    <w:rPr>
      <w:rFonts w:ascii="Calibri" w:eastAsia="Calibri" w:hAnsi="Calibri" w:cs="Calibri"/>
      <w:color w:val="ED7D31"/>
      <w:sz w:val="40"/>
      <w:szCs w:val="40"/>
      <w:u w:val="single"/>
    </w:rPr>
  </w:style>
  <w:style w:type="paragraph" w:styleId="Zhlav">
    <w:name w:val="header"/>
    <w:basedOn w:val="Normln"/>
    <w:link w:val="ZhlavChar"/>
    <w:uiPriority w:val="99"/>
    <w:unhideWhenUsed/>
    <w:rsid w:val="00133CED"/>
    <w:pPr>
      <w:tabs>
        <w:tab w:val="center" w:pos="4536"/>
        <w:tab w:val="right" w:pos="9072"/>
      </w:tabs>
    </w:pPr>
  </w:style>
  <w:style w:type="character" w:customStyle="1" w:styleId="ZhlavChar">
    <w:name w:val="Záhlaví Char"/>
    <w:basedOn w:val="Standardnpsmoodstavce"/>
    <w:link w:val="Zhlav"/>
    <w:uiPriority w:val="99"/>
    <w:rsid w:val="00133CED"/>
    <w:rPr>
      <w:color w:val="000000"/>
    </w:rPr>
  </w:style>
  <w:style w:type="paragraph" w:styleId="Zpat">
    <w:name w:val="footer"/>
    <w:basedOn w:val="Normln"/>
    <w:link w:val="ZpatChar"/>
    <w:uiPriority w:val="99"/>
    <w:unhideWhenUsed/>
    <w:rsid w:val="00133CED"/>
    <w:pPr>
      <w:tabs>
        <w:tab w:val="center" w:pos="4536"/>
        <w:tab w:val="right" w:pos="9072"/>
      </w:tabs>
    </w:pPr>
  </w:style>
  <w:style w:type="character" w:customStyle="1" w:styleId="ZpatChar">
    <w:name w:val="Zápatí Char"/>
    <w:basedOn w:val="Standardnpsmoodstavce"/>
    <w:link w:val="Zpat"/>
    <w:uiPriority w:val="99"/>
    <w:rsid w:val="00133CE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kompenzace.lekarna@bnzlin.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mpenzace.lekarna@bnzlin.cz"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mailto:Obchod_CZ@accord-healthcare.com" TargetMode="External"/><Relationship Id="rId4" Type="http://schemas.openxmlformats.org/officeDocument/2006/relationships/webSettings" Target="webSettings.xml"/><Relationship Id="rId9" Type="http://schemas.openxmlformats.org/officeDocument/2006/relationships/hyperlink" Target="mailto:Obchod_CZ@accord-healthcare.com" TargetMode="Externa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4371</Words>
  <Characters>25790</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Vinklerová</dc:creator>
  <cp:keywords/>
  <cp:lastModifiedBy>Vinklerová Gabriela</cp:lastModifiedBy>
  <cp:revision>2</cp:revision>
  <dcterms:created xsi:type="dcterms:W3CDTF">2025-04-24T08:45:00Z</dcterms:created>
  <dcterms:modified xsi:type="dcterms:W3CDTF">2025-04-24T08:45:00Z</dcterms:modified>
</cp:coreProperties>
</file>