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9E91" w14:textId="77777777" w:rsidR="00FF3256" w:rsidRDefault="006F7DB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29FF8FAD" wp14:editId="4C37BAA9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0022" w14:textId="77777777"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14:paraId="3D2E01ED" w14:textId="621F36BC" w:rsidR="008B68B8" w:rsidRDefault="007A54DE">
      <w:pPr>
        <w:spacing w:after="0"/>
        <w:ind w:left="120"/>
        <w:jc w:val="right"/>
      </w:pPr>
      <w:r w:rsidRPr="00093230">
        <w:rPr>
          <w:rFonts w:ascii="Arial" w:hAnsi="Arial"/>
          <w:b/>
          <w:color w:val="000000"/>
        </w:rPr>
        <w:t>Číslo spisu: </w:t>
      </w:r>
      <w:r w:rsidR="00093230">
        <w:rPr>
          <w:rFonts w:ascii="Arial" w:hAnsi="Arial"/>
          <w:b/>
          <w:color w:val="000000"/>
        </w:rPr>
        <w:t>S/02533/UL/25</w:t>
      </w:r>
    </w:p>
    <w:p w14:paraId="290CB851" w14:textId="77777777" w:rsidR="008B68B8" w:rsidRDefault="007A54D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02533/UL/25</w:t>
      </w:r>
    </w:p>
    <w:p w14:paraId="6807BF62" w14:textId="77777777" w:rsidR="008B68B8" w:rsidRDefault="007A54D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0020/53/25</w:t>
      </w:r>
    </w:p>
    <w:p w14:paraId="0C460924" w14:textId="77777777" w:rsidR="008B68B8" w:rsidRDefault="007A54D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14:paraId="75D96B30" w14:textId="77777777"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14:paraId="30F20AB9" w14:textId="77777777"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14:paraId="50921F77" w14:textId="77777777"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14:paraId="10CE0448" w14:textId="77777777"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14:paraId="4A86EEC9" w14:textId="77777777"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14:paraId="35836A70" w14:textId="77777777" w:rsidR="00A42D75" w:rsidRPr="009008C5" w:rsidRDefault="00EA0E2A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14:paraId="0D97273A" w14:textId="77777777" w:rsidR="002F681E" w:rsidRPr="009008C5" w:rsidRDefault="006F7DB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14:paraId="7AC89C0E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14:paraId="7D17C9EE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14:paraId="14AAB19D" w14:textId="77777777"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14:paraId="736C9B24" w14:textId="77777777"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Ing. Bc. František Budský, MPA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14:paraId="28889C61" w14:textId="77777777"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Michal Forejt, Ph.D.</w:t>
      </w:r>
    </w:p>
    <w:p w14:paraId="1BE40916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14:paraId="163D4E49" w14:textId="77777777"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14:paraId="48F11053" w14:textId="77777777"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14:paraId="630C16C5" w14:textId="77777777"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14:paraId="61D25C81" w14:textId="1D0A48EC" w:rsidR="00E83E5F" w:rsidRPr="009008C5" w:rsidRDefault="006F7DB2" w:rsidP="00E6249C">
      <w:pPr>
        <w:spacing w:before="40" w:after="0"/>
      </w:pPr>
      <w:r>
        <w:rPr>
          <w:rFonts w:ascii="Arial" w:hAnsi="Arial" w:cs="Arial"/>
          <w:b/>
        </w:rPr>
        <w:t>Lesy České republiky, s.p.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2015210237/0100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i7s2ceu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Petr Chvála</w:t>
      </w:r>
      <w:r w:rsidR="00E91BF7">
        <w:rPr>
          <w:rFonts w:ascii="Arial" w:hAnsi="Arial" w:cs="Arial"/>
        </w:rPr>
        <w:t>, lesní správce</w:t>
      </w:r>
      <w:r w:rsidR="007A5BB5">
        <w:rPr>
          <w:rFonts w:ascii="Arial" w:hAnsi="Arial" w:cs="Arial"/>
        </w:rPr>
        <w:t xml:space="preserve"> 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8E39B2">
        <w:rPr>
          <w:rFonts w:ascii="Arial" w:hAnsi="Arial" w:cs="Arial"/>
        </w:rPr>
        <w:t>Ing. Petr Chvála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704669">
        <w:rPr>
          <w:rFonts w:ascii="Arial" w:hAnsi="Arial" w:cs="Arial"/>
        </w:rPr>
        <w:t>„xxxx“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704669">
        <w:rPr>
          <w:rFonts w:ascii="Arial" w:hAnsi="Arial" w:cs="Arial"/>
        </w:rPr>
        <w:t>„xxxx“</w:t>
      </w:r>
    </w:p>
    <w:p w14:paraId="5E33B201" w14:textId="77777777"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7A54DE">
        <w:rPr>
          <w:rFonts w:ascii="Arial" w:hAnsi="Arial" w:cs="Arial"/>
        </w:rPr>
        <w:t>jakožto</w:t>
      </w:r>
      <w:r w:rsidR="00C962A5" w:rsidRPr="007A54DE">
        <w:t xml:space="preserve"> </w:t>
      </w:r>
      <w:r w:rsidRPr="007A54DE">
        <w:rPr>
          <w:rFonts w:ascii="Arial" w:hAnsi="Arial" w:cs="Arial"/>
        </w:rPr>
        <w:t>vlastník</w:t>
      </w:r>
      <w:r w:rsidR="00C962A5" w:rsidRPr="007A54DE">
        <w:rPr>
          <w:rFonts w:ascii="Arial" w:hAnsi="Arial" w:cs="Arial"/>
        </w:rPr>
        <w:t xml:space="preserve"> </w:t>
      </w:r>
      <w:r w:rsidRPr="007A54DE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k.</w:t>
      </w:r>
      <w:r w:rsidR="00E91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Korozluky - p.</w:t>
      </w:r>
      <w:r w:rsidR="00E91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342/2, 368/3</w:t>
      </w:r>
      <w:bookmarkStart w:id="0" w:name="_GoBack"/>
      <w:bookmarkEnd w:id="0"/>
    </w:p>
    <w:p w14:paraId="0040B4D9" w14:textId="77777777"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14:paraId="4D668C33" w14:textId="77777777"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14:paraId="721D502D" w14:textId="77777777"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14:paraId="6999B9CB" w14:textId="77777777"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EE01C4">
        <w:t>CHKO</w:t>
      </w:r>
      <w:r>
        <w:t xml:space="preserve"> České středohoří</w:t>
      </w:r>
      <w:r w:rsidR="00330185">
        <w:t xml:space="preserve"> </w:t>
      </w:r>
      <w:r w:rsidRPr="007A2884">
        <w:t>z důvodu ochrany přírody dle §</w:t>
      </w:r>
      <w:r w:rsidR="00E91BF7">
        <w:t xml:space="preserve"> </w:t>
      </w:r>
      <w:r w:rsidRPr="007A2884">
        <w:t>68 odst. 2 zákona č. 114/1992 Sb.</w:t>
      </w:r>
    </w:p>
    <w:p w14:paraId="49798CDE" w14:textId="77777777"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14:paraId="571DFE9C" w14:textId="77777777"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14:paraId="34BD77F8" w14:textId="77777777"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14:paraId="63B04201" w14:textId="77777777"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14:paraId="7BE10331" w14:textId="77777777" w:rsidR="00653A3C" w:rsidRPr="00653A3C" w:rsidRDefault="006F7DB2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Kosení a chemická likvidace invazních dřevin - NPP Jánský vrch</w:t>
      </w:r>
    </w:p>
    <w:p w14:paraId="02445F0C" w14:textId="56A7F6BC" w:rsidR="00653A3C" w:rsidRPr="00653A3C" w:rsidRDefault="00653A3C" w:rsidP="00E91BF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Korozluky - p.č. 342/2, 368/3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</w:t>
      </w:r>
      <w:r w:rsidR="009F6D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06.</w:t>
      </w:r>
      <w:r w:rsidR="009F6D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14:paraId="13FF06BC" w14:textId="77777777" w:rsidR="00653A3C" w:rsidRPr="00653A3C" w:rsidRDefault="00653A3C" w:rsidP="00E91BF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D02</w:t>
      </w:r>
      <w:r w:rsidR="003533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007</w:t>
      </w:r>
      <w:r w:rsidR="0035330F"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 w:rsidR="0035330F" w:rsidRPr="0035330F">
          <w:rPr>
            <w:rFonts w:ascii="Arial" w:hAnsi="Arial" w:cs="Arial"/>
            <w:sz w:val="22"/>
            <w:szCs w:val="22"/>
          </w:rPr>
          <w:t>Likvidace vybraných invazních druhů rostlin (vč. následné péče o lokality)</w:t>
        </w:r>
      </w:hyperlink>
      <w:r>
        <w:rPr>
          <w:rFonts w:ascii="Arial" w:hAnsi="Arial" w:cs="Arial"/>
          <w:sz w:val="22"/>
          <w:szCs w:val="22"/>
        </w:rPr>
        <w:t>, D02</w:t>
      </w:r>
      <w:r w:rsidR="003533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004</w:t>
      </w:r>
      <w:r w:rsidR="0035330F">
        <w:rPr>
          <w:rFonts w:ascii="Arial" w:hAnsi="Arial" w:cs="Arial"/>
          <w:sz w:val="22"/>
          <w:szCs w:val="22"/>
        </w:rPr>
        <w:t xml:space="preserve"> Sečení, D02 002 </w:t>
      </w:r>
      <w:hyperlink r:id="rId12" w:tgtFrame="_blank" w:history="1">
        <w:r w:rsidR="0035330F" w:rsidRPr="0035330F">
          <w:rPr>
            <w:rFonts w:ascii="Arial" w:hAnsi="Arial" w:cs="Arial"/>
            <w:sz w:val="22"/>
            <w:szCs w:val="22"/>
          </w:rPr>
          <w:t>Obnova dlouhodobě neobhospodařovaných travních společenstev (vč. likvidace náletových dřevin)</w:t>
        </w:r>
      </w:hyperlink>
      <w:r w:rsidR="002D1679">
        <w:rPr>
          <w:rFonts w:ascii="Arial" w:hAnsi="Arial" w:cs="Arial"/>
          <w:sz w:val="22"/>
          <w:szCs w:val="22"/>
        </w:rPr>
        <w:t>.</w:t>
      </w:r>
    </w:p>
    <w:p w14:paraId="39B216B1" w14:textId="77777777" w:rsidR="00653A3C" w:rsidRPr="00653A3C" w:rsidRDefault="00653A3C" w:rsidP="00E91BF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14:paraId="01B43CA0" w14:textId="4DE8E892" w:rsidR="00653A3C" w:rsidRPr="00653A3C" w:rsidRDefault="00653A3C" w:rsidP="009F6D1A">
      <w:pPr>
        <w:pStyle w:val="Odstavecseseznamem"/>
        <w:spacing w:before="120" w:after="120"/>
        <w:ind w:left="0" w:firstLine="360"/>
        <w:jc w:val="both"/>
        <w:rPr>
          <w:rFonts w:ascii="Arial" w:hAnsi="Arial" w:cs="Arial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  <w:r w:rsidRPr="00653A3C">
        <w:rPr>
          <w:rFonts w:ascii="Arial" w:hAnsi="Arial" w:cs="Arial"/>
          <w:b/>
        </w:rPr>
        <w:t xml:space="preserve"> </w:t>
      </w:r>
    </w:p>
    <w:p w14:paraId="7A867507" w14:textId="654C0C69" w:rsidR="007A54DE" w:rsidRPr="007A54DE" w:rsidRDefault="00653A3C" w:rsidP="005A6FFD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A54DE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="001D0B30" w:rsidRPr="007A54DE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21</w:t>
      </w:r>
      <w:r w:rsidRPr="007A54DE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Sb., které jsou potřebné k rea</w:t>
      </w:r>
      <w:r w:rsidR="007A54DE" w:rsidRPr="007A54DE">
        <w:rPr>
          <w:rFonts w:ascii="Arial" w:eastAsia="Arial Unicode MS" w:hAnsi="Arial" w:cs="Arial"/>
          <w:color w:val="000000"/>
          <w:sz w:val="22"/>
          <w:szCs w:val="22"/>
        </w:rPr>
        <w:t>lizaci managementových opatření: výjimk</w:t>
      </w:r>
      <w:r w:rsidR="00E91BF7">
        <w:rPr>
          <w:rFonts w:ascii="Arial" w:eastAsia="Arial Unicode MS" w:hAnsi="Arial" w:cs="Arial"/>
          <w:color w:val="000000"/>
          <w:sz w:val="22"/>
          <w:szCs w:val="22"/>
        </w:rPr>
        <w:t>u</w:t>
      </w:r>
      <w:r w:rsidR="007A54DE" w:rsidRPr="007A54DE">
        <w:rPr>
          <w:rFonts w:ascii="Arial" w:eastAsia="Arial Unicode MS" w:hAnsi="Arial" w:cs="Arial"/>
          <w:color w:val="000000"/>
          <w:sz w:val="22"/>
          <w:szCs w:val="22"/>
        </w:rPr>
        <w:t xml:space="preserve"> z ochranných podmínek ZCHD podle § 56 odst. 1</w:t>
      </w:r>
      <w:r w:rsidR="00E91BF7">
        <w:rPr>
          <w:rFonts w:ascii="Arial" w:eastAsia="Arial Unicode MS" w:hAnsi="Arial" w:cs="Arial"/>
          <w:color w:val="000000"/>
          <w:sz w:val="22"/>
          <w:szCs w:val="22"/>
        </w:rPr>
        <w:t xml:space="preserve"> zákona</w:t>
      </w:r>
      <w:r w:rsidR="007A54DE" w:rsidRPr="007A54DE">
        <w:rPr>
          <w:rFonts w:ascii="Arial" w:eastAsia="Arial Unicode MS" w:hAnsi="Arial" w:cs="Arial"/>
          <w:color w:val="000000"/>
          <w:sz w:val="22"/>
          <w:szCs w:val="22"/>
        </w:rPr>
        <w:t>, výjimk</w:t>
      </w:r>
      <w:r w:rsidR="00E91BF7">
        <w:rPr>
          <w:rFonts w:ascii="Arial" w:eastAsia="Arial Unicode MS" w:hAnsi="Arial" w:cs="Arial"/>
          <w:color w:val="000000"/>
          <w:sz w:val="22"/>
          <w:szCs w:val="22"/>
        </w:rPr>
        <w:t>u</w:t>
      </w:r>
      <w:r w:rsidR="007A54DE" w:rsidRPr="007A54DE">
        <w:rPr>
          <w:rFonts w:ascii="Arial" w:eastAsia="Arial Unicode MS" w:hAnsi="Arial" w:cs="Arial"/>
          <w:color w:val="000000"/>
          <w:sz w:val="22"/>
          <w:szCs w:val="22"/>
        </w:rPr>
        <w:t xml:space="preserve"> ze základních ochranných podmínek chráněných krajinných oblastí podle § 26, odst. 3, písmeno a</w:t>
      </w:r>
      <w:r w:rsidR="00E91BF7">
        <w:rPr>
          <w:rFonts w:ascii="Arial" w:eastAsia="Arial Unicode MS" w:hAnsi="Arial" w:cs="Arial"/>
          <w:color w:val="000000"/>
          <w:sz w:val="22"/>
          <w:szCs w:val="22"/>
        </w:rPr>
        <w:t>) zákona</w:t>
      </w:r>
      <w:r w:rsidR="007A54DE" w:rsidRPr="007A54DE">
        <w:rPr>
          <w:rFonts w:ascii="Arial" w:eastAsia="Arial Unicode MS" w:hAnsi="Arial" w:cs="Arial"/>
          <w:color w:val="000000"/>
          <w:sz w:val="22"/>
          <w:szCs w:val="22"/>
        </w:rPr>
        <w:t xml:space="preserve"> – používání biocidů na území první zóny chráněné krajinné oblasti.</w:t>
      </w:r>
    </w:p>
    <w:p w14:paraId="134490E2" w14:textId="77777777" w:rsidR="007A54DE" w:rsidRPr="00653A3C" w:rsidRDefault="007A54DE" w:rsidP="00E91BF7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dle § 90 odst. 21</w:t>
      </w:r>
      <w:r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opatření. Takové činnosti jsou nadále o</w:t>
      </w:r>
      <w:r>
        <w:rPr>
          <w:rFonts w:ascii="Arial" w:hAnsi="Arial" w:cs="Arial"/>
          <w:sz w:val="22"/>
          <w:szCs w:val="22"/>
        </w:rPr>
        <w:t>mezené zákonem č. 114/1992 Sb.</w:t>
      </w:r>
    </w:p>
    <w:p w14:paraId="1625A082" w14:textId="77777777"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14:paraId="3C8B4676" w14:textId="77777777"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EE01C4">
        <w:rPr>
          <w:b/>
          <w:bCs/>
        </w:rPr>
        <w:t>50 561,66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14:paraId="461AEF4A" w14:textId="77777777" w:rsidR="00A42D75" w:rsidRPr="00A42D75" w:rsidRDefault="00A42D75" w:rsidP="003622FB">
      <w:pPr>
        <w:pStyle w:val="Nadpis2"/>
        <w:ind w:left="397" w:hanging="397"/>
      </w:pPr>
      <w:r w:rsidRPr="00A42D75">
        <w:lastRenderedPageBreak/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14:paraId="125ABC3B" w14:textId="77777777" w:rsidR="001D7BF3" w:rsidRPr="00E91BF7" w:rsidRDefault="001D7BF3" w:rsidP="003622FB">
      <w:pPr>
        <w:pStyle w:val="Nadpis2"/>
        <w:ind w:left="397" w:hanging="397"/>
        <w:rPr>
          <w:spacing w:val="-2"/>
        </w:rPr>
      </w:pPr>
      <w:r w:rsidRPr="00E91BF7">
        <w:rPr>
          <w:spacing w:val="-2"/>
        </w:rPr>
        <w:t xml:space="preserve">AOPK ČR se zavazuje po provedení kontroly za řádně, včas a v souladu s ostatními podmínkami této Dohody provedená managementová opatření uhradit </w:t>
      </w:r>
      <w:r w:rsidR="00295AF2" w:rsidRPr="00E91BF7">
        <w:rPr>
          <w:spacing w:val="-2"/>
        </w:rPr>
        <w:t>hospodařícímu subjektu</w:t>
      </w:r>
      <w:r w:rsidRPr="00E91BF7">
        <w:rPr>
          <w:spacing w:val="-2"/>
        </w:rPr>
        <w:t xml:space="preserve"> finanční příspěvek na péči v celkové výši </w:t>
      </w:r>
      <w:r w:rsidR="00EE01C4" w:rsidRPr="00E91BF7">
        <w:rPr>
          <w:b/>
          <w:bCs/>
          <w:spacing w:val="-2"/>
        </w:rPr>
        <w:t xml:space="preserve">50 561,66 </w:t>
      </w:r>
      <w:r w:rsidRPr="00E91BF7">
        <w:rPr>
          <w:spacing w:val="-2"/>
        </w:rPr>
        <w:t xml:space="preserve">Kč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E91BF7">
        <w:rPr>
          <w:spacing w:val="-2"/>
        </w:rPr>
        <w:t>hospodařícímu subjektu</w:t>
      </w:r>
      <w:r w:rsidR="001F5B69" w:rsidRPr="00E91BF7">
        <w:rPr>
          <w:spacing w:val="-2"/>
        </w:rPr>
        <w:t xml:space="preserve"> </w:t>
      </w:r>
      <w:r w:rsidRPr="00E91BF7">
        <w:rPr>
          <w:spacing w:val="-2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14:paraId="3DF3EED0" w14:textId="77777777"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14:paraId="521D7110" w14:textId="77777777"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7A54DE">
        <w:t>zanikne vlastnické právo k</w:t>
      </w:r>
      <w:r w:rsidRPr="00996436">
        <w:t xml:space="preserve">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14:paraId="4E8741F0" w14:textId="77777777"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14:paraId="35F966D6" w14:textId="77777777"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14:paraId="3BEAE0A1" w14:textId="77777777"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14:paraId="3CB865DE" w14:textId="77777777"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14:paraId="0928C646" w14:textId="77777777" w:rsidR="00A42D75" w:rsidRPr="00A42D75" w:rsidRDefault="00A42D75" w:rsidP="003622FB">
      <w:pPr>
        <w:pStyle w:val="Nadpis2"/>
        <w:ind w:left="397" w:hanging="397"/>
      </w:pPr>
      <w:r w:rsidRPr="00A42D75">
        <w:t xml:space="preserve"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</w:t>
      </w:r>
      <w:r w:rsidRPr="00A42D75">
        <w:lastRenderedPageBreak/>
        <w:t>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14:paraId="7C4B2FFC" w14:textId="77777777"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14:paraId="6B7CDE77" w14:textId="77777777"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14:paraId="306F6841" w14:textId="77777777"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14:paraId="3CFF442E" w14:textId="77777777"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14:paraId="27E765E4" w14:textId="6D766CEC"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</w:t>
      </w:r>
      <w:r w:rsidR="009F6D1A">
        <w:rPr>
          <w:b/>
        </w:rPr>
        <w:t xml:space="preserve"> </w:t>
      </w:r>
      <w:r>
        <w:rPr>
          <w:b/>
        </w:rPr>
        <w:t>06.</w:t>
      </w:r>
      <w:r w:rsidR="009F6D1A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14:paraId="733C92BF" w14:textId="77777777"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14:paraId="75D6AF0E" w14:textId="77777777"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14:paraId="4806AE16" w14:textId="77777777"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14:paraId="43516187" w14:textId="77777777"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14:paraId="24174239" w14:textId="77777777"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14:paraId="2B5457CE" w14:textId="77777777"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14:paraId="72294DCA" w14:textId="77777777" w:rsidR="00093230" w:rsidRDefault="00093230" w:rsidP="00295AF2">
      <w:pPr>
        <w:pStyle w:val="Nadpis2"/>
        <w:ind w:left="397" w:hanging="397"/>
      </w:pPr>
      <w:r>
        <w:t xml:space="preserve">Tato Dohoda se vyhotovuje ve 2 stejnopisech, z nichž každý má platnost originálu. Každý z účastníků Dohody obdrží po jednom vyhotovení. </w:t>
      </w:r>
    </w:p>
    <w:p w14:paraId="2692EAA3" w14:textId="6A9BB2DA"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14:paraId="6D404215" w14:textId="77777777" w:rsidR="00A42D75" w:rsidRDefault="00A42D75" w:rsidP="00B9212C">
      <w:pPr>
        <w:pStyle w:val="Nadpis2"/>
        <w:ind w:left="397" w:hanging="397"/>
      </w:pPr>
      <w:r>
        <w:t xml:space="preserve">Tato Dohoda nabývá platnosti a účinnosti dnem jejího podpisu oprávněným zástupcem posledního účastníka Dohody. Podléhá-li však tato Dohoda povinnosti uveřejnění prostřednictvím registru smluv podle zákona o registru smluv, nenabude účinnosti dříve </w:t>
      </w:r>
      <w:r>
        <w:lastRenderedPageBreak/>
        <w:t>než dnem jejího uveřejnění. Účastníci Dohody se budou vzájemně o nabytí účinnosti Dohody neprodleně informovat.</w:t>
      </w:r>
    </w:p>
    <w:p w14:paraId="55341BC9" w14:textId="77777777"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14:paraId="7ED2939D" w14:textId="77777777" w:rsidTr="00E54961">
        <w:tc>
          <w:tcPr>
            <w:tcW w:w="2208" w:type="dxa"/>
          </w:tcPr>
          <w:p w14:paraId="4B1AC71C" w14:textId="77777777"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EE01C4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14:paraId="5D5555E3" w14:textId="3FA77BD2" w:rsidR="000F7827" w:rsidRDefault="000F7827" w:rsidP="00704669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704669">
              <w:rPr>
                <w:rFonts w:ascii="Arial" w:hAnsi="Arial" w:cs="Arial"/>
              </w:rPr>
              <w:t>17. 4. 2025</w:t>
            </w:r>
          </w:p>
        </w:tc>
        <w:tc>
          <w:tcPr>
            <w:tcW w:w="2615" w:type="dxa"/>
          </w:tcPr>
          <w:p w14:paraId="2DCCC1B4" w14:textId="77777777"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EE01C4">
              <w:rPr>
                <w:rFonts w:ascii="Arial" w:hAnsi="Arial" w:cs="Arial"/>
              </w:rPr>
              <w:t>Litoměřicích</w:t>
            </w:r>
          </w:p>
        </w:tc>
        <w:tc>
          <w:tcPr>
            <w:tcW w:w="2052" w:type="dxa"/>
          </w:tcPr>
          <w:p w14:paraId="232FE0DF" w14:textId="58F0F6C4" w:rsidR="000F7827" w:rsidRDefault="000F7827" w:rsidP="00704669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704669">
              <w:rPr>
                <w:rFonts w:ascii="Arial" w:hAnsi="Arial" w:cs="Arial"/>
              </w:rPr>
              <w:t>17. 4. 2025</w:t>
            </w:r>
          </w:p>
        </w:tc>
      </w:tr>
      <w:tr w:rsidR="000F7827" w14:paraId="4000F83D" w14:textId="77777777" w:rsidTr="002F5E50">
        <w:trPr>
          <w:trHeight w:val="454"/>
        </w:trPr>
        <w:tc>
          <w:tcPr>
            <w:tcW w:w="2208" w:type="dxa"/>
            <w:vAlign w:val="center"/>
          </w:tcPr>
          <w:p w14:paraId="6F75EE9C" w14:textId="77777777" w:rsidR="000F7827" w:rsidRDefault="000F7827" w:rsidP="009F6D1A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14:paraId="1A4FCB30" w14:textId="77777777" w:rsidR="000F7827" w:rsidRDefault="000F7827" w:rsidP="009F6D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14:paraId="0232B54D" w14:textId="5689EBA9" w:rsidR="000F7827" w:rsidRDefault="009F6D1A" w:rsidP="009F6D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95AF2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14:paraId="6E61FBAC" w14:textId="77777777" w:rsidR="000F7827" w:rsidRDefault="000F7827" w:rsidP="009F6D1A">
            <w:pPr>
              <w:jc w:val="right"/>
              <w:rPr>
                <w:rFonts w:ascii="Arial" w:hAnsi="Arial" w:cs="Arial"/>
              </w:rPr>
            </w:pPr>
          </w:p>
        </w:tc>
      </w:tr>
      <w:tr w:rsidR="000F7827" w14:paraId="44C72B5E" w14:textId="77777777" w:rsidTr="00E54961">
        <w:trPr>
          <w:trHeight w:val="1145"/>
        </w:trPr>
        <w:tc>
          <w:tcPr>
            <w:tcW w:w="4395" w:type="dxa"/>
            <w:gridSpan w:val="2"/>
          </w:tcPr>
          <w:p w14:paraId="00400538" w14:textId="77777777"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14:paraId="3314ECA4" w14:textId="77777777"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14:paraId="70E6338D" w14:textId="77777777" w:rsidTr="00E54961">
        <w:tc>
          <w:tcPr>
            <w:tcW w:w="4395" w:type="dxa"/>
            <w:gridSpan w:val="2"/>
          </w:tcPr>
          <w:p w14:paraId="27D78A92" w14:textId="0C7B3A86" w:rsidR="000F7827" w:rsidRDefault="006F7DB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</w:t>
            </w:r>
            <w:r w:rsidR="009F6D1A">
              <w:rPr>
                <w:rFonts w:ascii="Arial" w:hAnsi="Arial" w:cs="Arial"/>
              </w:rPr>
              <w:t>, vedoucí Oddělení péče o přírodu a krajinu,</w:t>
            </w:r>
          </w:p>
          <w:p w14:paraId="12EBB937" w14:textId="30D7018F" w:rsidR="00E54961" w:rsidRDefault="006F7DB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</w:t>
            </w:r>
            <w:r w:rsidR="009F6D1A">
              <w:rPr>
                <w:rFonts w:ascii="Arial" w:hAnsi="Arial" w:cs="Arial"/>
              </w:rPr>
              <w:t xml:space="preserve">práva </w:t>
            </w:r>
            <w:r>
              <w:rPr>
                <w:rFonts w:ascii="Arial" w:hAnsi="Arial" w:cs="Arial"/>
              </w:rPr>
              <w:t>CHKO České středohoří</w:t>
            </w:r>
          </w:p>
        </w:tc>
        <w:tc>
          <w:tcPr>
            <w:tcW w:w="4667" w:type="dxa"/>
            <w:gridSpan w:val="2"/>
          </w:tcPr>
          <w:p w14:paraId="782D32F7" w14:textId="77777777" w:rsidR="00EE01C4" w:rsidRDefault="00EE01C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Chvála</w:t>
            </w:r>
          </w:p>
          <w:p w14:paraId="79093293" w14:textId="77777777" w:rsidR="000F7827" w:rsidRDefault="006F7DB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s.p.</w:t>
            </w:r>
          </w:p>
        </w:tc>
      </w:tr>
    </w:tbl>
    <w:p w14:paraId="4A5495B1" w14:textId="77777777"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3"/>
      <w:headerReference w:type="default" r:id="rId14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8F525" w14:textId="77777777" w:rsidR="002D1380" w:rsidRDefault="002D1380" w:rsidP="00F22E78">
      <w:pPr>
        <w:spacing w:after="0" w:line="240" w:lineRule="auto"/>
      </w:pPr>
      <w:r>
        <w:separator/>
      </w:r>
    </w:p>
  </w:endnote>
  <w:endnote w:type="continuationSeparator" w:id="0">
    <w:p w14:paraId="56C4C9E6" w14:textId="77777777" w:rsidR="002D1380" w:rsidRDefault="002D1380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40554" w14:textId="77777777" w:rsidR="002D1380" w:rsidRDefault="002D1380" w:rsidP="00F22E78">
      <w:pPr>
        <w:spacing w:after="0" w:line="240" w:lineRule="auto"/>
      </w:pPr>
      <w:r>
        <w:separator/>
      </w:r>
    </w:p>
  </w:footnote>
  <w:footnote w:type="continuationSeparator" w:id="0">
    <w:p w14:paraId="099C80AA" w14:textId="77777777" w:rsidR="002D1380" w:rsidRDefault="002D1380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8C903" w14:textId="77777777"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C2EE28" wp14:editId="7C3746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6F11D" w14:textId="77777777"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AA" w14:textId="77777777" w:rsidR="00F22E78" w:rsidRDefault="00F22E78">
    <w:pPr>
      <w:pStyle w:val="Zhlav"/>
    </w:pPr>
  </w:p>
  <w:p w14:paraId="55460698" w14:textId="77777777" w:rsidR="00F22E78" w:rsidRDefault="00F22E78">
    <w:pPr>
      <w:pStyle w:val="Zhlav"/>
    </w:pPr>
  </w:p>
  <w:p w14:paraId="7A77CED4" w14:textId="77777777"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93230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380"/>
    <w:rsid w:val="002D1679"/>
    <w:rsid w:val="002D615B"/>
    <w:rsid w:val="002F517E"/>
    <w:rsid w:val="002F5E50"/>
    <w:rsid w:val="002F681E"/>
    <w:rsid w:val="003006F9"/>
    <w:rsid w:val="0030434D"/>
    <w:rsid w:val="00305126"/>
    <w:rsid w:val="003246B7"/>
    <w:rsid w:val="00325B57"/>
    <w:rsid w:val="00330185"/>
    <w:rsid w:val="00332689"/>
    <w:rsid w:val="00343FA4"/>
    <w:rsid w:val="00346F2C"/>
    <w:rsid w:val="00351D4A"/>
    <w:rsid w:val="0035330F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6557F"/>
    <w:rsid w:val="00673074"/>
    <w:rsid w:val="006D2450"/>
    <w:rsid w:val="006E64D3"/>
    <w:rsid w:val="006F55FC"/>
    <w:rsid w:val="006F7DB2"/>
    <w:rsid w:val="00704669"/>
    <w:rsid w:val="00710E72"/>
    <w:rsid w:val="00747A7C"/>
    <w:rsid w:val="00761467"/>
    <w:rsid w:val="0076193D"/>
    <w:rsid w:val="007A2884"/>
    <w:rsid w:val="007A54DE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B68B8"/>
    <w:rsid w:val="008C1ABA"/>
    <w:rsid w:val="008C259E"/>
    <w:rsid w:val="008D64D1"/>
    <w:rsid w:val="008D7883"/>
    <w:rsid w:val="008E39B2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9F6D1A"/>
    <w:rsid w:val="00A203EA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1BF7"/>
    <w:rsid w:val="00E94B56"/>
    <w:rsid w:val="00EA0E2A"/>
    <w:rsid w:val="00EA6A5A"/>
    <w:rsid w:val="00EB1D3E"/>
    <w:rsid w:val="00EB5A35"/>
    <w:rsid w:val="00EB7897"/>
    <w:rsid w:val="00EB7E84"/>
    <w:rsid w:val="00EC76D3"/>
    <w:rsid w:val="00EE01C4"/>
    <w:rsid w:val="00F0150A"/>
    <w:rsid w:val="00F11E28"/>
    <w:rsid w:val="00F22E78"/>
    <w:rsid w:val="00F23927"/>
    <w:rsid w:val="00F608B2"/>
    <w:rsid w:val="00F67B22"/>
    <w:rsid w:val="00F71634"/>
    <w:rsid w:val="00F768B2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F0E7B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character" w:styleId="Hypertextovodkaz">
    <w:name w:val="Hyperlink"/>
    <w:basedOn w:val="Standardnpsmoodstavce"/>
    <w:uiPriority w:val="99"/>
    <w:semiHidden/>
    <w:unhideWhenUsed/>
    <w:rsid w:val="0035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opk.gov.cz/documents/20121/1200108/02002_OBNOVA_DLOUHODOBE_NEOBHOSPODAROVANYCH_TS.pdf/0e0f3f8e-49ed-fae9-a48c-eb3d3a14b5e7?t=16527762869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opk.gov.cz/documents/20121/1200108/D02007-standard+likvidace+vybran%C3%BDch+invazn%C3%ADch+rostlin_rev2023.pdf/952b0dde-0726-8e70-88a5-3011318f514e?t=169928105391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purl.org/dc/dcmitype/"/>
    <ds:schemaRef ds:uri="1df795ae-2c70-464b-8ca3-4eb6d5c688a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3f5bd56-79c6-432a-8457-3215e7a0ead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4</cp:revision>
  <dcterms:created xsi:type="dcterms:W3CDTF">2025-04-17T06:24:00Z</dcterms:created>
  <dcterms:modified xsi:type="dcterms:W3CDTF">2025-04-17T11:27:00Z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