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3755" w14:textId="77777777" w:rsidR="00F950BB" w:rsidRDefault="005E29C4">
      <w:pPr>
        <w:spacing w:after="0"/>
        <w:ind w:left="489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5A4B0E3" w14:textId="77777777" w:rsidR="00F950BB" w:rsidRDefault="005E29C4">
      <w:pPr>
        <w:spacing w:after="128"/>
        <w:ind w:left="2169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A22DBCA" w14:textId="77777777" w:rsidR="00F950BB" w:rsidRDefault="005E29C4">
      <w:pPr>
        <w:spacing w:after="117"/>
        <w:ind w:left="763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2656C0BB" w14:textId="77777777" w:rsidR="00F950BB" w:rsidRDefault="005E29C4">
      <w:pPr>
        <w:tabs>
          <w:tab w:val="center" w:pos="1930"/>
          <w:tab w:val="center" w:pos="7993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92C9295" w14:textId="77777777" w:rsidR="00F950BB" w:rsidRDefault="005E29C4">
      <w:pPr>
        <w:tabs>
          <w:tab w:val="center" w:pos="6854"/>
        </w:tabs>
        <w:spacing w:after="70"/>
        <w:ind w:left="-4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763691 Štětí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E00575C" w14:textId="77777777" w:rsidR="00F950BB" w:rsidRDefault="005E29C4">
      <w:pPr>
        <w:spacing w:after="3"/>
        <w:ind w:left="2378" w:hanging="10"/>
        <w:jc w:val="both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</w:t>
      </w:r>
      <w:r>
        <w:rPr>
          <w:rFonts w:ascii="Courier New" w:eastAsia="Courier New" w:hAnsi="Courier New" w:cs="Courier New"/>
          <w:b/>
          <w:sz w:val="20"/>
        </w:rPr>
        <w:t>é řadě</w:t>
      </w:r>
    </w:p>
    <w:tbl>
      <w:tblPr>
        <w:tblStyle w:val="TableGrid"/>
        <w:tblW w:w="11061" w:type="dxa"/>
        <w:tblInd w:w="-1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950BB" w14:paraId="078DB1A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246095" w14:textId="77777777" w:rsidR="00F950BB" w:rsidRDefault="005E29C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99E6DA" w14:textId="77777777" w:rsidR="00F950BB" w:rsidRDefault="005E29C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3A3846" w14:textId="77777777" w:rsidR="00F950BB" w:rsidRDefault="005E29C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950BB" w14:paraId="37AF217A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E5B799" w14:textId="77777777" w:rsidR="00F950BB" w:rsidRDefault="005E29C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4C1578D" w14:textId="77777777" w:rsidR="00F950BB" w:rsidRDefault="005E29C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8489670" w14:textId="77777777" w:rsidR="00F950BB" w:rsidRDefault="005E29C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3C014D7" w14:textId="77777777" w:rsidR="00F950BB" w:rsidRDefault="005E29C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AEC40E4" w14:textId="77777777" w:rsidR="00F950BB" w:rsidRDefault="005E29C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4823AEC" w14:textId="77777777" w:rsidR="00F950BB" w:rsidRDefault="005E29C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31B769B" w14:textId="77777777" w:rsidR="00F950BB" w:rsidRDefault="005E29C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A1F05A" w14:textId="77777777" w:rsidR="00F950BB" w:rsidRDefault="005E29C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28E7094" w14:textId="77777777" w:rsidR="00F950BB" w:rsidRDefault="005E29C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81CD56" w14:textId="77777777" w:rsidR="00F950BB" w:rsidRDefault="00F950BB"/>
        </w:tc>
      </w:tr>
      <w:tr w:rsidR="00F950BB" w14:paraId="157EF5D3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A418DD" w14:textId="77777777" w:rsidR="00F950BB" w:rsidRDefault="005E29C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65AC46E" w14:textId="77777777" w:rsidR="00F950BB" w:rsidRDefault="005E29C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32E8A40" w14:textId="77777777" w:rsidR="00F950BB" w:rsidRDefault="005E29C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B7A8E5F" w14:textId="77777777" w:rsidR="00F950BB" w:rsidRDefault="005E29C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B4932C" w14:textId="77777777" w:rsidR="00F950BB" w:rsidRDefault="00F950BB"/>
        </w:tc>
      </w:tr>
    </w:tbl>
    <w:p w14:paraId="42A95646" w14:textId="77777777" w:rsidR="00F950BB" w:rsidRDefault="005E29C4">
      <w:pPr>
        <w:numPr>
          <w:ilvl w:val="0"/>
          <w:numId w:val="1"/>
        </w:numPr>
        <w:spacing w:after="33"/>
        <w:ind w:hanging="2305"/>
        <w:jc w:val="both"/>
      </w:pPr>
      <w:r>
        <w:rPr>
          <w:rFonts w:ascii="Courier New" w:eastAsia="Courier New" w:hAnsi="Courier New" w:cs="Courier New"/>
          <w:b/>
          <w:sz w:val="20"/>
        </w:rPr>
        <w:t>409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755FA53A" w14:textId="77777777" w:rsidR="00F950BB" w:rsidRDefault="005E29C4">
      <w:pPr>
        <w:numPr>
          <w:ilvl w:val="0"/>
          <w:numId w:val="1"/>
        </w:numPr>
        <w:spacing w:after="33"/>
        <w:ind w:hanging="2305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1384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71528E30" w14:textId="77777777" w:rsidR="00F950BB" w:rsidRDefault="005E29C4">
      <w:pPr>
        <w:tabs>
          <w:tab w:val="center" w:pos="874"/>
          <w:tab w:val="center" w:pos="4139"/>
          <w:tab w:val="center" w:pos="6928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1154/2</w:t>
      </w:r>
      <w:r>
        <w:rPr>
          <w:rFonts w:ascii="Courier New" w:eastAsia="Courier New" w:hAnsi="Courier New" w:cs="Courier New"/>
          <w:b/>
          <w:sz w:val="20"/>
        </w:rPr>
        <w:tab/>
        <w:t>406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0725CBD7" w14:textId="77777777" w:rsidR="00F950BB" w:rsidRDefault="005E29C4">
      <w:pPr>
        <w:spacing w:after="32"/>
        <w:ind w:left="3672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p w14:paraId="5009A915" w14:textId="77777777" w:rsidR="00F950BB" w:rsidRDefault="005E29C4">
      <w:pPr>
        <w:tabs>
          <w:tab w:val="center" w:pos="934"/>
          <w:tab w:val="center" w:pos="3839"/>
          <w:tab w:val="right" w:pos="1055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1155/30</w:t>
      </w:r>
      <w:r>
        <w:rPr>
          <w:rFonts w:ascii="Courier New" w:eastAsia="Courier New" w:hAnsi="Courier New" w:cs="Courier New"/>
          <w:b/>
          <w:sz w:val="20"/>
        </w:rPr>
        <w:tab/>
        <w:t>180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DA86A64" w14:textId="77777777" w:rsidR="00F950BB" w:rsidRDefault="005E29C4">
      <w:pPr>
        <w:spacing w:after="16"/>
        <w:ind w:left="10" w:right="144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-7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950BB" w14:paraId="6C69B1F6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106370C" w14:textId="77777777" w:rsidR="00F950BB" w:rsidRDefault="005E29C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67AB474" w14:textId="77777777" w:rsidR="00F950BB" w:rsidRDefault="00F950BB"/>
        </w:tc>
      </w:tr>
      <w:tr w:rsidR="00F950BB" w14:paraId="30AB63E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DD12D2" w14:textId="77777777" w:rsidR="00F950BB" w:rsidRDefault="005E29C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27BDDC" w14:textId="77777777" w:rsidR="00F950BB" w:rsidRDefault="005E29C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A24A3F5" w14:textId="77777777" w:rsidR="00F950BB" w:rsidRDefault="00F950BB">
      <w:pPr>
        <w:sectPr w:rsidR="00F950BB">
          <w:pgSz w:w="11900" w:h="15840"/>
          <w:pgMar w:top="303" w:right="1195" w:bottom="169" w:left="151" w:header="708" w:footer="708" w:gutter="0"/>
          <w:cols w:space="708"/>
        </w:sectPr>
      </w:pPr>
    </w:p>
    <w:p w14:paraId="2AB2BE54" w14:textId="77777777" w:rsidR="00F950BB" w:rsidRDefault="005E29C4">
      <w:pPr>
        <w:spacing w:after="16" w:line="363" w:lineRule="auto"/>
        <w:ind w:left="128" w:right="6666" w:hanging="1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435DB6" wp14:editId="6D6EBC4C">
                <wp:simplePos x="0" y="0"/>
                <wp:positionH relativeFrom="margin">
                  <wp:posOffset>28956</wp:posOffset>
                </wp:positionH>
                <wp:positionV relativeFrom="paragraph">
                  <wp:posOffset>371922</wp:posOffset>
                </wp:positionV>
                <wp:extent cx="7020052" cy="1"/>
                <wp:effectExtent l="0" t="0" r="0" b="0"/>
                <wp:wrapTopAndBottom/>
                <wp:docPr id="2690" name="Group 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0" style="width:552.76pt;height:7.87402e-05pt;position:absolute;mso-position-horizontal-relative:margin;mso-position-horizontal:absolute;margin-left:2.28pt;mso-position-vertical-relative:text;margin-top:29.2852pt;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63C6B91" w14:textId="77777777" w:rsidR="00F950BB" w:rsidRDefault="005E29C4">
      <w:pPr>
        <w:numPr>
          <w:ilvl w:val="0"/>
          <w:numId w:val="2"/>
        </w:numPr>
        <w:spacing w:before="160" w:after="3"/>
        <w:ind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6F7655A" w14:textId="77777777" w:rsidR="00F950BB" w:rsidRDefault="005E29C4">
      <w:pPr>
        <w:spacing w:after="1"/>
        <w:ind w:left="1029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BF81912" w14:textId="77777777" w:rsidR="00F950BB" w:rsidRDefault="005E29C4">
      <w:pPr>
        <w:ind w:left="1425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1121, Parcela: 1154/2</w:t>
      </w:r>
    </w:p>
    <w:p w14:paraId="47E68641" w14:textId="77777777" w:rsidR="00F950BB" w:rsidRDefault="005E29C4">
      <w:pPr>
        <w:numPr>
          <w:ilvl w:val="0"/>
          <w:numId w:val="2"/>
        </w:numPr>
        <w:spacing w:after="3"/>
        <w:ind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1B946B9" w14:textId="77777777" w:rsidR="00F950BB" w:rsidRDefault="005E29C4">
      <w:pPr>
        <w:spacing w:after="1"/>
        <w:ind w:left="1029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BDB229D" w14:textId="77777777" w:rsidR="00F950BB" w:rsidRDefault="005E29C4">
      <w:pPr>
        <w:spacing w:after="261"/>
        <w:ind w:left="142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3A9DC2" wp14:editId="7FC2E67A">
                <wp:simplePos x="0" y="0"/>
                <wp:positionH relativeFrom="margin">
                  <wp:posOffset>34544</wp:posOffset>
                </wp:positionH>
                <wp:positionV relativeFrom="paragraph">
                  <wp:posOffset>309437</wp:posOffset>
                </wp:positionV>
                <wp:extent cx="7020052" cy="38100"/>
                <wp:effectExtent l="0" t="0" r="0" b="0"/>
                <wp:wrapTopAndBottom/>
                <wp:docPr id="2691" name="Group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1" style="width:552.76pt;height:3pt;position:absolute;mso-position-horizontal-relative:margin;mso-position-horizontal:absolute;margin-left:2.72pt;mso-position-vertical-relative:text;margin-top:24.3651pt;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>Parcela: 1121, Parcela: 1154/2</w:t>
      </w:r>
    </w:p>
    <w:p w14:paraId="50CBC12B" w14:textId="77777777" w:rsidR="00F950BB" w:rsidRDefault="005E29C4">
      <w:pPr>
        <w:spacing w:after="238"/>
        <w:ind w:left="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10CFB4" wp14:editId="66FD101E">
                <wp:simplePos x="0" y="0"/>
                <wp:positionH relativeFrom="margin">
                  <wp:posOffset>28956</wp:posOffset>
                </wp:positionH>
                <wp:positionV relativeFrom="paragraph">
                  <wp:posOffset>268635</wp:posOffset>
                </wp:positionV>
                <wp:extent cx="7020052" cy="38100"/>
                <wp:effectExtent l="0" t="0" r="0" b="0"/>
                <wp:wrapTopAndBottom/>
                <wp:docPr id="2689" name="Group 2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9" style="width:552.76pt;height:3pt;position:absolute;mso-position-horizontal-relative:margin;mso-position-horizontal:absolute;margin-left:2.28pt;mso-position-vertical-relative:text;margin-top:21.1523pt;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3BE6A42" w14:textId="77777777" w:rsidR="00F950BB" w:rsidRDefault="005E29C4">
      <w:pPr>
        <w:tabs>
          <w:tab w:val="center" w:pos="2855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AFF4570" w14:textId="77777777" w:rsidR="00F950BB" w:rsidRDefault="005E29C4">
      <w:pPr>
        <w:spacing w:after="40"/>
        <w:ind w:left="94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zák.93/92 Sb. ze dne 5.8.1997.</w:t>
      </w:r>
    </w:p>
    <w:p w14:paraId="1E179CE7" w14:textId="77777777" w:rsidR="00F950BB" w:rsidRDefault="005E29C4">
      <w:pPr>
        <w:tabs>
          <w:tab w:val="center" w:pos="7036"/>
          <w:tab w:val="right" w:pos="10996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POLVZ:625/1997</w:t>
      </w:r>
      <w:r>
        <w:rPr>
          <w:rFonts w:ascii="Courier New" w:eastAsia="Courier New" w:hAnsi="Courier New" w:cs="Courier New"/>
          <w:b/>
          <w:sz w:val="20"/>
        </w:rPr>
        <w:tab/>
        <w:t>Z-20400625/1997-506</w:t>
      </w:r>
    </w:p>
    <w:p w14:paraId="0AEAFAC6" w14:textId="77777777" w:rsidR="00F950BB" w:rsidRDefault="005E29C4">
      <w:pPr>
        <w:tabs>
          <w:tab w:val="center" w:pos="1656"/>
          <w:tab w:val="right" w:pos="10996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3A341E3" w14:textId="77777777" w:rsidR="00F950BB" w:rsidRDefault="005E29C4">
      <w:pPr>
        <w:spacing w:after="3"/>
        <w:ind w:left="114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§ 17 zákona č.229/1991 Sb. dle žádosti ze </w:t>
      </w:r>
    </w:p>
    <w:p w14:paraId="59239800" w14:textId="77777777" w:rsidR="00F950BB" w:rsidRDefault="00F950BB">
      <w:pPr>
        <w:sectPr w:rsidR="00F950BB">
          <w:type w:val="continuous"/>
          <w:pgSz w:w="11900" w:h="15840"/>
          <w:pgMar w:top="303" w:right="770" w:bottom="169" w:left="133" w:header="708" w:footer="708" w:gutter="0"/>
          <w:cols w:space="708"/>
        </w:sectPr>
      </w:pPr>
    </w:p>
    <w:p w14:paraId="458B1FA0" w14:textId="77777777" w:rsidR="00F950BB" w:rsidRDefault="005E29C4">
      <w:pPr>
        <w:spacing w:after="45"/>
        <w:ind w:left="10" w:hanging="10"/>
        <w:jc w:val="both"/>
      </w:pPr>
      <w:r>
        <w:rPr>
          <w:rFonts w:ascii="Courier New" w:eastAsia="Courier New" w:hAnsi="Courier New" w:cs="Courier New"/>
          <w:b/>
          <w:sz w:val="20"/>
        </w:rPr>
        <w:t>dne 8.8.2007.</w:t>
      </w:r>
    </w:p>
    <w:p w14:paraId="05491EFC" w14:textId="77777777" w:rsidR="00F950BB" w:rsidRDefault="005E29C4">
      <w:pPr>
        <w:spacing w:after="44"/>
        <w:ind w:left="10" w:right="3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Z-11573/2007-506</w:t>
      </w:r>
    </w:p>
    <w:p w14:paraId="61366590" w14:textId="77777777" w:rsidR="00F950BB" w:rsidRDefault="005E29C4">
      <w:pPr>
        <w:tabs>
          <w:tab w:val="right" w:pos="10605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EE3321B" w14:textId="77777777" w:rsidR="00F950BB" w:rsidRDefault="00F950BB">
      <w:pPr>
        <w:sectPr w:rsidR="00F950BB">
          <w:type w:val="continuous"/>
          <w:pgSz w:w="11900" w:h="15840"/>
          <w:pgMar w:top="303" w:right="845" w:bottom="169" w:left="450" w:header="708" w:footer="708" w:gutter="0"/>
          <w:cols w:space="708"/>
        </w:sectPr>
      </w:pPr>
    </w:p>
    <w:p w14:paraId="6D062C1E" w14:textId="77777777" w:rsidR="00F950BB" w:rsidRDefault="005E29C4">
      <w:pPr>
        <w:spacing w:after="80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60461D" wp14:editId="296E79A3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88" name="Group 2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8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0D773E9" w14:textId="77777777" w:rsidR="00F950BB" w:rsidRDefault="005E29C4">
      <w:pPr>
        <w:spacing w:after="0"/>
        <w:ind w:left="489" w:right="41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486729C" w14:textId="77777777" w:rsidR="00F950BB" w:rsidRDefault="005E29C4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4E790A8" w14:textId="77777777" w:rsidR="00F950BB" w:rsidRDefault="005E29C4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2A54989" w14:textId="77777777" w:rsidR="00F950BB" w:rsidRDefault="005E29C4">
      <w:pPr>
        <w:tabs>
          <w:tab w:val="center" w:pos="6909"/>
        </w:tabs>
        <w:spacing w:after="70"/>
        <w:ind w:left="-4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763691 Štětí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A02D1B5" w14:textId="77777777" w:rsidR="00F950BB" w:rsidRDefault="005E29C4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p w14:paraId="2933C46D" w14:textId="77777777" w:rsidR="00F950BB" w:rsidRDefault="005E29C4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E3D3769" wp14:editId="5D837EC6">
                <wp:extent cx="7020052" cy="1"/>
                <wp:effectExtent l="0" t="0" r="0" b="0"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1" style="width:552.76pt;height:7.87402e-05pt;mso-position-horizontal-relative:char;mso-position-vertical-relative:line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0361DD" w14:textId="77777777" w:rsidR="00F950BB" w:rsidRDefault="005E29C4">
      <w:pPr>
        <w:spacing w:after="3" w:line="368" w:lineRule="auto"/>
        <w:ind w:left="131" w:right="40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</w:t>
      </w:r>
      <w:r>
        <w:rPr>
          <w:rFonts w:ascii="Courier New" w:eastAsia="Courier New" w:hAnsi="Courier New" w:cs="Courier New"/>
          <w:b/>
          <w:sz w:val="20"/>
        </w:rPr>
        <w:t>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6CE3414" w14:textId="77777777" w:rsidR="00F950BB" w:rsidRDefault="005E29C4">
      <w:pPr>
        <w:spacing w:after="45"/>
        <w:ind w:left="364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FB0A01B" w14:textId="77777777" w:rsidR="00F950BB" w:rsidRDefault="005E29C4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5FB1888" w14:textId="77777777" w:rsidR="00F950BB" w:rsidRDefault="005E29C4">
      <w:pPr>
        <w:spacing w:after="168"/>
        <w:ind w:left="1024" w:right="48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950BB" w14:paraId="130A858A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E8E275" w14:textId="77777777" w:rsidR="00F950BB" w:rsidRDefault="005E29C4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0D44A688" w14:textId="77777777" w:rsidR="00F950BB" w:rsidRDefault="005E29C4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B564FB" w14:textId="77777777" w:rsidR="00F950BB" w:rsidRDefault="005E29C4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2EFC627" w14:textId="77777777" w:rsidR="00F950BB" w:rsidRDefault="005E29C4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919F42" w14:textId="77777777" w:rsidR="00F950BB" w:rsidRDefault="005E29C4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14977FB2" w14:textId="77777777" w:rsidR="00F950BB" w:rsidRDefault="005E29C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F950BB" w14:paraId="1147C6E6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B1C99D" w14:textId="77777777" w:rsidR="00F950BB" w:rsidRDefault="005E29C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1155/30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9054A4" w14:textId="77777777" w:rsidR="00F950BB" w:rsidRDefault="005E29C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0BF1CB" w14:textId="77777777" w:rsidR="00F950BB" w:rsidRDefault="005E29C4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</w:t>
            </w:r>
          </w:p>
        </w:tc>
      </w:tr>
    </w:tbl>
    <w:p w14:paraId="09A62A58" w14:textId="77777777" w:rsidR="00F950BB" w:rsidRDefault="005E29C4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6B31BB4" w14:textId="77777777" w:rsidR="00F950BB" w:rsidRDefault="005E29C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03AA8E6" w14:textId="77777777" w:rsidR="00F950BB" w:rsidRDefault="005E29C4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:00:26</w:t>
      </w:r>
    </w:p>
    <w:p w14:paraId="456E5798" w14:textId="77777777" w:rsidR="00F950BB" w:rsidRDefault="005E29C4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35234C78" w14:textId="77777777" w:rsidR="00F950BB" w:rsidRDefault="005E29C4">
      <w:pPr>
        <w:spacing w:after="7360"/>
        <w:ind w:left="6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63960CD" w14:textId="77777777" w:rsidR="00F950BB" w:rsidRDefault="005E29C4">
      <w:pPr>
        <w:spacing w:after="80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A364A6" wp14:editId="4F58EB4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0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950BB">
      <w:type w:val="continuous"/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41"/>
    <w:multiLevelType w:val="hybridMultilevel"/>
    <w:tmpl w:val="A870500A"/>
    <w:lvl w:ilvl="0" w:tplc="E99EED0E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D8B79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C4F22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CE25B4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88746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0920C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3EE41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562030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49DCE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E16C64"/>
    <w:multiLevelType w:val="hybridMultilevel"/>
    <w:tmpl w:val="29E2494A"/>
    <w:lvl w:ilvl="0" w:tplc="08285394">
      <w:start w:val="1120"/>
      <w:numFmt w:val="decimal"/>
      <w:lvlText w:val="%1"/>
      <w:lvlJc w:val="left"/>
      <w:pPr>
        <w:ind w:left="25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8FDEC">
      <w:start w:val="1"/>
      <w:numFmt w:val="lowerLetter"/>
      <w:lvlText w:val="%2"/>
      <w:lvlJc w:val="left"/>
      <w:pPr>
        <w:ind w:left="1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E28E8">
      <w:start w:val="1"/>
      <w:numFmt w:val="lowerRoman"/>
      <w:lvlText w:val="%3"/>
      <w:lvlJc w:val="left"/>
      <w:pPr>
        <w:ind w:left="2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C3744">
      <w:start w:val="1"/>
      <w:numFmt w:val="decimal"/>
      <w:lvlText w:val="%4"/>
      <w:lvlJc w:val="left"/>
      <w:pPr>
        <w:ind w:left="3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A3790">
      <w:start w:val="1"/>
      <w:numFmt w:val="lowerLetter"/>
      <w:lvlText w:val="%5"/>
      <w:lvlJc w:val="left"/>
      <w:pPr>
        <w:ind w:left="3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546A64">
      <w:start w:val="1"/>
      <w:numFmt w:val="lowerRoman"/>
      <w:lvlText w:val="%6"/>
      <w:lvlJc w:val="left"/>
      <w:pPr>
        <w:ind w:left="47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E88742">
      <w:start w:val="1"/>
      <w:numFmt w:val="decimal"/>
      <w:lvlText w:val="%7"/>
      <w:lvlJc w:val="left"/>
      <w:pPr>
        <w:ind w:left="54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21654">
      <w:start w:val="1"/>
      <w:numFmt w:val="lowerLetter"/>
      <w:lvlText w:val="%8"/>
      <w:lvlJc w:val="left"/>
      <w:pPr>
        <w:ind w:left="61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02144">
      <w:start w:val="1"/>
      <w:numFmt w:val="lowerRoman"/>
      <w:lvlText w:val="%9"/>
      <w:lvlJc w:val="left"/>
      <w:pPr>
        <w:ind w:left="68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350947">
    <w:abstractNumId w:val="1"/>
  </w:num>
  <w:num w:numId="2" w16cid:durableId="167425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BB"/>
    <w:rsid w:val="005E29C4"/>
    <w:rsid w:val="00F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A1C4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266113950011.pdf</dc:title>
  <dc:subject/>
  <dc:creator>Oracle Reports</dc:creator>
  <cp:keywords/>
  <cp:lastModifiedBy>Bendová Pavlína</cp:lastModifiedBy>
  <cp:revision>2</cp:revision>
  <dcterms:created xsi:type="dcterms:W3CDTF">2025-03-27T07:46:00Z</dcterms:created>
  <dcterms:modified xsi:type="dcterms:W3CDTF">2025-03-27T07:46:00Z</dcterms:modified>
</cp:coreProperties>
</file>