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58680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Společnost:</w:t>
      </w:r>
      <w:r w:rsidRPr="00312992" w:rsidDel="00783655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Oblastní nemocnice Příbram, a.s.</w:t>
      </w:r>
    </w:p>
    <w:p w14:paraId="35F5A5DB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IČ: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27085031</w:t>
      </w:r>
    </w:p>
    <w:p w14:paraId="2BE895BB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DIČ: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CZ28085031</w:t>
      </w:r>
    </w:p>
    <w:p w14:paraId="14C4F23D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Gen. R. Tesaříka 80, 261 01 Příbram</w:t>
      </w:r>
    </w:p>
    <w:p w14:paraId="628DD6B0" w14:textId="77777777" w:rsidR="00693F5C" w:rsidRPr="000010D6" w:rsidRDefault="00693F5C" w:rsidP="00693F5C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Zastoupená</w:t>
      </w:r>
      <w:r>
        <w:rPr>
          <w:rFonts w:asciiTheme="minorHAnsi" w:hAnsiTheme="minorHAnsi" w:cstheme="minorHAnsi"/>
          <w:bCs/>
          <w:i/>
          <w:sz w:val="22"/>
          <w:szCs w:val="22"/>
        </w:rPr>
        <w:t>: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MUDr. Stanislavem Holobradou, předsedou představenstva </w:t>
      </w:r>
    </w:p>
    <w:p w14:paraId="7672178B" w14:textId="77777777" w:rsidR="00693F5C" w:rsidRPr="000010D6" w:rsidRDefault="00693F5C" w:rsidP="00693F5C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  <w:t>Bc. Vít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em</w:t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Rosenbaumem, místopředsedou představenstva </w:t>
      </w:r>
    </w:p>
    <w:p w14:paraId="11FE2822" w14:textId="5F4A2FA5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Bankovní spojení: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AC7425">
        <w:rPr>
          <w:rFonts w:asciiTheme="minorHAnsi" w:hAnsiTheme="minorHAnsi" w:cstheme="minorHAnsi"/>
          <w:b/>
          <w:bCs/>
          <w:i/>
          <w:sz w:val="22"/>
          <w:szCs w:val="22"/>
        </w:rPr>
        <w:t>xxxxxxxxx</w:t>
      </w:r>
      <w:proofErr w:type="spellEnd"/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312992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5E5664E9" w14:textId="06A0D3B5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AC7425">
        <w:rPr>
          <w:rFonts w:asciiTheme="minorHAnsi" w:hAnsiTheme="minorHAnsi" w:cstheme="minorHAnsi"/>
          <w:b/>
          <w:bCs/>
          <w:i/>
          <w:sz w:val="22"/>
          <w:szCs w:val="22"/>
        </w:rPr>
        <w:t>xxxxxxxxxx</w:t>
      </w:r>
      <w:proofErr w:type="spellEnd"/>
    </w:p>
    <w:p w14:paraId="336A2034" w14:textId="21FC9B2B" w:rsidR="00693F5C" w:rsidRPr="00312992" w:rsidRDefault="00693F5C" w:rsidP="00693F5C">
      <w:pPr>
        <w:ind w:left="2552" w:hanging="2552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Zapsaná v obchodním rejstříku Městského soudu, oddíl B, vložka </w:t>
      </w:r>
      <w:r>
        <w:rPr>
          <w:rFonts w:asciiTheme="minorHAnsi" w:hAnsiTheme="minorHAnsi" w:cstheme="minorHAnsi"/>
          <w:bCs/>
          <w:i/>
          <w:sz w:val="22"/>
          <w:szCs w:val="22"/>
        </w:rPr>
        <w:t>8883</w:t>
      </w:r>
    </w:p>
    <w:p w14:paraId="09623167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dále též jako „Společnost“ na straně jedné,</w:t>
      </w:r>
    </w:p>
    <w:p w14:paraId="07F85D7F" w14:textId="77777777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E278A9B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a</w:t>
      </w:r>
    </w:p>
    <w:p w14:paraId="2DFD425D" w14:textId="77777777" w:rsidR="00572B64" w:rsidRPr="00B259AD" w:rsidRDefault="00572B64" w:rsidP="00B259AD">
      <w:pPr>
        <w:ind w:left="2552" w:hanging="2552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7E7AC65" w14:textId="57AA214F" w:rsidR="00572B64" w:rsidRPr="00B259AD" w:rsidRDefault="00572B64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Jméno:</w:t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DB074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Ing. Petr </w:t>
      </w:r>
      <w:proofErr w:type="spellStart"/>
      <w:r w:rsidR="00DB0744">
        <w:rPr>
          <w:rFonts w:asciiTheme="minorHAnsi" w:hAnsiTheme="minorHAnsi" w:cstheme="minorHAnsi"/>
          <w:b/>
          <w:bCs/>
          <w:i/>
          <w:sz w:val="22"/>
          <w:szCs w:val="22"/>
        </w:rPr>
        <w:t>Digrin</w:t>
      </w:r>
      <w:proofErr w:type="spellEnd"/>
      <w:r w:rsidR="00DB074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PhD.</w:t>
      </w:r>
      <w:r w:rsidR="002307EF" w:rsidRPr="00693F5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C1723C"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3DCD8AE3" w14:textId="6B37F3F9" w:rsidR="00572B64" w:rsidRPr="00B259AD" w:rsidRDefault="00714DD5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Narozen</w:t>
      </w:r>
      <w:r w:rsidR="00572B64" w:rsidRPr="00B259AD">
        <w:rPr>
          <w:rFonts w:asciiTheme="minorHAnsi" w:hAnsiTheme="minorHAnsi" w:cstheme="minorHAnsi"/>
          <w:bCs/>
          <w:i/>
          <w:sz w:val="22"/>
          <w:szCs w:val="22"/>
        </w:rPr>
        <w:t>:</w:t>
      </w:r>
      <w:r w:rsidR="00732F31" w:rsidRPr="00B259A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C1723C"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572B64"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AC7425">
        <w:rPr>
          <w:rFonts w:asciiTheme="minorHAnsi" w:hAnsiTheme="minorHAnsi" w:cstheme="minorHAnsi"/>
          <w:b/>
          <w:bCs/>
          <w:i/>
          <w:sz w:val="22"/>
          <w:szCs w:val="22"/>
        </w:rPr>
        <w:t>xxxxxxxxxx</w:t>
      </w:r>
      <w:proofErr w:type="spellEnd"/>
    </w:p>
    <w:p w14:paraId="11560B65" w14:textId="561A1522" w:rsidR="00572B64" w:rsidRPr="00B259AD" w:rsidRDefault="00732F31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Byt</w:t>
      </w:r>
      <w:r w:rsidR="002307EF" w:rsidRPr="00B259AD">
        <w:rPr>
          <w:rFonts w:asciiTheme="minorHAnsi" w:hAnsiTheme="minorHAnsi" w:cstheme="minorHAnsi"/>
          <w:bCs/>
          <w:i/>
          <w:sz w:val="22"/>
          <w:szCs w:val="22"/>
        </w:rPr>
        <w:t xml:space="preserve">em: </w:t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AC7425">
        <w:rPr>
          <w:rFonts w:asciiTheme="minorHAnsi" w:hAnsiTheme="minorHAnsi" w:cstheme="minorHAnsi"/>
          <w:b/>
          <w:bCs/>
          <w:i/>
          <w:sz w:val="22"/>
          <w:szCs w:val="22"/>
        </w:rPr>
        <w:t>xxxxxxxxxxxxxxxxxxxxxxxxxxx</w:t>
      </w:r>
      <w:proofErr w:type="spellEnd"/>
    </w:p>
    <w:p w14:paraId="2CFFEEDE" w14:textId="77777777" w:rsidR="00572B64" w:rsidRPr="00B259AD" w:rsidRDefault="00572B64" w:rsidP="00D079E2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17B97EE" w14:textId="77777777" w:rsidR="00572B64" w:rsidRPr="00B259AD" w:rsidRDefault="00572B64" w:rsidP="00D079E2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dále též jako „Člen dozorčí rady“ na straně druhé,</w:t>
      </w:r>
    </w:p>
    <w:p w14:paraId="2D808B22" w14:textId="77777777" w:rsidR="00572B64" w:rsidRPr="00B259AD" w:rsidRDefault="00572B64" w:rsidP="00D079E2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společně též jako „Smluvní strany“</w:t>
      </w:r>
    </w:p>
    <w:p w14:paraId="376672FD" w14:textId="77777777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056335E" w14:textId="77777777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5FD86B9" w14:textId="4ACC2336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 xml:space="preserve">se níže uvedeného dne, měsíce a roku dohodli v souladu s ustanovením § 59 zákona č. 90/2012 Sb., </w:t>
      </w:r>
      <w:r w:rsidR="00AD6DFD">
        <w:rPr>
          <w:rFonts w:asciiTheme="minorHAnsi" w:hAnsiTheme="minorHAnsi" w:cstheme="minorHAnsi"/>
          <w:bCs/>
          <w:i/>
          <w:sz w:val="22"/>
          <w:szCs w:val="22"/>
        </w:rPr>
        <w:br/>
      </w:r>
      <w:r w:rsidR="00A31611" w:rsidRPr="00B259AD">
        <w:rPr>
          <w:rFonts w:asciiTheme="minorHAnsi" w:hAnsiTheme="minorHAnsi" w:cstheme="minorHAnsi"/>
          <w:bCs/>
          <w:i/>
          <w:sz w:val="22"/>
          <w:szCs w:val="22"/>
        </w:rPr>
        <w:t>o obchodních společnostech a družstvech (zákon o obchodních korporacích)</w:t>
      </w:r>
      <w:r w:rsidRPr="00B259AD">
        <w:rPr>
          <w:rFonts w:asciiTheme="minorHAnsi" w:hAnsiTheme="minorHAnsi" w:cstheme="minorHAnsi"/>
          <w:bCs/>
          <w:i/>
          <w:sz w:val="22"/>
          <w:szCs w:val="22"/>
        </w:rPr>
        <w:t>, jak stanoví tato:</w:t>
      </w:r>
    </w:p>
    <w:p w14:paraId="5A263E7F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08387F6F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7A7D6B03" w14:textId="77777777" w:rsidR="00572B64" w:rsidRPr="00693F5C" w:rsidRDefault="00572B64" w:rsidP="00D079E2">
      <w:pPr>
        <w:jc w:val="center"/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</w:pPr>
      <w:r w:rsidRPr="00693F5C"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  <w:t>smlouva o výkonu funkce člena dozorčí rady</w:t>
      </w:r>
    </w:p>
    <w:p w14:paraId="387F39F1" w14:textId="77777777" w:rsidR="00572B64" w:rsidRPr="00B259AD" w:rsidRDefault="00572B64" w:rsidP="00D079E2">
      <w:pPr>
        <w:jc w:val="center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B259AD">
        <w:rPr>
          <w:rFonts w:asciiTheme="minorHAnsi" w:hAnsiTheme="minorHAnsi" w:cstheme="minorHAnsi"/>
          <w:bCs/>
          <w:snapToGrid w:val="0"/>
          <w:sz w:val="22"/>
          <w:szCs w:val="22"/>
        </w:rPr>
        <w:t>dále jen „Smlouva“</w:t>
      </w:r>
    </w:p>
    <w:p w14:paraId="03DEA31A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0F23DA0A" w14:textId="77777777" w:rsidR="00572B64" w:rsidRPr="00B259AD" w:rsidRDefault="00572B64" w:rsidP="00B259AD">
      <w:pPr>
        <w:pStyle w:val="Nadpis1"/>
        <w:keepNext w:val="0"/>
        <w:ind w:left="567" w:hanging="567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Preambule</w:t>
      </w:r>
    </w:p>
    <w:p w14:paraId="6D7070F2" w14:textId="77777777" w:rsidR="00572B64" w:rsidRPr="00B259AD" w:rsidRDefault="00572B64" w:rsidP="00D079E2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Vzhledem k tomu, že </w:t>
      </w:r>
    </w:p>
    <w:p w14:paraId="0DA9E06A" w14:textId="434F4880" w:rsidR="00572B64" w:rsidRPr="00B259AD" w:rsidRDefault="00693F5C" w:rsidP="00D079E2">
      <w:pPr>
        <w:pStyle w:val="Nadpis2"/>
        <w:numPr>
          <w:ilvl w:val="0"/>
          <w:numId w:val="8"/>
        </w:numPr>
        <w:tabs>
          <w:tab w:val="left" w:pos="567"/>
        </w:tabs>
        <w:spacing w:before="0"/>
        <w:ind w:left="567" w:hanging="558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Pan </w:t>
      </w:r>
      <w:r w:rsidR="00FA6AA1">
        <w:rPr>
          <w:rFonts w:asciiTheme="minorHAnsi" w:hAnsiTheme="minorHAnsi" w:cstheme="minorHAnsi"/>
          <w:b w:val="0"/>
          <w:sz w:val="22"/>
          <w:szCs w:val="22"/>
        </w:rPr>
        <w:t xml:space="preserve">Ing. Petr </w:t>
      </w:r>
      <w:proofErr w:type="spellStart"/>
      <w:r w:rsidR="00FA6AA1">
        <w:rPr>
          <w:rFonts w:asciiTheme="minorHAnsi" w:hAnsiTheme="minorHAnsi" w:cstheme="minorHAnsi"/>
          <w:b w:val="0"/>
          <w:sz w:val="22"/>
          <w:szCs w:val="22"/>
        </w:rPr>
        <w:t>Digrin</w:t>
      </w:r>
      <w:proofErr w:type="spellEnd"/>
      <w:r w:rsidR="00FA6AA1">
        <w:rPr>
          <w:rFonts w:asciiTheme="minorHAnsi" w:hAnsiTheme="minorHAnsi" w:cstheme="minorHAnsi"/>
          <w:b w:val="0"/>
          <w:sz w:val="22"/>
          <w:szCs w:val="22"/>
        </w:rPr>
        <w:t xml:space="preserve"> PhD.</w:t>
      </w:r>
      <w:r w:rsidR="00572B64" w:rsidRPr="00B259AD">
        <w:rPr>
          <w:rFonts w:asciiTheme="minorHAnsi" w:hAnsiTheme="minorHAnsi" w:cstheme="minorHAnsi"/>
          <w:b w:val="0"/>
          <w:sz w:val="22"/>
          <w:szCs w:val="22"/>
        </w:rPr>
        <w:t xml:space="preserve"> byl zvolen </w:t>
      </w:r>
      <w:r w:rsidR="0012059A" w:rsidRPr="00B259AD">
        <w:rPr>
          <w:rFonts w:asciiTheme="minorHAnsi" w:hAnsiTheme="minorHAnsi" w:cstheme="minorHAnsi"/>
          <w:b w:val="0"/>
          <w:sz w:val="22"/>
          <w:szCs w:val="22"/>
        </w:rPr>
        <w:t xml:space="preserve">dne </w:t>
      </w:r>
      <w:r>
        <w:rPr>
          <w:rFonts w:asciiTheme="minorHAnsi" w:hAnsiTheme="minorHAnsi" w:cstheme="minorHAnsi"/>
          <w:b w:val="0"/>
          <w:sz w:val="22"/>
          <w:szCs w:val="22"/>
        </w:rPr>
        <w:t>1</w:t>
      </w:r>
      <w:r w:rsidR="00FA6AA1">
        <w:rPr>
          <w:rFonts w:asciiTheme="minorHAnsi" w:hAnsiTheme="minorHAnsi" w:cstheme="minorHAnsi"/>
          <w:b w:val="0"/>
          <w:sz w:val="22"/>
          <w:szCs w:val="22"/>
        </w:rPr>
        <w:t>7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FA6AA1">
        <w:rPr>
          <w:rFonts w:asciiTheme="minorHAnsi" w:hAnsiTheme="minorHAnsi" w:cstheme="minorHAnsi"/>
          <w:b w:val="0"/>
          <w:sz w:val="22"/>
          <w:szCs w:val="22"/>
        </w:rPr>
        <w:t>1</w:t>
      </w:r>
      <w:r>
        <w:rPr>
          <w:rFonts w:asciiTheme="minorHAnsi" w:hAnsiTheme="minorHAnsi" w:cstheme="minorHAnsi"/>
          <w:b w:val="0"/>
          <w:sz w:val="22"/>
          <w:szCs w:val="22"/>
        </w:rPr>
        <w:t>2. 202</w:t>
      </w:r>
      <w:r w:rsidR="00FA6AA1">
        <w:rPr>
          <w:rFonts w:asciiTheme="minorHAnsi" w:hAnsiTheme="minorHAnsi" w:cstheme="minorHAnsi"/>
          <w:b w:val="0"/>
          <w:sz w:val="22"/>
          <w:szCs w:val="22"/>
        </w:rPr>
        <w:t>0</w:t>
      </w:r>
      <w:r w:rsidR="003C2D91" w:rsidRPr="00B259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72B64" w:rsidRPr="00B259AD">
        <w:rPr>
          <w:rFonts w:asciiTheme="minorHAnsi" w:hAnsiTheme="minorHAnsi" w:cstheme="minorHAnsi"/>
          <w:b w:val="0"/>
          <w:sz w:val="22"/>
          <w:szCs w:val="22"/>
        </w:rPr>
        <w:t>do funkce člena dozorčí rady Společnosti,</w:t>
      </w:r>
    </w:p>
    <w:p w14:paraId="4912F695" w14:textId="35704B96" w:rsidR="00572B64" w:rsidRPr="00B259AD" w:rsidRDefault="00572B64" w:rsidP="00D079E2">
      <w:pPr>
        <w:pStyle w:val="Nadpis2"/>
        <w:numPr>
          <w:ilvl w:val="0"/>
          <w:numId w:val="8"/>
        </w:numPr>
        <w:tabs>
          <w:tab w:val="left" w:pos="567"/>
        </w:tabs>
        <w:spacing w:before="0"/>
        <w:ind w:left="567" w:hanging="55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Znění této Smlouvy bylo schváleno rozhodnutím jediného akcionáře Společnosti v působnosti valné hromady ze dne</w:t>
      </w:r>
      <w:r w:rsidR="00693F5C">
        <w:rPr>
          <w:rFonts w:asciiTheme="minorHAnsi" w:hAnsiTheme="minorHAnsi" w:cstheme="minorHAnsi"/>
          <w:b w:val="0"/>
          <w:sz w:val="22"/>
          <w:szCs w:val="22"/>
        </w:rPr>
        <w:t xml:space="preserve"> 13. 02. 2025.</w:t>
      </w:r>
    </w:p>
    <w:p w14:paraId="778A952E" w14:textId="77777777" w:rsidR="00572B64" w:rsidRPr="00B259AD" w:rsidRDefault="00572B64" w:rsidP="00D079E2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uzavírají Smluvní strany tuto Smlouvu v následujícím znění:</w:t>
      </w:r>
    </w:p>
    <w:p w14:paraId="1A8A0ADC" w14:textId="2E91364C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 xml:space="preserve">Výkon funkce </w:t>
      </w:r>
      <w:r w:rsidR="008879EB">
        <w:rPr>
          <w:rFonts w:asciiTheme="minorHAnsi" w:hAnsiTheme="minorHAnsi" w:cstheme="minorHAnsi"/>
          <w:b w:val="0"/>
          <w:bCs/>
          <w:sz w:val="22"/>
          <w:szCs w:val="22"/>
        </w:rPr>
        <w:t>Č</w:t>
      </w: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lena dozorčí rady</w:t>
      </w:r>
    </w:p>
    <w:p w14:paraId="3CCF6B38" w14:textId="18E49315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Člena dozorčí rady jmenovaného rozhodnutím jediného akcionáře je jediný akcionář oprávněn v souladu se stanovami Společnosti z jeho funkce kdykoliv odvolat; člena dozorčí rady zvoleného zaměstnanci mohou zaměstnanci v souladu se stanovami Společnosti z jeho funkce odvolat; Člen dozorčí </w:t>
      </w:r>
      <w:r w:rsidR="00DF6609" w:rsidRPr="00B259AD">
        <w:rPr>
          <w:rFonts w:asciiTheme="minorHAnsi" w:hAnsiTheme="minorHAnsi" w:cstheme="minorHAnsi"/>
          <w:b w:val="0"/>
          <w:sz w:val="22"/>
          <w:szCs w:val="22"/>
        </w:rPr>
        <w:t xml:space="preserve">rady 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může ze své funkce kdykoliv odstoupit, s výjimkou případů, kdy by náhlé odstoupení </w:t>
      </w:r>
      <w:r w:rsidR="008879EB">
        <w:rPr>
          <w:rFonts w:asciiTheme="minorHAnsi" w:hAnsiTheme="minorHAnsi" w:cstheme="minorHAnsi"/>
          <w:b w:val="0"/>
          <w:sz w:val="22"/>
          <w:szCs w:val="22"/>
        </w:rPr>
        <w:t>Č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lena dozorčí rady mohlo způsobit Společnosti nepřiměřenou újmu. Právní jednání směřující k odvolání nebo odstoupení mají být uskutečněna v souladu se stanovami Společnosti a právním řádem České republiky. </w:t>
      </w:r>
    </w:p>
    <w:p w14:paraId="7C512040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 vykonává svou funkci zpravidla v sídle Společnosti na adrese</w:t>
      </w:r>
      <w:r w:rsidR="003A0DAA" w:rsidRPr="00B259AD">
        <w:rPr>
          <w:rFonts w:asciiTheme="minorHAnsi" w:hAnsiTheme="minorHAnsi" w:cstheme="minorHAnsi"/>
          <w:b w:val="0"/>
          <w:sz w:val="22"/>
          <w:szCs w:val="22"/>
        </w:rPr>
        <w:t xml:space="preserve"> sídla Společnosti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, případně v jiných prostorách Společnosti k tomu určených. Člen dozorčí rady se zavazuje, že svou funkci bude vykonávat i na jiném místě v závislosti na okolnostech a budou-li to vyžadovat zájmy Společnosti. </w:t>
      </w:r>
    </w:p>
    <w:p w14:paraId="4F4F4071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</w:t>
      </w:r>
      <w:bookmarkStart w:id="0" w:name="_Ref266726913"/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 vykonává svou funkci osobně.</w:t>
      </w:r>
    </w:p>
    <w:p w14:paraId="64B3F316" w14:textId="5593B921" w:rsidR="00470E85" w:rsidRPr="008879EB" w:rsidRDefault="00572B64" w:rsidP="00B259AD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lastRenderedPageBreak/>
        <w:t>Člen dozorčí rady se řídí zásadami a pokyny schválenými jediným akcionářem Společnosti, pokud jsou tyto v souladu s právním řádem České republiky. Člen dozorčí rady je dále povinen jednat v souladu s touto Smlouvou a stanovami Společnosti.</w:t>
      </w:r>
      <w:bookmarkEnd w:id="0"/>
    </w:p>
    <w:p w14:paraId="668184F5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1" w:name="_Toc266738514"/>
      <w:bookmarkStart w:id="2" w:name="_Ref66517607"/>
      <w:bookmarkStart w:id="3" w:name="_Toc266738519"/>
      <w:bookmarkEnd w:id="1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Vymezení působnosti Člena dozorčí rady</w:t>
      </w:r>
    </w:p>
    <w:p w14:paraId="11D68F69" w14:textId="146FA6D0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je členem kontrolního orgánu Společnosti. Členové dozorčí rady dohlížejí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B259AD">
        <w:rPr>
          <w:rFonts w:asciiTheme="minorHAnsi" w:hAnsiTheme="minorHAnsi" w:cstheme="minorHAnsi"/>
          <w:b w:val="0"/>
          <w:sz w:val="22"/>
          <w:szCs w:val="22"/>
        </w:rPr>
        <w:t>na výkon působnosti představenstva Společnosti.</w:t>
      </w:r>
    </w:p>
    <w:p w14:paraId="6F4871E7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Do působnosti člena dozorčí rady spadá zejména přezkoumávat účetní doklady a zápisy, kontrolovat řádnost jejich vedení, předkládat svá vyjádření jedinému akcionáři, navrhovat jedinému akcionáři potřebná opatření a rozhodovat o udělení souhlasu k úkonům představenstva v případech, kdy to stanoví právní předpisy či stanovy Společnosti.</w:t>
      </w:r>
    </w:p>
    <w:p w14:paraId="4946A50D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Působnost Člena dozorčí rady se dále řídí platnými právními předpisy a stanovami Společnosti.</w:t>
      </w:r>
    </w:p>
    <w:p w14:paraId="3636C08F" w14:textId="77777777" w:rsidR="007B253F" w:rsidRPr="00B259AD" w:rsidRDefault="007B253F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Odměna Člena dozorčí rady</w:t>
      </w:r>
    </w:p>
    <w:p w14:paraId="6D8609CF" w14:textId="3B5F6975" w:rsidR="007B253F" w:rsidRPr="005B2243" w:rsidRDefault="007B253F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Smluvní strany se dohodly, že členu dozorčí rady náleží za výkon funkce člena </w:t>
      </w:r>
      <w:r w:rsidR="00E35A0A" w:rsidRPr="005B2243">
        <w:rPr>
          <w:rFonts w:asciiTheme="minorHAnsi" w:hAnsiTheme="minorHAnsi" w:cstheme="minorHAnsi"/>
          <w:b w:val="0"/>
          <w:sz w:val="22"/>
          <w:szCs w:val="22"/>
        </w:rPr>
        <w:t xml:space="preserve">dozorčí rady </w:t>
      </w: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Společnosti měsíční odměna ve výši </w:t>
      </w:r>
      <w:r w:rsidR="00AC7425">
        <w:rPr>
          <w:rFonts w:asciiTheme="minorHAnsi" w:hAnsiTheme="minorHAnsi" w:cstheme="minorHAnsi"/>
          <w:b w:val="0"/>
          <w:sz w:val="22"/>
          <w:szCs w:val="22"/>
        </w:rPr>
        <w:t>xxxxxx</w:t>
      </w:r>
      <w:bookmarkStart w:id="4" w:name="_GoBack"/>
      <w:bookmarkEnd w:id="4"/>
      <w:r w:rsidR="009C1C5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Kč. Měsíční odměna se členu dozorčí rady vyplácí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za období počínající </w:t>
      </w:r>
      <w:bookmarkStart w:id="5" w:name="_Hlk188600180"/>
      <w:r w:rsidR="004250E6" w:rsidRPr="005B2243">
        <w:rPr>
          <w:rFonts w:asciiTheme="minorHAnsi" w:hAnsiTheme="minorHAnsi" w:cstheme="minorHAnsi"/>
          <w:b w:val="0"/>
          <w:sz w:val="22"/>
          <w:szCs w:val="22"/>
        </w:rPr>
        <w:t>prvním dnem kalendářního měsíce následujícího po jeho zvolení</w:t>
      </w:r>
      <w:bookmarkEnd w:id="5"/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6" w:name="_Hlk188599547"/>
      <w:r w:rsidRPr="005B2243">
        <w:rPr>
          <w:rFonts w:asciiTheme="minorHAnsi" w:hAnsiTheme="minorHAnsi" w:cstheme="minorHAnsi"/>
          <w:b w:val="0"/>
          <w:sz w:val="22"/>
          <w:szCs w:val="22"/>
        </w:rPr>
        <w:t>do funkce na základě rozhodnutí jediného akcionáře Společnosti v působnosti valné hromady</w:t>
      </w:r>
      <w:bookmarkEnd w:id="6"/>
      <w:r w:rsidR="00D079E2" w:rsidRPr="005B2243">
        <w:rPr>
          <w:rFonts w:asciiTheme="minorHAnsi" w:hAnsiTheme="minorHAnsi" w:cstheme="minorHAnsi"/>
          <w:b w:val="0"/>
          <w:sz w:val="22"/>
          <w:szCs w:val="22"/>
        </w:rPr>
        <w:t>/volby zaměstnanci</w:t>
      </w: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 a končící dnem zániku funkce odvoláním nebo odstoupením v souladu s platnými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5B2243">
        <w:rPr>
          <w:rFonts w:asciiTheme="minorHAnsi" w:hAnsiTheme="minorHAnsi" w:cstheme="minorHAnsi"/>
          <w:b w:val="0"/>
          <w:sz w:val="22"/>
          <w:szCs w:val="22"/>
        </w:rPr>
        <w:t>a účinnými právními předpisy. Měsíční odměna se Členu dozorčí rady vyplácí bezhotovostním převodem na písemně sdělený bankovní účet Člena dozorčí rady</w:t>
      </w:r>
      <w:r w:rsidR="008879EB" w:rsidRPr="005B2243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A333E90" w14:textId="20DD1386" w:rsidR="00D038FE" w:rsidRPr="00B259AD" w:rsidRDefault="00C512E2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12E2">
        <w:rPr>
          <w:rFonts w:asciiTheme="minorHAnsi" w:hAnsiTheme="minorHAnsi" w:cstheme="minorHAnsi"/>
          <w:b w:val="0"/>
          <w:sz w:val="22"/>
          <w:szCs w:val="22"/>
        </w:rPr>
        <w:t xml:space="preserve">Odměna dle odst. 3.1. nenáleží </w:t>
      </w:r>
      <w:r>
        <w:rPr>
          <w:rFonts w:asciiTheme="minorHAnsi" w:hAnsiTheme="minorHAnsi" w:cstheme="minorHAnsi"/>
          <w:b w:val="0"/>
          <w:sz w:val="22"/>
          <w:szCs w:val="22"/>
        </w:rPr>
        <w:t>členu dozorčí rady</w:t>
      </w:r>
      <w:r w:rsidRPr="00C512E2">
        <w:rPr>
          <w:rFonts w:asciiTheme="minorHAnsi" w:hAnsiTheme="minorHAnsi" w:cstheme="minorHAnsi"/>
          <w:b w:val="0"/>
          <w:sz w:val="22"/>
          <w:szCs w:val="22"/>
        </w:rPr>
        <w:t>, který je současně úředníkem Krajského úřadu Středočeského kraje nebo zastupitelem Středočeského kraje dlouhodobě uvolněným pro výkon své funkce nebo před svým zvolením do funkce člena zastupitelstva nebyl v pracovním poměru, ale vykonává funkci ve stejném rozsahu jako člen zastupitelstva, který je pro výkon funkce uvolněn.</w:t>
      </w:r>
    </w:p>
    <w:p w14:paraId="2AF3F79A" w14:textId="774FC438" w:rsidR="00D038FE" w:rsidRPr="00B259AD" w:rsidRDefault="00D038FE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Společnosti má nárok na měsíční odměnu dle odst. 3.1 za daný kalendářní měsíc pouze v případě, pokud řádně plní své povinnosti člena dozorčí rady Společnosti. </w:t>
      </w:r>
    </w:p>
    <w:p w14:paraId="67601177" w14:textId="37A12AD0" w:rsidR="007B253F" w:rsidRPr="00B259AD" w:rsidRDefault="00D038FE" w:rsidP="00B259AD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Další odměny náleží Členu dozorčí rady, pokud jsou schváleny rozhodnutím jediného akcionáře Společnosti.</w:t>
      </w:r>
    </w:p>
    <w:p w14:paraId="6B8AE1C3" w14:textId="77777777" w:rsidR="007B253F" w:rsidRPr="00B259AD" w:rsidRDefault="007B253F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Náhrada skutečně vynaložených nákladů</w:t>
      </w:r>
    </w:p>
    <w:p w14:paraId="4A03E662" w14:textId="6B916719" w:rsidR="007B253F" w:rsidRPr="00B259AD" w:rsidRDefault="007B253F" w:rsidP="00B259AD">
      <w:pPr>
        <w:ind w:left="567" w:hanging="567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4.1.</w:t>
      </w:r>
      <w:r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Smluvní strany se dohodly, že členu dozorčí rady náleží náhrada skutečně vynaložených nákladů spojených s výkonem funkce člena dozorčí rady, především nákladů na reprezentaci v souladu </w:t>
      </w:r>
      <w:r w:rsidR="00AD6DFD">
        <w:rPr>
          <w:rFonts w:asciiTheme="minorHAnsi" w:hAnsiTheme="minorHAnsi" w:cstheme="minorHAnsi"/>
          <w:bCs/>
          <w:i/>
          <w:iCs/>
          <w:sz w:val="22"/>
          <w:szCs w:val="22"/>
        </w:rPr>
        <w:br/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 platnými a účinnými právními předpisy České republiky, vnitřními dokumenty Společnosti </w:t>
      </w:r>
      <w:r w:rsidR="00AD6DFD">
        <w:rPr>
          <w:rFonts w:asciiTheme="minorHAnsi" w:hAnsiTheme="minorHAnsi" w:cstheme="minorHAnsi"/>
          <w:bCs/>
          <w:i/>
          <w:iCs/>
          <w:sz w:val="22"/>
          <w:szCs w:val="22"/>
        </w:rPr>
        <w:br/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a touto Smlouvou.</w:t>
      </w:r>
    </w:p>
    <w:p w14:paraId="12AA10DA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7" w:name="_Toc266738525"/>
      <w:bookmarkStart w:id="8" w:name="_Toc266738526"/>
      <w:bookmarkStart w:id="9" w:name="_Ref307478995"/>
      <w:bookmarkStart w:id="10" w:name="_Ref341804063"/>
      <w:bookmarkEnd w:id="2"/>
      <w:bookmarkEnd w:id="3"/>
      <w:bookmarkEnd w:id="7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Mlčenlivost</w:t>
      </w:r>
      <w:bookmarkEnd w:id="8"/>
      <w:bookmarkEnd w:id="9"/>
      <w:bookmarkEnd w:id="10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2155271B" w14:textId="442D1561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z žádného důvodu nesdělí žádné třetí osobě ani nepoužije ve prospěch svůj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či třetí osoby v žádné podobě jakékoli informace, o nichž ví nebo by se mohl rozumně domnívat, že jsou důvěrné, jak je definováno v odst. </w:t>
      </w:r>
      <w:r w:rsidR="008F1B40" w:rsidRPr="00B259AD">
        <w:rPr>
          <w:rFonts w:asciiTheme="minorHAnsi" w:hAnsiTheme="minorHAnsi" w:cstheme="minorHAnsi"/>
          <w:b w:val="0"/>
          <w:sz w:val="22"/>
          <w:szCs w:val="22"/>
        </w:rPr>
        <w:t>5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.2. níže, pokud k tomu nezíská předchozí písemný souhlas jediného akcionáře Společnosti.</w:t>
      </w:r>
    </w:p>
    <w:p w14:paraId="5AC9FB38" w14:textId="2217AE75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1" w:name="_Ref534618312"/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Za důvěrné informace se považují veškeré technické, obchodní a finanční informace související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s podnikatelskou činností Společnosti, včetně zejména informací týkajících se tvorby cen, nákladů, systémů a metod Společnosti, systémů, metod a údajů v oblasti zpracování dat, odbytu, odhadů a plánů, informací o zaměstnancích a dalších informací, postupů (mechanických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či jiných), vývoje, vzorců, vynálezů, ochranných známek a autorských práv, se kterými přišel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B259AD">
        <w:rPr>
          <w:rFonts w:asciiTheme="minorHAnsi" w:hAnsiTheme="minorHAnsi" w:cstheme="minorHAnsi"/>
          <w:b w:val="0"/>
          <w:sz w:val="22"/>
          <w:szCs w:val="22"/>
        </w:rPr>
        <w:t>do styku v souvislosti s výkonem své funkce člena dozorčí rady. Důvěrné informace pro účely této Smlouvy dále zahrnují veškeré informace obsažené v této Smlouvě a nezahrnují informace, které jsou již veřejně dostupné.</w:t>
      </w:r>
      <w:bookmarkEnd w:id="11"/>
    </w:p>
    <w:p w14:paraId="11B766F8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lastRenderedPageBreak/>
        <w:t>Povinnost mlčenlivosti platí i po ukončení výkonu funkce člena dozorčí rady Společnosti.</w:t>
      </w:r>
    </w:p>
    <w:p w14:paraId="43F5E07B" w14:textId="018C7B5A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se zavazuje podniknout taková preventivní opatření, aby obchodní tajemství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B259AD">
        <w:rPr>
          <w:rFonts w:asciiTheme="minorHAnsi" w:hAnsiTheme="minorHAnsi" w:cstheme="minorHAnsi"/>
          <w:b w:val="0"/>
          <w:sz w:val="22"/>
          <w:szCs w:val="22"/>
        </w:rPr>
        <w:t>a důvěrné informace Společnosti nebyly sděleny třetím osobám.</w:t>
      </w:r>
    </w:p>
    <w:p w14:paraId="4AB1A4DA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Porušením jakékoliv povinnosti uvedené v tomto článku není předání nebo zpřístupnění jakékoliv informace v rámci běžného obchodního styku Společnosti, nebo v případech, kdy zveřejnění ukládá zákon.</w:t>
      </w:r>
    </w:p>
    <w:p w14:paraId="1C0E14B1" w14:textId="1F0F20F7" w:rsidR="00572B64" w:rsidRPr="00B259AD" w:rsidRDefault="00572B64" w:rsidP="00B259AD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12" w:name="_Toc266738527"/>
      <w:bookmarkStart w:id="13" w:name="_Toc266738529"/>
      <w:bookmarkEnd w:id="12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Ostatní povinnosti Člena dozorčí rady</w:t>
      </w:r>
    </w:p>
    <w:p w14:paraId="633C8771" w14:textId="0564DA14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V případě ukončení výkonu funkce Člen dozorčí rady protokolárně předá Společnosti veškeré pracovní podklady včetně všech věcí svěřených mu Společností v souvislosti s výkonem funkce, stejně jako veškeré písemnosti a jiné záznamy týkající se Společnosti a její činnosti, které má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Pr="00B259AD">
        <w:rPr>
          <w:rFonts w:asciiTheme="minorHAnsi" w:hAnsiTheme="minorHAnsi" w:cstheme="minorHAnsi"/>
          <w:b w:val="0"/>
          <w:sz w:val="22"/>
          <w:szCs w:val="22"/>
        </w:rPr>
        <w:t>v dispozici.</w:t>
      </w:r>
    </w:p>
    <w:p w14:paraId="2424DC49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 je povinen bezodkladně informovat Společnost o ztrátě způsobilosti k výkonu funkce, ať už v plném rozsahu nebo jen částečně.</w:t>
      </w:r>
    </w:p>
    <w:p w14:paraId="35239504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Ochrana osobních údajů</w:t>
      </w:r>
    </w:p>
    <w:p w14:paraId="311892A5" w14:textId="3B0DE8D6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</w:t>
      </w:r>
      <w:r w:rsidR="00D079E2" w:rsidRPr="00B259AD">
        <w:rPr>
          <w:rFonts w:asciiTheme="minorHAnsi" w:hAnsiTheme="minorHAnsi" w:cstheme="minorHAnsi"/>
          <w:b w:val="0"/>
          <w:sz w:val="22"/>
          <w:szCs w:val="22"/>
        </w:rPr>
        <w:t>bere na vědomí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, že Společnost bude uchovávat a zpracovávat osobní údaje poskytnuté v souvislosti s výkonem funkce včetně jména, příjmení, data narození, rodného čísla, bydliště a údajů o vzdělání a jeho pracovních výsledcích ve funkci, osobním statutu a odměnách, které se mu ročně skutečně vyplatí (dále jen "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daje").</w:t>
      </w:r>
    </w:p>
    <w:p w14:paraId="16BE95C4" w14:textId="4D3764A0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Společnost je oprávněna použít 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daje za účelem evidence činností Člena dozorčí rady podle této Smlouvy. Společnost je oprávněna užít 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daje a výsledky jejich zpracování pouze pro vnitřní účely, není však oprávněna údaje poskytnout třetím osobám s výjimkou případů, kdy je taková povinnost stanovena zákonem.</w:t>
      </w:r>
    </w:p>
    <w:p w14:paraId="2884412B" w14:textId="10417FE3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má právo na přístup k 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dajům, jejich opravu a likvidaci v souladu s platnými předpisy a zavazuje se Společnost bez zbytečného odkladu informovat o jakékoli změně těchto údajů.</w:t>
      </w:r>
    </w:p>
    <w:bookmarkEnd w:id="13"/>
    <w:p w14:paraId="74C4D49A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Trvání a účinnost Smlouvy</w:t>
      </w:r>
    </w:p>
    <w:p w14:paraId="64D75266" w14:textId="078198AE" w:rsidR="00A31611" w:rsidRPr="00B259AD" w:rsidRDefault="00A31611" w:rsidP="00B259AD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Tato smlouva nabývá platnosti </w:t>
      </w:r>
      <w:r w:rsidR="00B259AD"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 účinnosti </w:t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dnem jejího oboustranného podpisu</w:t>
      </w:r>
      <w:r w:rsid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</w:t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Uzavřením této smlouvy se ruší případná předchozí smlouva o výkonu funkce.</w:t>
      </w:r>
    </w:p>
    <w:p w14:paraId="7B349291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4" w:name="_Toc381016703"/>
      <w:bookmarkStart w:id="15" w:name="_Toc381204481"/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Tato Smlouva zaniká se zánikem funkce Člena dozorčí rady, a to z jakéhokoli důvodu, s výjimkou ustanovení článku </w:t>
      </w:r>
      <w:r w:rsidR="00DE0EE3" w:rsidRPr="00B259AD">
        <w:rPr>
          <w:rFonts w:asciiTheme="minorHAnsi" w:hAnsiTheme="minorHAnsi" w:cstheme="minorHAnsi"/>
          <w:b w:val="0"/>
          <w:sz w:val="22"/>
          <w:szCs w:val="22"/>
        </w:rPr>
        <w:t>5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. této Smlouvy, který zůstává v platnosti i po zániku této Smlouvy.</w:t>
      </w:r>
    </w:p>
    <w:p w14:paraId="2AE7D00B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Před zánikem funkce Člena dozorčí rady může být tato Smlouva změněna či ukončena pouze dohodou Smluvních stran.</w:t>
      </w:r>
      <w:bookmarkStart w:id="16" w:name="_Toc266738530"/>
      <w:bookmarkEnd w:id="14"/>
      <w:bookmarkEnd w:id="15"/>
    </w:p>
    <w:p w14:paraId="1A250A25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Závěrečná ustanovení</w:t>
      </w:r>
      <w:bookmarkEnd w:id="16"/>
    </w:p>
    <w:p w14:paraId="1A02E03F" w14:textId="090EF575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Tato Smlouva se řídí právními předpisy České republiky. Všechny vztahy, které nejsou v této Smlouvě výslovně upraveny, se řídí příslušnými ustanoveními zákona č. 90/2012 Sb., </w:t>
      </w:r>
      <w:r w:rsidR="00AD6DFD">
        <w:rPr>
          <w:rFonts w:asciiTheme="minorHAnsi" w:hAnsiTheme="minorHAnsi" w:cstheme="minorHAnsi"/>
          <w:b w:val="0"/>
          <w:sz w:val="22"/>
          <w:szCs w:val="22"/>
        </w:rPr>
        <w:br/>
      </w:r>
      <w:r w:rsidR="00A31611" w:rsidRPr="00B259AD">
        <w:rPr>
          <w:rFonts w:asciiTheme="minorHAnsi" w:hAnsiTheme="minorHAnsi" w:cstheme="minorHAnsi"/>
          <w:b w:val="0"/>
          <w:sz w:val="22"/>
          <w:szCs w:val="22"/>
        </w:rPr>
        <w:t>o obchodních společnostech a družstvech (zákon o obchodních korporacích), ve znění pozdějších předpisů, zákona č. 89/2012 Sb.,</w:t>
      </w:r>
      <w:r w:rsidR="00A31611" w:rsidRPr="00B259AD" w:rsidDel="00A3161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občanského zákoníku</w:t>
      </w:r>
      <w:r w:rsidR="00BC47A4" w:rsidRPr="00B259AD">
        <w:rPr>
          <w:rFonts w:asciiTheme="minorHAnsi" w:hAnsiTheme="minorHAnsi" w:cstheme="minorHAnsi"/>
          <w:b w:val="0"/>
          <w:sz w:val="22"/>
          <w:szCs w:val="22"/>
        </w:rPr>
        <w:t>, ve znění pozdějších předpisů,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 a dalších právních předpisů České republiky.</w:t>
      </w:r>
    </w:p>
    <w:p w14:paraId="7B618A34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Veškeré změny této Smlouvy musí být provedeny písemnými </w:t>
      </w:r>
      <w:r w:rsidR="004C6AEF" w:rsidRPr="00B259AD">
        <w:rPr>
          <w:rFonts w:asciiTheme="minorHAnsi" w:hAnsiTheme="minorHAnsi" w:cstheme="minorHAnsi"/>
          <w:b w:val="0"/>
          <w:sz w:val="22"/>
          <w:szCs w:val="22"/>
        </w:rPr>
        <w:t xml:space="preserve">vzestupně číslovanými 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dodatky podepsanými oběma Smluvními stranami schválenými jediným akcionářem Společnosti.</w:t>
      </w:r>
    </w:p>
    <w:p w14:paraId="67FFEB5E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Stane-li se jakékoli ustanovení této Smlouvy neplatným, nebude to mít vliv na platnost ostatních jejích ustanovení. Smluvní strany se zavazují nahradit jakékoli neplatné ustanovení ustanovením, které bude platné a které se bude co nejvíce blížit ekonomickému cíli, kterého mělo být dosaženo neplatným ustanovením.</w:t>
      </w:r>
    </w:p>
    <w:p w14:paraId="5FF5665D" w14:textId="3AD0DA6F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lastRenderedPageBreak/>
        <w:t>Tato Smlouva byla vyhotovena ve dvou vyhotoveních. Každá ze Smluvních stran obdrží po jednom vyhotovení.</w:t>
      </w:r>
    </w:p>
    <w:p w14:paraId="001AE878" w14:textId="77777777" w:rsidR="00A31611" w:rsidRPr="00B259AD" w:rsidRDefault="00A31611" w:rsidP="00D079E2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2D7C4AB0" w14:textId="77777777" w:rsidR="00A31611" w:rsidRPr="00B259AD" w:rsidRDefault="00A31611" w:rsidP="00D079E2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6AFCE842" w14:textId="4581A61D" w:rsidR="00A31611" w:rsidRPr="00B259AD" w:rsidRDefault="00A31611" w:rsidP="00D079E2">
      <w:pPr>
        <w:pStyle w:val="Odstavecseseznamem"/>
        <w:tabs>
          <w:tab w:val="left" w:pos="3287"/>
        </w:tabs>
        <w:spacing w:before="120" w:after="24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59AD">
        <w:rPr>
          <w:rFonts w:asciiTheme="minorHAnsi" w:hAnsiTheme="minorHAnsi" w:cstheme="minorHAnsi"/>
          <w:bCs/>
          <w:sz w:val="22"/>
          <w:szCs w:val="22"/>
        </w:rPr>
        <w:t>V </w:t>
      </w:r>
      <w:r w:rsidR="009C1C5F">
        <w:rPr>
          <w:rFonts w:asciiTheme="minorHAnsi" w:hAnsiTheme="minorHAnsi" w:cstheme="minorHAnsi"/>
          <w:bCs/>
          <w:sz w:val="22"/>
          <w:szCs w:val="22"/>
        </w:rPr>
        <w:t>Příbrami</w:t>
      </w:r>
      <w:r w:rsidRPr="00B259AD">
        <w:rPr>
          <w:rFonts w:asciiTheme="minorHAnsi" w:hAnsiTheme="minorHAnsi" w:cstheme="minorHAnsi"/>
          <w:bCs/>
          <w:sz w:val="22"/>
          <w:szCs w:val="22"/>
        </w:rPr>
        <w:t xml:space="preserve"> dne </w:t>
      </w:r>
      <w:r w:rsidR="009C1C5F">
        <w:rPr>
          <w:rFonts w:asciiTheme="minorHAnsi" w:hAnsiTheme="minorHAnsi" w:cstheme="minorHAnsi"/>
          <w:bCs/>
          <w:sz w:val="22"/>
          <w:szCs w:val="22"/>
        </w:rPr>
        <w:t>07. 03. 2025</w:t>
      </w:r>
      <w:r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="00D079E2"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="00D079E2"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="00D079E2"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Pr="00B259AD">
        <w:rPr>
          <w:rFonts w:asciiTheme="minorHAnsi" w:hAnsiTheme="minorHAnsi" w:cstheme="minorHAnsi"/>
          <w:bCs/>
          <w:sz w:val="22"/>
          <w:szCs w:val="22"/>
        </w:rPr>
        <w:t>V</w:t>
      </w:r>
      <w:r w:rsidR="009C1C5F">
        <w:rPr>
          <w:rFonts w:asciiTheme="minorHAnsi" w:hAnsiTheme="minorHAnsi" w:cstheme="minorHAnsi"/>
          <w:bCs/>
          <w:sz w:val="22"/>
          <w:szCs w:val="22"/>
        </w:rPr>
        <w:t xml:space="preserve"> Příbrami </w:t>
      </w:r>
      <w:r w:rsidRPr="00B259AD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9C1C5F">
        <w:rPr>
          <w:rFonts w:asciiTheme="minorHAnsi" w:hAnsiTheme="minorHAnsi" w:cstheme="minorHAnsi"/>
          <w:bCs/>
          <w:sz w:val="22"/>
          <w:szCs w:val="22"/>
        </w:rPr>
        <w:t>07. 03. 2025</w:t>
      </w:r>
    </w:p>
    <w:p w14:paraId="03672AFC" w14:textId="77777777" w:rsidR="00A31611" w:rsidRPr="00B259AD" w:rsidRDefault="00A31611" w:rsidP="00D079E2">
      <w:pPr>
        <w:pStyle w:val="Odstavecseseznamem"/>
        <w:tabs>
          <w:tab w:val="left" w:pos="3287"/>
        </w:tabs>
        <w:spacing w:before="120" w:after="24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E8B487" w14:textId="77777777" w:rsidR="00A31611" w:rsidRPr="00B259AD" w:rsidRDefault="00A31611" w:rsidP="00D079E2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62749D" w14:textId="77777777" w:rsidR="00A31611" w:rsidRPr="00B259AD" w:rsidRDefault="00A31611" w:rsidP="00D079E2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206F25" w14:textId="77777777" w:rsidR="00A31611" w:rsidRPr="00B259AD" w:rsidRDefault="00A31611" w:rsidP="00D079E2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455BB9" w14:textId="19CF368A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7" w:name="_Hlk187745427"/>
      <w:r w:rsidRPr="00554BCA">
        <w:rPr>
          <w:rFonts w:asciiTheme="minorHAnsi" w:hAnsiTheme="minorHAnsi" w:cstheme="minorHAnsi"/>
          <w:bCs/>
          <w:sz w:val="22"/>
          <w:szCs w:val="22"/>
        </w:rPr>
        <w:t>Za Společnost: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EB5421">
        <w:rPr>
          <w:rFonts w:asciiTheme="minorHAnsi" w:hAnsiTheme="minorHAnsi" w:cstheme="minorHAnsi"/>
          <w:bCs/>
          <w:sz w:val="22"/>
          <w:szCs w:val="22"/>
        </w:rPr>
        <w:t>Člen dozorčí rady</w:t>
      </w:r>
      <w:r w:rsidRPr="00554BCA">
        <w:rPr>
          <w:rFonts w:asciiTheme="minorHAnsi" w:hAnsiTheme="minorHAnsi" w:cstheme="minorHAnsi"/>
          <w:bCs/>
          <w:sz w:val="22"/>
          <w:szCs w:val="22"/>
        </w:rPr>
        <w:t>:</w:t>
      </w:r>
    </w:p>
    <w:p w14:paraId="79DC8FFC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8CB734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5CF4B9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…………………..………………………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</w:p>
    <w:p w14:paraId="1B2524D7" w14:textId="64D9FD8C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předseda představenstva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</w:r>
      <w:r w:rsidR="007979D8">
        <w:rPr>
          <w:rFonts w:asciiTheme="minorHAnsi" w:hAnsiTheme="minorHAnsi" w:cstheme="minorHAnsi"/>
          <w:bCs/>
          <w:sz w:val="22"/>
          <w:szCs w:val="22"/>
        </w:rPr>
        <w:t xml:space="preserve">Ing. Petr </w:t>
      </w:r>
      <w:proofErr w:type="spellStart"/>
      <w:r w:rsidR="007979D8">
        <w:rPr>
          <w:rFonts w:asciiTheme="minorHAnsi" w:hAnsiTheme="minorHAnsi" w:cstheme="minorHAnsi"/>
          <w:bCs/>
          <w:sz w:val="22"/>
          <w:szCs w:val="22"/>
        </w:rPr>
        <w:t>Digrin</w:t>
      </w:r>
      <w:proofErr w:type="spellEnd"/>
      <w:r w:rsidR="007979D8">
        <w:rPr>
          <w:rFonts w:asciiTheme="minorHAnsi" w:hAnsiTheme="minorHAnsi" w:cstheme="minorHAnsi"/>
          <w:bCs/>
          <w:sz w:val="22"/>
          <w:szCs w:val="22"/>
        </w:rPr>
        <w:t>, PhD.</w:t>
      </w:r>
      <w:r w:rsidRPr="00554BC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B031874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CE1DDD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5C8DB6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B56491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14:paraId="6CE00CA1" w14:textId="155EE26F" w:rsidR="00A97367" w:rsidRPr="0001506D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místopředseda představenstva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</w:p>
    <w:bookmarkEnd w:id="17"/>
    <w:p w14:paraId="6A51635D" w14:textId="77777777" w:rsidR="00A97367" w:rsidRPr="0001506D" w:rsidRDefault="00A97367" w:rsidP="00A9736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C5A7FB" w14:textId="77777777" w:rsidR="00A31611" w:rsidRPr="00B259AD" w:rsidRDefault="00A31611" w:rsidP="00D079E2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43883CA9" w14:textId="77777777" w:rsidR="005A3A17" w:rsidRPr="00B259AD" w:rsidRDefault="005A3A17" w:rsidP="00D079E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5A3A17" w:rsidRPr="00B259A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951AC" w14:textId="77777777" w:rsidR="002603F2" w:rsidRDefault="002603F2">
      <w:r>
        <w:separator/>
      </w:r>
    </w:p>
  </w:endnote>
  <w:endnote w:type="continuationSeparator" w:id="0">
    <w:p w14:paraId="527F414A" w14:textId="77777777" w:rsidR="002603F2" w:rsidRDefault="0026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C669D" w14:textId="77777777" w:rsidR="005A16D6" w:rsidRDefault="005A16D6" w:rsidP="00BB23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199012" w14:textId="77777777" w:rsidR="005A16D6" w:rsidRDefault="005A16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6F80F" w14:textId="77777777" w:rsidR="009425A0" w:rsidRPr="00C94290" w:rsidRDefault="009425A0" w:rsidP="009425A0">
    <w:pPr>
      <w:pStyle w:val="Zpat"/>
      <w:framePr w:wrap="auto" w:vAnchor="text" w:hAnchor="margin" w:xAlign="right" w:y="1"/>
      <w:rPr>
        <w:rStyle w:val="slostrnky"/>
        <w:sz w:val="18"/>
        <w:szCs w:val="18"/>
      </w:rPr>
    </w:pPr>
    <w:r w:rsidRPr="00C94290">
      <w:rPr>
        <w:rStyle w:val="slostrnky"/>
        <w:sz w:val="18"/>
        <w:szCs w:val="18"/>
      </w:rPr>
      <w:t xml:space="preserve">Stránka </w:t>
    </w:r>
    <w:r w:rsidRPr="00C94290">
      <w:rPr>
        <w:rStyle w:val="slostrnky"/>
        <w:sz w:val="18"/>
        <w:szCs w:val="18"/>
      </w:rPr>
      <w:fldChar w:fldCharType="begin"/>
    </w:r>
    <w:r w:rsidRPr="00C94290">
      <w:rPr>
        <w:rStyle w:val="slostrnky"/>
        <w:sz w:val="18"/>
        <w:szCs w:val="18"/>
      </w:rPr>
      <w:instrText xml:space="preserve">PAGE  </w:instrText>
    </w:r>
    <w:r w:rsidRPr="00C94290">
      <w:rPr>
        <w:rStyle w:val="slostrnky"/>
        <w:sz w:val="18"/>
        <w:szCs w:val="18"/>
      </w:rPr>
      <w:fldChar w:fldCharType="separate"/>
    </w:r>
    <w:r w:rsidR="00AD2F9F">
      <w:rPr>
        <w:rStyle w:val="slostrnky"/>
        <w:noProof/>
        <w:sz w:val="18"/>
        <w:szCs w:val="18"/>
      </w:rPr>
      <w:t>2</w:t>
    </w:r>
    <w:r w:rsidRPr="00C94290">
      <w:rPr>
        <w:rStyle w:val="slostrnky"/>
        <w:sz w:val="18"/>
        <w:szCs w:val="18"/>
      </w:rPr>
      <w:fldChar w:fldCharType="end"/>
    </w:r>
    <w:r w:rsidRPr="00C94290">
      <w:rPr>
        <w:rStyle w:val="slostrnky"/>
        <w:sz w:val="18"/>
        <w:szCs w:val="18"/>
      </w:rPr>
      <w:t xml:space="preserve"> z </w:t>
    </w:r>
    <w:r w:rsidR="00922100">
      <w:rPr>
        <w:rStyle w:val="slostrnky"/>
        <w:noProof/>
        <w:sz w:val="18"/>
        <w:szCs w:val="18"/>
      </w:rPr>
      <w:fldChar w:fldCharType="begin"/>
    </w:r>
    <w:r w:rsidR="00922100">
      <w:rPr>
        <w:rStyle w:val="slostrnky"/>
        <w:noProof/>
        <w:sz w:val="18"/>
        <w:szCs w:val="18"/>
      </w:rPr>
      <w:instrText xml:space="preserve"> NUMPAGES  \* Arabic  \* MERGEFORMAT </w:instrText>
    </w:r>
    <w:r w:rsidR="00922100">
      <w:rPr>
        <w:rStyle w:val="slostrnky"/>
        <w:noProof/>
        <w:sz w:val="18"/>
        <w:szCs w:val="18"/>
      </w:rPr>
      <w:fldChar w:fldCharType="separate"/>
    </w:r>
    <w:r w:rsidR="00AD2F9F">
      <w:rPr>
        <w:rStyle w:val="slostrnky"/>
        <w:noProof/>
        <w:sz w:val="18"/>
        <w:szCs w:val="18"/>
      </w:rPr>
      <w:t>3</w:t>
    </w:r>
    <w:r w:rsidR="00922100">
      <w:rPr>
        <w:rStyle w:val="slostrnky"/>
        <w:noProof/>
        <w:sz w:val="18"/>
        <w:szCs w:val="18"/>
      </w:rPr>
      <w:fldChar w:fldCharType="end"/>
    </w:r>
  </w:p>
  <w:p w14:paraId="58870395" w14:textId="77777777" w:rsidR="009425A0" w:rsidRDefault="00942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5BA92" w14:textId="77777777" w:rsidR="002603F2" w:rsidRDefault="002603F2">
      <w:r>
        <w:separator/>
      </w:r>
    </w:p>
  </w:footnote>
  <w:footnote w:type="continuationSeparator" w:id="0">
    <w:p w14:paraId="04FA19EC" w14:textId="77777777" w:rsidR="002603F2" w:rsidRDefault="0026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3DE"/>
    <w:multiLevelType w:val="hybridMultilevel"/>
    <w:tmpl w:val="05AC0E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22C4"/>
    <w:multiLevelType w:val="hybridMultilevel"/>
    <w:tmpl w:val="7E9A37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C1EA3"/>
    <w:multiLevelType w:val="multilevel"/>
    <w:tmpl w:val="ADE22DA8"/>
    <w:lvl w:ilvl="0">
      <w:start w:val="1"/>
      <w:numFmt w:val="ordinal"/>
      <w:lvlText w:val="%1"/>
      <w:lvlJc w:val="left"/>
      <w:pPr>
        <w:tabs>
          <w:tab w:val="num" w:pos="720"/>
        </w:tabs>
      </w:pPr>
      <w:rPr>
        <w:rFonts w:ascii="Verdana" w:hAnsi="Verdana" w:cs="Verdana" w:hint="default"/>
        <w:b/>
        <w:bCs/>
        <w:i w:val="0"/>
        <w:iCs w:val="0"/>
        <w:sz w:val="20"/>
        <w:szCs w:val="20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D8254CD"/>
    <w:multiLevelType w:val="multilevel"/>
    <w:tmpl w:val="0E32E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480AF0"/>
    <w:multiLevelType w:val="hybridMultilevel"/>
    <w:tmpl w:val="9CC0F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00919"/>
    <w:multiLevelType w:val="hybridMultilevel"/>
    <w:tmpl w:val="6D7EE7F4"/>
    <w:lvl w:ilvl="0" w:tplc="32042234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94EBB"/>
    <w:multiLevelType w:val="hybridMultilevel"/>
    <w:tmpl w:val="3C2CC4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E5"/>
    <w:rsid w:val="000209E5"/>
    <w:rsid w:val="000665A2"/>
    <w:rsid w:val="0008730C"/>
    <w:rsid w:val="000C4945"/>
    <w:rsid w:val="000C7794"/>
    <w:rsid w:val="000D1B5C"/>
    <w:rsid w:val="000F0FA3"/>
    <w:rsid w:val="0012059A"/>
    <w:rsid w:val="00133983"/>
    <w:rsid w:val="0014250A"/>
    <w:rsid w:val="00161788"/>
    <w:rsid w:val="00200EDD"/>
    <w:rsid w:val="00220440"/>
    <w:rsid w:val="0022124E"/>
    <w:rsid w:val="002307EF"/>
    <w:rsid w:val="00246EAA"/>
    <w:rsid w:val="002603F2"/>
    <w:rsid w:val="00271FCA"/>
    <w:rsid w:val="002B2C27"/>
    <w:rsid w:val="002C1E79"/>
    <w:rsid w:val="00333574"/>
    <w:rsid w:val="0037710F"/>
    <w:rsid w:val="00386B90"/>
    <w:rsid w:val="00397343"/>
    <w:rsid w:val="003A0DAA"/>
    <w:rsid w:val="003A403A"/>
    <w:rsid w:val="003C2D91"/>
    <w:rsid w:val="003E6A74"/>
    <w:rsid w:val="003F0C6F"/>
    <w:rsid w:val="004250E6"/>
    <w:rsid w:val="00433354"/>
    <w:rsid w:val="0043420F"/>
    <w:rsid w:val="00456FB3"/>
    <w:rsid w:val="0046145E"/>
    <w:rsid w:val="00470E85"/>
    <w:rsid w:val="00474948"/>
    <w:rsid w:val="00480CA4"/>
    <w:rsid w:val="004B3591"/>
    <w:rsid w:val="004C6AEF"/>
    <w:rsid w:val="004F735B"/>
    <w:rsid w:val="0051139B"/>
    <w:rsid w:val="00572B64"/>
    <w:rsid w:val="00595C60"/>
    <w:rsid w:val="005A16D6"/>
    <w:rsid w:val="005A3A17"/>
    <w:rsid w:val="005B2243"/>
    <w:rsid w:val="005D0C42"/>
    <w:rsid w:val="005F3CF0"/>
    <w:rsid w:val="00636EF8"/>
    <w:rsid w:val="00637AC2"/>
    <w:rsid w:val="00644F99"/>
    <w:rsid w:val="00651EFB"/>
    <w:rsid w:val="0066206A"/>
    <w:rsid w:val="00682615"/>
    <w:rsid w:val="00693F5C"/>
    <w:rsid w:val="006F2B4C"/>
    <w:rsid w:val="006F6C3A"/>
    <w:rsid w:val="00704B03"/>
    <w:rsid w:val="00713CF1"/>
    <w:rsid w:val="00714DD5"/>
    <w:rsid w:val="00715E9F"/>
    <w:rsid w:val="00732F31"/>
    <w:rsid w:val="00735434"/>
    <w:rsid w:val="007720CB"/>
    <w:rsid w:val="00772281"/>
    <w:rsid w:val="00780BA7"/>
    <w:rsid w:val="007979D8"/>
    <w:rsid w:val="007B1F95"/>
    <w:rsid w:val="007B253F"/>
    <w:rsid w:val="008523A2"/>
    <w:rsid w:val="008879EB"/>
    <w:rsid w:val="008A1CEE"/>
    <w:rsid w:val="008F1B40"/>
    <w:rsid w:val="00922100"/>
    <w:rsid w:val="009425A0"/>
    <w:rsid w:val="009462F1"/>
    <w:rsid w:val="009C1C5F"/>
    <w:rsid w:val="009D1EF7"/>
    <w:rsid w:val="009E5BB2"/>
    <w:rsid w:val="009F23A6"/>
    <w:rsid w:val="00A31611"/>
    <w:rsid w:val="00A8148B"/>
    <w:rsid w:val="00A94619"/>
    <w:rsid w:val="00A97367"/>
    <w:rsid w:val="00AA273C"/>
    <w:rsid w:val="00AA4F34"/>
    <w:rsid w:val="00AC1079"/>
    <w:rsid w:val="00AC7425"/>
    <w:rsid w:val="00AD2F9F"/>
    <w:rsid w:val="00AD6DFD"/>
    <w:rsid w:val="00AD7671"/>
    <w:rsid w:val="00AE082B"/>
    <w:rsid w:val="00B259AD"/>
    <w:rsid w:val="00B57EE0"/>
    <w:rsid w:val="00B62795"/>
    <w:rsid w:val="00B76FC4"/>
    <w:rsid w:val="00B9071E"/>
    <w:rsid w:val="00BA6DA0"/>
    <w:rsid w:val="00BA74D7"/>
    <w:rsid w:val="00BB2393"/>
    <w:rsid w:val="00BB6009"/>
    <w:rsid w:val="00BC3759"/>
    <w:rsid w:val="00BC3A48"/>
    <w:rsid w:val="00BC47A4"/>
    <w:rsid w:val="00BD21B7"/>
    <w:rsid w:val="00C01D34"/>
    <w:rsid w:val="00C06D12"/>
    <w:rsid w:val="00C1723C"/>
    <w:rsid w:val="00C176A7"/>
    <w:rsid w:val="00C33E64"/>
    <w:rsid w:val="00C512E2"/>
    <w:rsid w:val="00C54D79"/>
    <w:rsid w:val="00C811AB"/>
    <w:rsid w:val="00CE4712"/>
    <w:rsid w:val="00CE789D"/>
    <w:rsid w:val="00D038FE"/>
    <w:rsid w:val="00D079E2"/>
    <w:rsid w:val="00D36739"/>
    <w:rsid w:val="00D67A7A"/>
    <w:rsid w:val="00D96418"/>
    <w:rsid w:val="00DB0744"/>
    <w:rsid w:val="00DB37C1"/>
    <w:rsid w:val="00DE0CAC"/>
    <w:rsid w:val="00DE0EE3"/>
    <w:rsid w:val="00DF6609"/>
    <w:rsid w:val="00E163C5"/>
    <w:rsid w:val="00E20371"/>
    <w:rsid w:val="00E3412F"/>
    <w:rsid w:val="00E35A0A"/>
    <w:rsid w:val="00EA246E"/>
    <w:rsid w:val="00EB5421"/>
    <w:rsid w:val="00EC0F4C"/>
    <w:rsid w:val="00EE039E"/>
    <w:rsid w:val="00F01079"/>
    <w:rsid w:val="00F126A6"/>
    <w:rsid w:val="00F55B40"/>
    <w:rsid w:val="00FA6AA1"/>
    <w:rsid w:val="00FB3E69"/>
    <w:rsid w:val="00FC5637"/>
    <w:rsid w:val="00FD3CE5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781A8"/>
  <w15:docId w15:val="{59B232C3-8AD4-47CF-8E1F-9CBD40B7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789D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72B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A16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5A16D6"/>
  </w:style>
  <w:style w:type="paragraph" w:styleId="Normlnweb">
    <w:name w:val="Normal (Web)"/>
    <w:basedOn w:val="Normln"/>
    <w:rsid w:val="00BB6009"/>
    <w:pPr>
      <w:spacing w:before="100" w:beforeAutospacing="1" w:after="100" w:afterAutospacing="1"/>
    </w:pPr>
  </w:style>
  <w:style w:type="character" w:styleId="Siln">
    <w:name w:val="Strong"/>
    <w:qFormat/>
    <w:rsid w:val="00BB6009"/>
    <w:rPr>
      <w:b/>
      <w:bCs/>
    </w:rPr>
  </w:style>
  <w:style w:type="paragraph" w:styleId="Zkladntext">
    <w:name w:val="Body Text"/>
    <w:basedOn w:val="Normln"/>
    <w:rsid w:val="00BB6009"/>
    <w:pPr>
      <w:jc w:val="both"/>
    </w:pPr>
    <w:rPr>
      <w:sz w:val="20"/>
      <w:szCs w:val="20"/>
    </w:rPr>
  </w:style>
  <w:style w:type="paragraph" w:customStyle="1" w:styleId="msolistparagraph0">
    <w:name w:val="msolistparagraph"/>
    <w:basedOn w:val="Normln"/>
    <w:rsid w:val="00DE0CAC"/>
    <w:pPr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rsid w:val="0066206A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CE789D"/>
    <w:rPr>
      <w:b/>
      <w:sz w:val="24"/>
    </w:rPr>
  </w:style>
  <w:style w:type="paragraph" w:customStyle="1" w:styleId="NormlnIMP">
    <w:name w:val="Normální_IMP"/>
    <w:basedOn w:val="Normln"/>
    <w:rsid w:val="00CE789D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  <w:lang w:eastAsia="en-US"/>
    </w:rPr>
  </w:style>
  <w:style w:type="paragraph" w:customStyle="1" w:styleId="ZkladntextIMP">
    <w:name w:val="Základní text_IMP"/>
    <w:basedOn w:val="NormlnIMP"/>
    <w:rsid w:val="00CE789D"/>
    <w:pPr>
      <w:spacing w:before="120"/>
      <w:jc w:val="both"/>
    </w:pPr>
  </w:style>
  <w:style w:type="paragraph" w:customStyle="1" w:styleId="NADPISCENTR">
    <w:name w:val="NADPIS CENTR"/>
    <w:basedOn w:val="Normln"/>
    <w:rsid w:val="00CE789D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  <w:lang w:eastAsia="en-US"/>
    </w:rPr>
  </w:style>
  <w:style w:type="paragraph" w:styleId="Bezmezer">
    <w:name w:val="No Spacing"/>
    <w:uiPriority w:val="1"/>
    <w:qFormat/>
    <w:rsid w:val="00CE789D"/>
    <w:rPr>
      <w:rFonts w:ascii="Calibri" w:hAnsi="Calibri"/>
      <w:sz w:val="22"/>
      <w:szCs w:val="22"/>
    </w:rPr>
  </w:style>
  <w:style w:type="character" w:customStyle="1" w:styleId="Nadpis2Char">
    <w:name w:val="Nadpis 2 Char"/>
    <w:link w:val="Nadpis2"/>
    <w:uiPriority w:val="99"/>
    <w:rsid w:val="00572B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715E9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15E9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9425A0"/>
    <w:rPr>
      <w:sz w:val="24"/>
      <w:szCs w:val="24"/>
    </w:rPr>
  </w:style>
  <w:style w:type="paragraph" w:styleId="Revize">
    <w:name w:val="Revision"/>
    <w:hidden/>
    <w:uiPriority w:val="99"/>
    <w:semiHidden/>
    <w:rsid w:val="00A3161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1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F6F20A8-2218-49B4-BADC-C9B1AC40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Společnost:</vt:lpstr>
    </vt:vector>
  </TitlesOfParts>
  <Company>NBN</Company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Společnost:</dc:title>
  <dc:creator>OIKT</dc:creator>
  <cp:lastModifiedBy>User</cp:lastModifiedBy>
  <cp:revision>2</cp:revision>
  <cp:lastPrinted>2020-12-22T12:42:00Z</cp:lastPrinted>
  <dcterms:created xsi:type="dcterms:W3CDTF">2025-04-04T12:51:00Z</dcterms:created>
  <dcterms:modified xsi:type="dcterms:W3CDTF">2025-04-04T12:51:00Z</dcterms:modified>
</cp:coreProperties>
</file>