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8680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5F5A5D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2BE895B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14C4F23D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628DD6B0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>
        <w:rPr>
          <w:rFonts w:asciiTheme="minorHAnsi" w:hAnsiTheme="minorHAnsi" w:cstheme="minorHAnsi"/>
          <w:bCs/>
          <w:i/>
          <w:sz w:val="22"/>
          <w:szCs w:val="22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672178B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Rosenbaumem, místopředsedou představenstva </w:t>
      </w:r>
    </w:p>
    <w:p w14:paraId="11FE2822" w14:textId="0B933A8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385FDE">
        <w:rPr>
          <w:rFonts w:asciiTheme="minorHAnsi" w:hAnsiTheme="minorHAnsi" w:cstheme="minorHAnsi"/>
          <w:b/>
          <w:bCs/>
          <w:i/>
          <w:sz w:val="22"/>
          <w:szCs w:val="22"/>
        </w:rPr>
        <w:t>xxxxxxxxxxxxxxx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E5664E9" w14:textId="1B105135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385FDE">
        <w:rPr>
          <w:rFonts w:asciiTheme="minorHAnsi" w:hAnsiTheme="minorHAnsi" w:cstheme="minorHAnsi"/>
          <w:b/>
          <w:bCs/>
          <w:i/>
          <w:sz w:val="22"/>
          <w:szCs w:val="22"/>
        </w:rPr>
        <w:t>xxxxxxxxxxxxxx</w:t>
      </w:r>
      <w:proofErr w:type="spellEnd"/>
    </w:p>
    <w:p w14:paraId="336A2034" w14:textId="21FC9B2B" w:rsidR="00693F5C" w:rsidRPr="00312992" w:rsidRDefault="00693F5C" w:rsidP="00693F5C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  <w:r>
        <w:rPr>
          <w:rFonts w:asciiTheme="minorHAnsi" w:hAnsiTheme="minorHAnsi" w:cstheme="minorHAnsi"/>
          <w:bCs/>
          <w:i/>
          <w:sz w:val="22"/>
          <w:szCs w:val="22"/>
        </w:rPr>
        <w:t>8883</w:t>
      </w:r>
    </w:p>
    <w:p w14:paraId="09623167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7F85D7F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278A9B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2DFD425D" w14:textId="77777777" w:rsidR="00572B64" w:rsidRPr="00B259AD" w:rsidRDefault="00572B64" w:rsidP="00B259AD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7E7AC65" w14:textId="274148CF" w:rsidR="00572B64" w:rsidRPr="00B259AD" w:rsidRDefault="00572B64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Jméno: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 w:rsidRPr="00693F5C">
        <w:rPr>
          <w:rFonts w:asciiTheme="minorHAnsi" w:hAnsiTheme="minorHAnsi" w:cstheme="minorHAnsi"/>
          <w:b/>
          <w:bCs/>
          <w:i/>
          <w:sz w:val="22"/>
          <w:szCs w:val="22"/>
        </w:rPr>
        <w:t>M</w:t>
      </w:r>
      <w:r w:rsidR="00391DA4">
        <w:rPr>
          <w:rFonts w:asciiTheme="minorHAnsi" w:hAnsiTheme="minorHAnsi" w:cstheme="minorHAnsi"/>
          <w:b/>
          <w:bCs/>
          <w:i/>
          <w:sz w:val="22"/>
          <w:szCs w:val="22"/>
        </w:rPr>
        <w:t>gr. Jindřich Havelka</w:t>
      </w:r>
      <w:r w:rsidR="002307EF" w:rsidRPr="00693F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DCD8AE3" w14:textId="12967CC5" w:rsidR="00572B64" w:rsidRPr="00B259AD" w:rsidRDefault="00714DD5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Narozen</w:t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732F31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385FDE">
        <w:rPr>
          <w:rFonts w:asciiTheme="minorHAnsi" w:hAnsiTheme="minorHAnsi" w:cstheme="minorHAnsi"/>
          <w:b/>
          <w:bCs/>
          <w:i/>
          <w:sz w:val="22"/>
          <w:szCs w:val="22"/>
        </w:rPr>
        <w:t>xxxxxxxxxxxxxxx</w:t>
      </w:r>
      <w:proofErr w:type="spellEnd"/>
    </w:p>
    <w:p w14:paraId="11560B65" w14:textId="34FEDA17" w:rsidR="00572B64" w:rsidRPr="00B259AD" w:rsidRDefault="00732F31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Byt</w:t>
      </w:r>
      <w:r w:rsidR="002307EF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em: 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385FDE">
        <w:rPr>
          <w:rFonts w:asciiTheme="minorHAnsi" w:hAnsiTheme="minorHAnsi" w:cstheme="minorHAnsi"/>
          <w:b/>
          <w:bCs/>
          <w:i/>
          <w:sz w:val="22"/>
          <w:szCs w:val="22"/>
        </w:rPr>
        <w:t>xxxxxxxxxxxxxxxxxxxxxxxxxx</w:t>
      </w:r>
      <w:proofErr w:type="spellEnd"/>
    </w:p>
    <w:p w14:paraId="2CFFEED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7B97E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dále též jako „Člen dozorčí rady“ na straně druhé,</w:t>
      </w:r>
    </w:p>
    <w:p w14:paraId="2D808B22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376672FD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56335E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FD86B9" w14:textId="1D648D3F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A31611" w:rsidRPr="00B259AD">
        <w:rPr>
          <w:rFonts w:asciiTheme="minorHAnsi" w:hAnsiTheme="minorHAnsi" w:cstheme="minorHAnsi"/>
          <w:bCs/>
          <w:i/>
          <w:sz w:val="22"/>
          <w:szCs w:val="22"/>
        </w:rPr>
        <w:t>o obchodních společnostech a družstvech (zákon o obchodních korporacích)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5A263E7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8387F6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7A7D6B03" w14:textId="77777777" w:rsidR="00572B64" w:rsidRPr="00693F5C" w:rsidRDefault="00572B64" w:rsidP="00D079E2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693F5C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dozorčí rady</w:t>
      </w:r>
    </w:p>
    <w:p w14:paraId="387F39F1" w14:textId="77777777" w:rsidR="00572B64" w:rsidRPr="00B259AD" w:rsidRDefault="00572B64" w:rsidP="00D079E2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259AD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03DEA31A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23DA0A" w14:textId="77777777" w:rsidR="00572B64" w:rsidRPr="00B259AD" w:rsidRDefault="00572B64" w:rsidP="00B259AD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6D7070F2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0DA9E06A" w14:textId="004E2AE3" w:rsidR="00572B64" w:rsidRPr="00B259AD" w:rsidRDefault="00693F5C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 M</w:t>
      </w:r>
      <w:r w:rsidR="00BD3AF2">
        <w:rPr>
          <w:rFonts w:asciiTheme="minorHAnsi" w:hAnsiTheme="minorHAnsi" w:cstheme="minorHAnsi"/>
          <w:b w:val="0"/>
          <w:sz w:val="22"/>
          <w:szCs w:val="22"/>
        </w:rPr>
        <w:t>gr. Jindřich Havelka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byl zvolen </w:t>
      </w:r>
      <w:r w:rsidR="0012059A" w:rsidRPr="00B259AD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>
        <w:rPr>
          <w:rFonts w:asciiTheme="minorHAnsi" w:hAnsiTheme="minorHAnsi" w:cstheme="minorHAnsi"/>
          <w:b w:val="0"/>
          <w:sz w:val="22"/>
          <w:szCs w:val="22"/>
        </w:rPr>
        <w:t>14. 02. 2025</w:t>
      </w:r>
      <w:r w:rsidR="003C2D91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>do funkce člena dozorčí rady Společnosti,</w:t>
      </w:r>
    </w:p>
    <w:p w14:paraId="4912F695" w14:textId="35704B96" w:rsidR="00572B64" w:rsidRPr="00B259AD" w:rsidRDefault="00572B64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Znění této Smlouvy bylo schváleno rozhodnutím jediného akcionáře Společnosti v působnosti valné hromady ze dne</w:t>
      </w:r>
      <w:r w:rsidR="00693F5C">
        <w:rPr>
          <w:rFonts w:asciiTheme="minorHAnsi" w:hAnsiTheme="minorHAnsi" w:cstheme="minorHAnsi"/>
          <w:b w:val="0"/>
          <w:sz w:val="22"/>
          <w:szCs w:val="22"/>
        </w:rPr>
        <w:t xml:space="preserve"> 13. 02. 2025.</w:t>
      </w:r>
    </w:p>
    <w:p w14:paraId="778A952E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1A8A0ADC" w14:textId="2E91364C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8879EB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lena dozorčí rady</w:t>
      </w:r>
    </w:p>
    <w:p w14:paraId="3CCF6B38" w14:textId="18E4931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Člena dozorčí rady jmenovaného rozhodnutím jediného akcionáře je jediný akcionář oprávněn v souladu se stanovami Společnosti z jeho funkce kdykoliv odvolat; člena dozorčí rady zvoleného zaměstnanci mohou zaměstnanci v souladu se stanovami Společnosti z jeho funkce odvolat; Člen dozorčí </w:t>
      </w:r>
      <w:r w:rsidR="00DF6609" w:rsidRPr="00B259AD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může ze své funkce kdykoliv odstoupit, s výjimkou případů, kdy by náhlé odstoupení </w:t>
      </w:r>
      <w:r w:rsidR="008879EB">
        <w:rPr>
          <w:rFonts w:asciiTheme="minorHAnsi" w:hAnsiTheme="minorHAnsi" w:cstheme="minorHAnsi"/>
          <w:b w:val="0"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lena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7C512040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vykonává svou funkci zpravidla v sídle Společnosti na adrese</w:t>
      </w:r>
      <w:r w:rsidR="003A0DAA" w:rsidRPr="00B259AD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dozorčí rady se zavazuje, že svou funkci bude vykonávat i na jiném místě v závislosti na okolnostech a budou-li to vyžadovat zájmy Společnosti. </w:t>
      </w:r>
    </w:p>
    <w:p w14:paraId="4F4F40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</w:t>
      </w:r>
      <w:bookmarkStart w:id="0" w:name="_Ref266726913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64B3F316" w14:textId="5593B921" w:rsidR="00470E85" w:rsidRPr="008879EB" w:rsidRDefault="00572B64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Člen dozorčí rady se řídí zásadami a pokyny schválenými jediným akcionářem Společnosti, pokud jsou tyto v souladu s právním řádem České republiky. Člen dozorčí rady je dále povinen jednat v souladu s touto Smlouvou a stanovami Společnosti.</w:t>
      </w:r>
      <w:bookmarkEnd w:id="0"/>
    </w:p>
    <w:p w14:paraId="668184F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Vymezení působnosti Člena dozorčí rady</w:t>
      </w:r>
    </w:p>
    <w:p w14:paraId="11D68F6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členem kontrolního orgánu Společnosti. Členové dozorčí rady dohlížejí na výkon působnosti představenstva Společnosti.</w:t>
      </w:r>
    </w:p>
    <w:p w14:paraId="6F4871E7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Do působnosti člena 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4946A50D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Působnost Člena dozorčí rady se dále řídí platnými právními předpisy a stanovami Společnosti.</w:t>
      </w:r>
    </w:p>
    <w:p w14:paraId="3636C08F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Odměna Člena dozorčí rady</w:t>
      </w:r>
    </w:p>
    <w:p w14:paraId="6D8609CF" w14:textId="3426F7B6" w:rsidR="007B253F" w:rsidRPr="005B2243" w:rsidRDefault="007B253F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dozorčí rady náleží za výkon funkce člena </w:t>
      </w:r>
      <w:r w:rsidR="00E35A0A" w:rsidRPr="005B2243">
        <w:rPr>
          <w:rFonts w:asciiTheme="minorHAnsi" w:hAnsiTheme="minorHAnsi" w:cstheme="minorHAnsi"/>
          <w:b w:val="0"/>
          <w:sz w:val="22"/>
          <w:szCs w:val="22"/>
        </w:rPr>
        <w:t xml:space="preserve">dozorčí rady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>Společnosti měsíční odměna ve výši</w:t>
      </w:r>
      <w:r w:rsidR="00385FDE">
        <w:rPr>
          <w:rFonts w:asciiTheme="minorHAnsi" w:hAnsiTheme="minorHAnsi" w:cstheme="minorHAnsi"/>
          <w:b w:val="0"/>
          <w:sz w:val="22"/>
          <w:szCs w:val="22"/>
        </w:rPr>
        <w:t xml:space="preserve"> xxxxxxxx</w:t>
      </w:r>
      <w:bookmarkStart w:id="4" w:name="_GoBack"/>
      <w:bookmarkEnd w:id="4"/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. Měsíční odměna se členu dozorčí rady vyplácí za období počínající </w:t>
      </w:r>
      <w:bookmarkStart w:id="5" w:name="_Hlk188600180"/>
      <w:r w:rsidR="004250E6" w:rsidRPr="005B2243">
        <w:rPr>
          <w:rFonts w:asciiTheme="minorHAnsi" w:hAnsiTheme="minorHAnsi" w:cstheme="minorHAnsi"/>
          <w:b w:val="0"/>
          <w:sz w:val="22"/>
          <w:szCs w:val="22"/>
        </w:rPr>
        <w:t>prvním dnem kalendářního měsíce následujícího po jeho zvolení</w:t>
      </w:r>
      <w:bookmarkEnd w:id="5"/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_Hlk188599547"/>
      <w:r w:rsidRPr="005B2243">
        <w:rPr>
          <w:rFonts w:asciiTheme="minorHAnsi" w:hAnsiTheme="minorHAnsi" w:cstheme="minorHAnsi"/>
          <w:b w:val="0"/>
          <w:sz w:val="22"/>
          <w:szCs w:val="22"/>
        </w:rPr>
        <w:t>do funkce na základě rozhodnutí jediného akcionáře Společnosti v působnosti valné hromady</w:t>
      </w:r>
      <w:bookmarkEnd w:id="6"/>
      <w:r w:rsidR="00D079E2" w:rsidRPr="005B2243">
        <w:rPr>
          <w:rFonts w:asciiTheme="minorHAnsi" w:hAnsiTheme="minorHAnsi" w:cstheme="minorHAnsi"/>
          <w:b w:val="0"/>
          <w:sz w:val="22"/>
          <w:szCs w:val="22"/>
        </w:rPr>
        <w:t>/volby zaměstnanci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a účinnými právními předpisy. Měsíční odměna se Členu dozorčí rady vyplácí bezhotovostním převodem na písemně sdělený bankovní účet Člena dozorčí rady</w:t>
      </w:r>
      <w:r w:rsidR="008879EB" w:rsidRPr="005B22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333E90" w14:textId="20DD1386" w:rsidR="00D038FE" w:rsidRPr="00B259AD" w:rsidRDefault="00C512E2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2E2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 dozorčí rady</w:t>
      </w:r>
      <w:r w:rsidRPr="00C512E2">
        <w:rPr>
          <w:rFonts w:asciiTheme="minorHAnsi" w:hAnsiTheme="minorHAnsi" w:cstheme="minorHAnsi"/>
          <w:b w:val="0"/>
          <w:sz w:val="22"/>
          <w:szCs w:val="22"/>
        </w:rPr>
        <w:t>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AF3F79A" w14:textId="774FC438" w:rsidR="00D038FE" w:rsidRPr="00B259AD" w:rsidRDefault="00D038FE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Společnosti má nárok na měsíční odměnu dle odst. 3.1 za daný kalendářní měsíc pouze v případě, pokud řádně plní své povinnosti člena dozorčí rady Společnosti. </w:t>
      </w:r>
    </w:p>
    <w:p w14:paraId="67601177" w14:textId="37A12AD0" w:rsidR="007B253F" w:rsidRPr="00B259AD" w:rsidRDefault="00D038FE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Další odměny náleží Členu dozorčí rady, pokud jsou schváleny rozhodnutím jediného akcionáře Společnosti.</w:t>
      </w:r>
    </w:p>
    <w:p w14:paraId="6B8AE1C3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4A03E662" w14:textId="77777777" w:rsidR="007B253F" w:rsidRPr="00B259AD" w:rsidRDefault="007B253F" w:rsidP="00B259AD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Smluvní strany se dohodly, že členu dozorčí rady náleží náhrada skutečně vynaložených nákladů spojených s výkonem funkce člena dozorčí rady, především nákladů na reprezentaci v souladu s platnými a účinnými právními předpisy České republiky, vnitřními dokumenty Společnosti a touto Smlouvou.</w:t>
      </w:r>
    </w:p>
    <w:p w14:paraId="12AA10D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7" w:name="_Toc266738525"/>
      <w:bookmarkStart w:id="8" w:name="_Toc266738526"/>
      <w:bookmarkStart w:id="9" w:name="_Ref307478995"/>
      <w:bookmarkStart w:id="10" w:name="_Ref341804063"/>
      <w:bookmarkEnd w:id="2"/>
      <w:bookmarkEnd w:id="3"/>
      <w:bookmarkEnd w:id="7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Mlčenlivost</w:t>
      </w:r>
      <w:bookmarkEnd w:id="8"/>
      <w:bookmarkEnd w:id="9"/>
      <w:bookmarkEnd w:id="10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155271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z žádného důvodu nesdělí žádné třetí osobě ani nepoužije ve prospěch svůj či třetí osoby v žádné podobě jakékoli informace, o nichž ví nebo by se mohl rozumně domnívat, že jsou důvěrné, jak je definováno v odst. </w:t>
      </w:r>
      <w:r w:rsidR="008F1B40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.2. níže, pokud k tomu nezíská předchozí písemný souhlas jediného akcionáře Společnosti.</w:t>
      </w:r>
    </w:p>
    <w:p w14:paraId="5AC9FB3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1" w:name="_Ref534618312"/>
      <w:r w:rsidRPr="00B259AD">
        <w:rPr>
          <w:rFonts w:asciiTheme="minorHAnsi" w:hAnsiTheme="minorHAnsi" w:cstheme="minorHAnsi"/>
          <w:b w:val="0"/>
          <w:sz w:val="22"/>
          <w:szCs w:val="22"/>
        </w:rPr>
        <w:t>Za důvěrné informace se považují veškeré technické, obchodní a finanční informace související 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11"/>
    </w:p>
    <w:p w14:paraId="11B766F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Povinnost mlčenlivosti platí i po ukončení výkonu funkce člena dozorčí rady Společnosti.</w:t>
      </w:r>
    </w:p>
    <w:p w14:paraId="43F5E07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se zavazuje podniknout taková preventivní opatření, aby obchodní tajemství a důvěrné informace Společnosti nebyly sděleny třetím osobám.</w:t>
      </w:r>
    </w:p>
    <w:p w14:paraId="4AB1A4DA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1C0E14B1" w14:textId="1F0F20F7" w:rsidR="00572B64" w:rsidRPr="00B259AD" w:rsidRDefault="00572B64" w:rsidP="00B259AD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2" w:name="_Toc266738527"/>
      <w:bookmarkStart w:id="13" w:name="_Toc266738529"/>
      <w:bookmarkEnd w:id="12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Ostatní povinnosti Člena dozorčí rady</w:t>
      </w:r>
    </w:p>
    <w:p w14:paraId="633C87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V případě ukončení výkonu funkce Člen dozorčí rady protokolárně předá Společnosti veškeré pracovní podklady včetně všech věcí svěřených mu Společností v souvislosti s výkonem funkce, stejně jako veškeré písemnosti a jiné záznamy týkající se Společnosti a její činnosti, které má v dispozici.</w:t>
      </w:r>
    </w:p>
    <w:p w14:paraId="2424DC4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povinen bezodkladně informovat Společnost o ztrátě způsobilosti k výkonu funkce, ať už v plném rozsahu nebo jen částečně.</w:t>
      </w:r>
    </w:p>
    <w:p w14:paraId="35239504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11892A5" w14:textId="3B0DE8D6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</w:t>
      </w:r>
      <w:r w:rsidR="00D079E2" w:rsidRPr="00B259AD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16BE95C4" w14:textId="4D3764A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dozorčí rady podle této Smlouvy. Společnost je oprávněna 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2884412B" w14:textId="10417FE3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má právo na přístup k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3"/>
    <w:p w14:paraId="74C4D49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64D75266" w14:textId="078198AE" w:rsidR="00A31611" w:rsidRPr="00B259AD" w:rsidRDefault="00A31611" w:rsidP="00B259AD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B259AD"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B34929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Toc381016703"/>
      <w:bookmarkStart w:id="15" w:name="_Toc381204481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Člena dozorčí rady, a to z jakéhokoli důvodu, s výjimkou ustanovení článku </w:t>
      </w:r>
      <w:r w:rsidR="00DE0EE3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 této Smlouvy, který zůstává v platnosti i po zániku této Smlouvy.</w:t>
      </w:r>
    </w:p>
    <w:p w14:paraId="2AE7D00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Před zánikem funkce Člena dozorčí rady může být tato Smlouva změněna či ukončena pouze dohodou Smluvních stran.</w:t>
      </w:r>
      <w:bookmarkStart w:id="16" w:name="_Toc266738530"/>
      <w:bookmarkEnd w:id="14"/>
      <w:bookmarkEnd w:id="15"/>
    </w:p>
    <w:p w14:paraId="1A250A2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Závěrečná ustanovení</w:t>
      </w:r>
      <w:bookmarkEnd w:id="16"/>
    </w:p>
    <w:p w14:paraId="1A02E03F" w14:textId="20D231E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A31611" w:rsidRPr="00B259AD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="00A31611" w:rsidRPr="00B259AD" w:rsidDel="00A316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občanského zákoníku</w:t>
      </w:r>
      <w:r w:rsidR="00BC47A4" w:rsidRPr="00B259AD">
        <w:rPr>
          <w:rFonts w:asciiTheme="minorHAnsi" w:hAnsiTheme="minorHAnsi" w:cstheme="minorHAnsi"/>
          <w:b w:val="0"/>
          <w:sz w:val="22"/>
          <w:szCs w:val="22"/>
        </w:rPr>
        <w:t>, ve znění pozdějších předpisů,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7B618A34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4C6AEF" w:rsidRPr="00B259AD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FFEB5E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5FF5665D" w14:textId="3AD0DA6F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Tato Smlouva byla vyhotovena ve dvou vyhotoveních. Každá ze Smluvních stran obdrží po jednom vyhotovení.</w:t>
      </w:r>
    </w:p>
    <w:p w14:paraId="001AE878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7C4AB0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AFCE842" w14:textId="4581A61D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9AD">
        <w:rPr>
          <w:rFonts w:asciiTheme="minorHAnsi" w:hAnsiTheme="minorHAnsi" w:cstheme="minorHAnsi"/>
          <w:bCs/>
          <w:sz w:val="22"/>
          <w:szCs w:val="22"/>
        </w:rPr>
        <w:t>V </w:t>
      </w:r>
      <w:r w:rsidR="009C1C5F">
        <w:rPr>
          <w:rFonts w:asciiTheme="minorHAnsi" w:hAnsiTheme="minorHAnsi" w:cstheme="minorHAnsi"/>
          <w:bCs/>
          <w:sz w:val="22"/>
          <w:szCs w:val="22"/>
        </w:rPr>
        <w:t>Příbrami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  <w:r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sz w:val="22"/>
          <w:szCs w:val="22"/>
        </w:rPr>
        <w:t>V</w:t>
      </w:r>
      <w:r w:rsidR="009C1C5F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</w:p>
    <w:p w14:paraId="03672AFC" w14:textId="77777777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8B487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2749D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206F25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455BB9" w14:textId="19CF368A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7" w:name="_Hlk187745427"/>
      <w:r w:rsidRPr="00554BCA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5421">
        <w:rPr>
          <w:rFonts w:asciiTheme="minorHAnsi" w:hAnsiTheme="minorHAnsi" w:cstheme="minorHAnsi"/>
          <w:bCs/>
          <w:sz w:val="22"/>
          <w:szCs w:val="22"/>
        </w:rPr>
        <w:t>Člen dozorčí rady</w:t>
      </w:r>
      <w:r w:rsidRPr="00554BC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DC8FFC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8CB73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5CF4B9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1B2524D7" w14:textId="6885A3A0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  <w:t>M</w:t>
      </w:r>
      <w:r w:rsidR="005A6D88">
        <w:rPr>
          <w:rFonts w:asciiTheme="minorHAnsi" w:hAnsiTheme="minorHAnsi" w:cstheme="minorHAnsi"/>
          <w:bCs/>
          <w:sz w:val="22"/>
          <w:szCs w:val="22"/>
        </w:rPr>
        <w:t>gr. Jindřich Havelka</w:t>
      </w:r>
    </w:p>
    <w:p w14:paraId="7B03187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CE1DDD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C8DB6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B56491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CE00CA1" w14:textId="155EE26F" w:rsidR="00A97367" w:rsidRPr="0001506D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</w:p>
    <w:bookmarkEnd w:id="17"/>
    <w:p w14:paraId="6A51635D" w14:textId="77777777" w:rsidR="00A97367" w:rsidRPr="0001506D" w:rsidRDefault="00A97367" w:rsidP="00A9736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5A7FB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3883CA9" w14:textId="77777777" w:rsidR="005A3A17" w:rsidRPr="00B259AD" w:rsidRDefault="005A3A17" w:rsidP="00D079E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3A17" w:rsidRPr="00B259A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32EA" w14:textId="77777777" w:rsidR="00FC7160" w:rsidRDefault="00FC7160">
      <w:r>
        <w:separator/>
      </w:r>
    </w:p>
  </w:endnote>
  <w:endnote w:type="continuationSeparator" w:id="0">
    <w:p w14:paraId="218E5301" w14:textId="77777777" w:rsidR="00FC7160" w:rsidRDefault="00FC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669D" w14:textId="77777777" w:rsidR="005A16D6" w:rsidRDefault="005A16D6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99012" w14:textId="77777777" w:rsidR="005A16D6" w:rsidRDefault="005A1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F80F" w14:textId="77777777" w:rsidR="009425A0" w:rsidRPr="00C94290" w:rsidRDefault="009425A0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2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922100">
      <w:rPr>
        <w:rStyle w:val="slostrnky"/>
        <w:noProof/>
        <w:sz w:val="18"/>
        <w:szCs w:val="18"/>
      </w:rPr>
      <w:fldChar w:fldCharType="begin"/>
    </w:r>
    <w:r w:rsidR="00922100">
      <w:rPr>
        <w:rStyle w:val="slostrnky"/>
        <w:noProof/>
        <w:sz w:val="18"/>
        <w:szCs w:val="18"/>
      </w:rPr>
      <w:instrText xml:space="preserve"> NUMPAGES  \* Arabic  \* MERGEFORMAT </w:instrText>
    </w:r>
    <w:r w:rsidR="00922100">
      <w:rPr>
        <w:rStyle w:val="slostrnky"/>
        <w:noProof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3</w:t>
    </w:r>
    <w:r w:rsidR="00922100">
      <w:rPr>
        <w:rStyle w:val="slostrnky"/>
        <w:noProof/>
        <w:sz w:val="18"/>
        <w:szCs w:val="18"/>
      </w:rPr>
      <w:fldChar w:fldCharType="end"/>
    </w:r>
  </w:p>
  <w:p w14:paraId="58870395" w14:textId="77777777" w:rsidR="009425A0" w:rsidRDefault="0094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92890" w14:textId="77777777" w:rsidR="00FC7160" w:rsidRDefault="00FC7160">
      <w:r>
        <w:separator/>
      </w:r>
    </w:p>
  </w:footnote>
  <w:footnote w:type="continuationSeparator" w:id="0">
    <w:p w14:paraId="4D00661A" w14:textId="77777777" w:rsidR="00FC7160" w:rsidRDefault="00FC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DE"/>
    <w:multiLevelType w:val="hybridMultilevel"/>
    <w:tmpl w:val="05AC0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2C4"/>
    <w:multiLevelType w:val="hybridMultilevel"/>
    <w:tmpl w:val="7E9A3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8254CD"/>
    <w:multiLevelType w:val="multilevel"/>
    <w:tmpl w:val="0E32E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480AF0"/>
    <w:multiLevelType w:val="hybridMultilevel"/>
    <w:tmpl w:val="9CC0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EBB"/>
    <w:multiLevelType w:val="hybridMultilevel"/>
    <w:tmpl w:val="3C2CC4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E5"/>
    <w:rsid w:val="000209E5"/>
    <w:rsid w:val="000665A2"/>
    <w:rsid w:val="0008730C"/>
    <w:rsid w:val="000C4945"/>
    <w:rsid w:val="000C7794"/>
    <w:rsid w:val="000D1B5C"/>
    <w:rsid w:val="000F0FA3"/>
    <w:rsid w:val="0012059A"/>
    <w:rsid w:val="00133983"/>
    <w:rsid w:val="0014250A"/>
    <w:rsid w:val="00161788"/>
    <w:rsid w:val="001F53D4"/>
    <w:rsid w:val="00200EDD"/>
    <w:rsid w:val="00220440"/>
    <w:rsid w:val="0022124E"/>
    <w:rsid w:val="002307EF"/>
    <w:rsid w:val="00246EAA"/>
    <w:rsid w:val="00271FCA"/>
    <w:rsid w:val="002B2C27"/>
    <w:rsid w:val="002C1E79"/>
    <w:rsid w:val="00333574"/>
    <w:rsid w:val="0037710F"/>
    <w:rsid w:val="00385FDE"/>
    <w:rsid w:val="00386B90"/>
    <w:rsid w:val="00391DA4"/>
    <w:rsid w:val="00397343"/>
    <w:rsid w:val="003A0DAA"/>
    <w:rsid w:val="003A403A"/>
    <w:rsid w:val="003C2D91"/>
    <w:rsid w:val="003E6A74"/>
    <w:rsid w:val="003F0C6F"/>
    <w:rsid w:val="004250E6"/>
    <w:rsid w:val="00433354"/>
    <w:rsid w:val="0043420F"/>
    <w:rsid w:val="00456FB3"/>
    <w:rsid w:val="0046145E"/>
    <w:rsid w:val="00470E85"/>
    <w:rsid w:val="00480CA4"/>
    <w:rsid w:val="004B3591"/>
    <w:rsid w:val="004C6AEF"/>
    <w:rsid w:val="004F735B"/>
    <w:rsid w:val="0051139B"/>
    <w:rsid w:val="00572B64"/>
    <w:rsid w:val="00595C60"/>
    <w:rsid w:val="005A16D6"/>
    <w:rsid w:val="005A3A17"/>
    <w:rsid w:val="005A6D88"/>
    <w:rsid w:val="005B2243"/>
    <w:rsid w:val="005D0C42"/>
    <w:rsid w:val="005F3CF0"/>
    <w:rsid w:val="00636EF8"/>
    <w:rsid w:val="00637AC2"/>
    <w:rsid w:val="00644F99"/>
    <w:rsid w:val="00651EFB"/>
    <w:rsid w:val="0066206A"/>
    <w:rsid w:val="00682615"/>
    <w:rsid w:val="00693F5C"/>
    <w:rsid w:val="006F2B4C"/>
    <w:rsid w:val="006F6C3A"/>
    <w:rsid w:val="00704B03"/>
    <w:rsid w:val="00713CF1"/>
    <w:rsid w:val="00714DD5"/>
    <w:rsid w:val="00715E9F"/>
    <w:rsid w:val="00732F31"/>
    <w:rsid w:val="00735434"/>
    <w:rsid w:val="007720CB"/>
    <w:rsid w:val="00772281"/>
    <w:rsid w:val="00780BA7"/>
    <w:rsid w:val="007B1F95"/>
    <w:rsid w:val="007B253F"/>
    <w:rsid w:val="008523A2"/>
    <w:rsid w:val="008879EB"/>
    <w:rsid w:val="008A1CEE"/>
    <w:rsid w:val="008F1B40"/>
    <w:rsid w:val="00922100"/>
    <w:rsid w:val="009425A0"/>
    <w:rsid w:val="009462F1"/>
    <w:rsid w:val="009C1C5F"/>
    <w:rsid w:val="009D1EF7"/>
    <w:rsid w:val="009E5BB2"/>
    <w:rsid w:val="009F23A6"/>
    <w:rsid w:val="00A31611"/>
    <w:rsid w:val="00A8148B"/>
    <w:rsid w:val="00A94619"/>
    <w:rsid w:val="00A97367"/>
    <w:rsid w:val="00AA273C"/>
    <w:rsid w:val="00AA4F34"/>
    <w:rsid w:val="00AC1079"/>
    <w:rsid w:val="00AD2F9F"/>
    <w:rsid w:val="00AD7671"/>
    <w:rsid w:val="00AE082B"/>
    <w:rsid w:val="00B259AD"/>
    <w:rsid w:val="00B57EE0"/>
    <w:rsid w:val="00B62795"/>
    <w:rsid w:val="00B76FC4"/>
    <w:rsid w:val="00B9071E"/>
    <w:rsid w:val="00BA6DA0"/>
    <w:rsid w:val="00BA74D7"/>
    <w:rsid w:val="00BB2393"/>
    <w:rsid w:val="00BB6009"/>
    <w:rsid w:val="00BC3759"/>
    <w:rsid w:val="00BC3A48"/>
    <w:rsid w:val="00BC47A4"/>
    <w:rsid w:val="00BD21B7"/>
    <w:rsid w:val="00BD3AF2"/>
    <w:rsid w:val="00C01D34"/>
    <w:rsid w:val="00C06D12"/>
    <w:rsid w:val="00C1723C"/>
    <w:rsid w:val="00C176A7"/>
    <w:rsid w:val="00C33E64"/>
    <w:rsid w:val="00C512E2"/>
    <w:rsid w:val="00C54D79"/>
    <w:rsid w:val="00C811AB"/>
    <w:rsid w:val="00CE4712"/>
    <w:rsid w:val="00CE789D"/>
    <w:rsid w:val="00D038FE"/>
    <w:rsid w:val="00D079E2"/>
    <w:rsid w:val="00D36739"/>
    <w:rsid w:val="00D67A7A"/>
    <w:rsid w:val="00D96418"/>
    <w:rsid w:val="00DB37C1"/>
    <w:rsid w:val="00DE0CAC"/>
    <w:rsid w:val="00DE0EE3"/>
    <w:rsid w:val="00DF6609"/>
    <w:rsid w:val="00E163C5"/>
    <w:rsid w:val="00E20371"/>
    <w:rsid w:val="00E3412F"/>
    <w:rsid w:val="00E35A0A"/>
    <w:rsid w:val="00EA246E"/>
    <w:rsid w:val="00EB5421"/>
    <w:rsid w:val="00EC0F4C"/>
    <w:rsid w:val="00EE039E"/>
    <w:rsid w:val="00F01079"/>
    <w:rsid w:val="00F126A6"/>
    <w:rsid w:val="00F55B40"/>
    <w:rsid w:val="00FB3E69"/>
    <w:rsid w:val="00FC5637"/>
    <w:rsid w:val="00FC7160"/>
    <w:rsid w:val="00FD3CE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781A8"/>
  <w15:docId w15:val="{59B232C3-8AD4-47CF-8E1F-9CBD40B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789D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A16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A16D6"/>
  </w:style>
  <w:style w:type="paragraph" w:styleId="Normlnweb">
    <w:name w:val="Normal (Web)"/>
    <w:basedOn w:val="Normln"/>
    <w:rsid w:val="00BB6009"/>
    <w:pPr>
      <w:spacing w:before="100" w:beforeAutospacing="1" w:after="100" w:afterAutospacing="1"/>
    </w:pPr>
  </w:style>
  <w:style w:type="character" w:styleId="Siln">
    <w:name w:val="Strong"/>
    <w:qFormat/>
    <w:rsid w:val="00BB6009"/>
    <w:rPr>
      <w:b/>
      <w:bCs/>
    </w:rPr>
  </w:style>
  <w:style w:type="paragraph" w:styleId="Zkladntext">
    <w:name w:val="Body Text"/>
    <w:basedOn w:val="Normln"/>
    <w:rsid w:val="00BB6009"/>
    <w:pPr>
      <w:jc w:val="both"/>
    </w:pPr>
    <w:rPr>
      <w:sz w:val="20"/>
      <w:szCs w:val="20"/>
    </w:rPr>
  </w:style>
  <w:style w:type="paragraph" w:customStyle="1" w:styleId="msolistparagraph0">
    <w:name w:val="msolistparagraph"/>
    <w:basedOn w:val="Normln"/>
    <w:rsid w:val="00DE0CAC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66206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CE789D"/>
    <w:rPr>
      <w:b/>
      <w:sz w:val="24"/>
    </w:rPr>
  </w:style>
  <w:style w:type="paragraph" w:customStyle="1" w:styleId="NormlnIMP">
    <w:name w:val="Normální_IMP"/>
    <w:basedOn w:val="Normln"/>
    <w:rsid w:val="00CE789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en-US"/>
    </w:rPr>
  </w:style>
  <w:style w:type="paragraph" w:customStyle="1" w:styleId="ZkladntextIMP">
    <w:name w:val="Základní text_IMP"/>
    <w:basedOn w:val="NormlnIMP"/>
    <w:rsid w:val="00CE789D"/>
    <w:pPr>
      <w:spacing w:before="120"/>
      <w:jc w:val="both"/>
    </w:pPr>
  </w:style>
  <w:style w:type="paragraph" w:customStyle="1" w:styleId="NADPISCENTR">
    <w:name w:val="NADPIS CENTR"/>
    <w:basedOn w:val="Normln"/>
    <w:rsid w:val="00CE789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  <w:lang w:eastAsia="en-US"/>
    </w:rPr>
  </w:style>
  <w:style w:type="paragraph" w:styleId="Bezmezer">
    <w:name w:val="No Spacing"/>
    <w:uiPriority w:val="1"/>
    <w:qFormat/>
    <w:rsid w:val="00CE789D"/>
    <w:rPr>
      <w:rFonts w:ascii="Calibri" w:hAnsi="Calibri"/>
      <w:sz w:val="22"/>
      <w:szCs w:val="22"/>
    </w:rPr>
  </w:style>
  <w:style w:type="character" w:customStyle="1" w:styleId="Nadpis2Char">
    <w:name w:val="Nadpis 2 Char"/>
    <w:link w:val="Nadpis2"/>
    <w:uiPriority w:val="99"/>
    <w:rsid w:val="00572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715E9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5E9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425A0"/>
    <w:rPr>
      <w:sz w:val="24"/>
      <w:szCs w:val="24"/>
    </w:rPr>
  </w:style>
  <w:style w:type="paragraph" w:styleId="Revize">
    <w:name w:val="Revision"/>
    <w:hidden/>
    <w:uiPriority w:val="99"/>
    <w:semiHidden/>
    <w:rsid w:val="00A3161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54B3B52-C879-4604-BC03-C45AA01C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NBN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creator>OIKT</dc:creator>
  <cp:lastModifiedBy>User</cp:lastModifiedBy>
  <cp:revision>2</cp:revision>
  <cp:lastPrinted>2020-12-22T12:42:00Z</cp:lastPrinted>
  <dcterms:created xsi:type="dcterms:W3CDTF">2025-04-04T13:00:00Z</dcterms:created>
  <dcterms:modified xsi:type="dcterms:W3CDTF">2025-04-04T13:00:00Z</dcterms:modified>
</cp:coreProperties>
</file>