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58680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Společnost:</w:t>
      </w:r>
      <w:r w:rsidRPr="00312992" w:rsidDel="0078365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Oblastní nemocnice Příbram, a.s.</w:t>
      </w:r>
    </w:p>
    <w:p w14:paraId="35F5A5DB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IČ: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27085031</w:t>
      </w:r>
    </w:p>
    <w:p w14:paraId="2BE895BB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DIČ: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CZ28085031</w:t>
      </w:r>
    </w:p>
    <w:p w14:paraId="14C4F23D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Gen. R. Tesaříka 80, 261 01 Příbram</w:t>
      </w:r>
    </w:p>
    <w:p w14:paraId="628DD6B0" w14:textId="77777777" w:rsidR="00693F5C" w:rsidRPr="000010D6" w:rsidRDefault="00693F5C" w:rsidP="00693F5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Zastoupená</w:t>
      </w:r>
      <w:r>
        <w:rPr>
          <w:rFonts w:asciiTheme="minorHAnsi" w:hAnsiTheme="minorHAnsi" w:cstheme="minorHAnsi"/>
          <w:bCs/>
          <w:i/>
          <w:sz w:val="22"/>
          <w:szCs w:val="22"/>
        </w:rPr>
        <w:t>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MUDr. Stanislavem Holobradou, předsedou představenstva </w:t>
      </w:r>
    </w:p>
    <w:p w14:paraId="7672178B" w14:textId="77777777" w:rsidR="00693F5C" w:rsidRPr="000010D6" w:rsidRDefault="00693F5C" w:rsidP="00693F5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  <w:t>Bc. Vít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Rosenbaumem, místopředsedou představenstva </w:t>
      </w:r>
    </w:p>
    <w:p w14:paraId="11FE2822" w14:textId="616FC476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Bankovní spojení: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2E58C6">
        <w:rPr>
          <w:rFonts w:asciiTheme="minorHAnsi" w:hAnsiTheme="minorHAnsi" w:cstheme="minorHAnsi"/>
          <w:b/>
          <w:bCs/>
          <w:i/>
          <w:sz w:val="22"/>
          <w:szCs w:val="22"/>
        </w:rPr>
        <w:t>xxxxxxxxxxxxxxxxxx</w:t>
      </w:r>
      <w:proofErr w:type="spellEnd"/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5E5664E9" w14:textId="4428D294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2E58C6">
        <w:rPr>
          <w:rFonts w:asciiTheme="minorHAnsi" w:hAnsiTheme="minorHAnsi" w:cstheme="minorHAnsi"/>
          <w:b/>
          <w:bCs/>
          <w:i/>
          <w:sz w:val="22"/>
          <w:szCs w:val="22"/>
        </w:rPr>
        <w:t>xxxxxxxxxxxxxxxxx</w:t>
      </w:r>
      <w:proofErr w:type="spellEnd"/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336A2034" w14:textId="21FC9B2B" w:rsidR="00693F5C" w:rsidRPr="00312992" w:rsidRDefault="00693F5C" w:rsidP="00693F5C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Zapsaná v obchodním rejstříku Městského soudu, oddíl B, vložka </w:t>
      </w:r>
      <w:r>
        <w:rPr>
          <w:rFonts w:asciiTheme="minorHAnsi" w:hAnsiTheme="minorHAnsi" w:cstheme="minorHAnsi"/>
          <w:bCs/>
          <w:i/>
          <w:sz w:val="22"/>
          <w:szCs w:val="22"/>
        </w:rPr>
        <w:t>8883</w:t>
      </w:r>
    </w:p>
    <w:p w14:paraId="09623167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dále též jako „Společnost“ na straně jedné,</w:t>
      </w:r>
    </w:p>
    <w:p w14:paraId="07F85D7F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E278A9B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a</w:t>
      </w:r>
    </w:p>
    <w:p w14:paraId="2DFD425D" w14:textId="77777777" w:rsidR="00572B64" w:rsidRPr="00B259AD" w:rsidRDefault="00572B64" w:rsidP="00B259AD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7E7AC65" w14:textId="125537AE" w:rsidR="00572B64" w:rsidRPr="00B259AD" w:rsidRDefault="00572B64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Jméno:</w:t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257C24">
        <w:rPr>
          <w:rFonts w:asciiTheme="minorHAnsi" w:hAnsiTheme="minorHAnsi" w:cstheme="minorHAnsi"/>
          <w:b/>
          <w:bCs/>
          <w:i/>
          <w:sz w:val="22"/>
          <w:szCs w:val="22"/>
        </w:rPr>
        <w:t>Bc. Ludmila Nováčková</w:t>
      </w:r>
      <w:r w:rsidR="002307EF" w:rsidRPr="00E879B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C1723C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3DCD8AE3" w14:textId="370A638C" w:rsidR="00572B64" w:rsidRPr="00B259AD" w:rsidRDefault="00714DD5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Narozen</w:t>
      </w:r>
      <w:r w:rsidR="00572B64" w:rsidRPr="00B259AD">
        <w:rPr>
          <w:rFonts w:asciiTheme="minorHAnsi" w:hAnsiTheme="minorHAnsi" w:cstheme="minorHAnsi"/>
          <w:bCs/>
          <w:i/>
          <w:sz w:val="22"/>
          <w:szCs w:val="22"/>
        </w:rPr>
        <w:t>:</w:t>
      </w:r>
      <w:r w:rsidR="00732F31"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C1723C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572B64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2E58C6">
        <w:rPr>
          <w:rFonts w:asciiTheme="minorHAnsi" w:hAnsiTheme="minorHAnsi" w:cstheme="minorHAnsi"/>
          <w:b/>
          <w:bCs/>
          <w:i/>
          <w:sz w:val="22"/>
          <w:szCs w:val="22"/>
        </w:rPr>
        <w:t>xxxxxxx</w:t>
      </w:r>
      <w:proofErr w:type="spellEnd"/>
    </w:p>
    <w:p w14:paraId="11560B65" w14:textId="1E333A6A" w:rsidR="00572B64" w:rsidRPr="00B259AD" w:rsidRDefault="00732F31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Byt</w:t>
      </w:r>
      <w:r w:rsidR="002307EF"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em: </w:t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2E58C6">
        <w:rPr>
          <w:rFonts w:asciiTheme="minorHAnsi" w:hAnsiTheme="minorHAnsi" w:cstheme="minorHAnsi"/>
          <w:b/>
          <w:bCs/>
          <w:i/>
          <w:sz w:val="22"/>
          <w:szCs w:val="22"/>
        </w:rPr>
        <w:t>xxxxxxxxxxxxxxxxxxxx</w:t>
      </w:r>
      <w:proofErr w:type="spellEnd"/>
    </w:p>
    <w:p w14:paraId="2CFFEEDE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17B97EE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dále též jako „Člen dozorčí rady“ na straně druhé,</w:t>
      </w:r>
    </w:p>
    <w:p w14:paraId="2D808B22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společně též jako „Smluvní strany“</w:t>
      </w:r>
    </w:p>
    <w:p w14:paraId="376672FD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056335E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5FD86B9" w14:textId="4ACC2336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se níže uvedeného dne, měsíce a roku dohodli v souladu s ustanovením § 59 zákona č. 90/2012 Sb., </w:t>
      </w:r>
      <w:r w:rsidR="00AD6DFD">
        <w:rPr>
          <w:rFonts w:asciiTheme="minorHAnsi" w:hAnsiTheme="minorHAnsi" w:cstheme="minorHAnsi"/>
          <w:bCs/>
          <w:i/>
          <w:sz w:val="22"/>
          <w:szCs w:val="22"/>
        </w:rPr>
        <w:br/>
      </w:r>
      <w:r w:rsidR="00A31611" w:rsidRPr="00B259AD">
        <w:rPr>
          <w:rFonts w:asciiTheme="minorHAnsi" w:hAnsiTheme="minorHAnsi" w:cstheme="minorHAnsi"/>
          <w:bCs/>
          <w:i/>
          <w:sz w:val="22"/>
          <w:szCs w:val="22"/>
        </w:rPr>
        <w:t>o obchodních společnostech a družstvech (zákon o obchodních korporacích)</w:t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>, jak stanoví tato:</w:t>
      </w:r>
    </w:p>
    <w:p w14:paraId="5A263E7F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8387F6F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7A7D6B03" w14:textId="77777777" w:rsidR="00572B64" w:rsidRPr="00693F5C" w:rsidRDefault="00572B64" w:rsidP="00D079E2">
      <w:pPr>
        <w:jc w:val="center"/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</w:pPr>
      <w:r w:rsidRPr="00693F5C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>smlouva o výkonu funkce člena dozorčí rady</w:t>
      </w:r>
    </w:p>
    <w:p w14:paraId="387F39F1" w14:textId="77777777" w:rsidR="00572B64" w:rsidRPr="00B259AD" w:rsidRDefault="00572B64" w:rsidP="00D079E2">
      <w:pPr>
        <w:jc w:val="center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B259AD">
        <w:rPr>
          <w:rFonts w:asciiTheme="minorHAnsi" w:hAnsiTheme="minorHAnsi" w:cstheme="minorHAnsi"/>
          <w:bCs/>
          <w:snapToGrid w:val="0"/>
          <w:sz w:val="22"/>
          <w:szCs w:val="22"/>
        </w:rPr>
        <w:t>dále jen „Smlouva“</w:t>
      </w:r>
    </w:p>
    <w:p w14:paraId="03DEA31A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F23DA0A" w14:textId="77777777" w:rsidR="00572B64" w:rsidRPr="00B259AD" w:rsidRDefault="00572B64" w:rsidP="00B259AD">
      <w:pPr>
        <w:pStyle w:val="Nadpis1"/>
        <w:keepNext w:val="0"/>
        <w:ind w:left="567" w:hanging="56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Preambule</w:t>
      </w:r>
    </w:p>
    <w:p w14:paraId="6D7070F2" w14:textId="77777777" w:rsidR="00572B64" w:rsidRPr="00B259AD" w:rsidRDefault="00572B64" w:rsidP="00D079E2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Vzhledem k tomu, že </w:t>
      </w:r>
    </w:p>
    <w:p w14:paraId="0DA9E06A" w14:textId="65727CD8" w:rsidR="00572B64" w:rsidRPr="00B259AD" w:rsidRDefault="00693F5C" w:rsidP="00D079E2">
      <w:pPr>
        <w:pStyle w:val="Nadpis2"/>
        <w:numPr>
          <w:ilvl w:val="0"/>
          <w:numId w:val="8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Pan</w:t>
      </w:r>
      <w:r w:rsidR="00257C24">
        <w:rPr>
          <w:rFonts w:asciiTheme="minorHAnsi" w:hAnsiTheme="minorHAnsi" w:cstheme="minorHAnsi"/>
          <w:b w:val="0"/>
          <w:sz w:val="22"/>
          <w:szCs w:val="22"/>
        </w:rPr>
        <w:t>í Bc. Ludmila Nováčková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 xml:space="preserve"> byl</w:t>
      </w:r>
      <w:r w:rsidR="00257C24">
        <w:rPr>
          <w:rFonts w:asciiTheme="minorHAnsi" w:hAnsiTheme="minorHAnsi" w:cstheme="minorHAnsi"/>
          <w:b w:val="0"/>
          <w:sz w:val="22"/>
          <w:szCs w:val="22"/>
        </w:rPr>
        <w:t>a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 xml:space="preserve"> zvolen</w:t>
      </w:r>
      <w:r w:rsidR="00257C24">
        <w:rPr>
          <w:rFonts w:asciiTheme="minorHAnsi" w:hAnsiTheme="minorHAnsi" w:cstheme="minorHAnsi"/>
          <w:b w:val="0"/>
          <w:sz w:val="22"/>
          <w:szCs w:val="22"/>
        </w:rPr>
        <w:t>a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2059A" w:rsidRPr="00B259AD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 w:rsidR="003F26A2">
        <w:rPr>
          <w:rFonts w:asciiTheme="minorHAnsi" w:hAnsiTheme="minorHAnsi" w:cstheme="minorHAnsi"/>
          <w:b w:val="0"/>
          <w:sz w:val="22"/>
          <w:szCs w:val="22"/>
        </w:rPr>
        <w:t>13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3F26A2">
        <w:rPr>
          <w:rFonts w:asciiTheme="minorHAnsi" w:hAnsiTheme="minorHAnsi" w:cstheme="minorHAnsi"/>
          <w:b w:val="0"/>
          <w:sz w:val="22"/>
          <w:szCs w:val="22"/>
        </w:rPr>
        <w:t>10</w:t>
      </w:r>
      <w:r>
        <w:rPr>
          <w:rFonts w:asciiTheme="minorHAnsi" w:hAnsiTheme="minorHAnsi" w:cstheme="minorHAnsi"/>
          <w:b w:val="0"/>
          <w:sz w:val="22"/>
          <w:szCs w:val="22"/>
        </w:rPr>
        <w:t>. 202</w:t>
      </w:r>
      <w:r w:rsidR="003F26A2">
        <w:rPr>
          <w:rFonts w:asciiTheme="minorHAnsi" w:hAnsiTheme="minorHAnsi" w:cstheme="minorHAnsi"/>
          <w:b w:val="0"/>
          <w:sz w:val="22"/>
          <w:szCs w:val="22"/>
        </w:rPr>
        <w:t>3</w:t>
      </w:r>
      <w:r w:rsidR="003C2D91" w:rsidRPr="00B259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>do funkce člena dozorčí rady Společnosti,</w:t>
      </w:r>
    </w:p>
    <w:p w14:paraId="4912F695" w14:textId="35704B96" w:rsidR="00572B64" w:rsidRPr="00B259AD" w:rsidRDefault="00572B64" w:rsidP="00D079E2">
      <w:pPr>
        <w:pStyle w:val="Nadpis2"/>
        <w:numPr>
          <w:ilvl w:val="0"/>
          <w:numId w:val="8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Znění této Smlouvy bylo schváleno rozhodnutím jediného akcionáře Společnosti v působnosti valné hromady ze dne</w:t>
      </w:r>
      <w:r w:rsidR="00693F5C">
        <w:rPr>
          <w:rFonts w:asciiTheme="minorHAnsi" w:hAnsiTheme="minorHAnsi" w:cstheme="minorHAnsi"/>
          <w:b w:val="0"/>
          <w:sz w:val="22"/>
          <w:szCs w:val="22"/>
        </w:rPr>
        <w:t xml:space="preserve"> 13. 02. 2025.</w:t>
      </w:r>
    </w:p>
    <w:p w14:paraId="778A952E" w14:textId="77777777" w:rsidR="00572B64" w:rsidRPr="00B259AD" w:rsidRDefault="00572B64" w:rsidP="00D079E2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uzavírají Smluvní strany tuto Smlouvu v následujícím znění:</w:t>
      </w:r>
    </w:p>
    <w:p w14:paraId="1A8A0ADC" w14:textId="2E91364C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 xml:space="preserve">Výkon funkce </w:t>
      </w:r>
      <w:r w:rsidR="008879EB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lena dozorčí rady</w:t>
      </w:r>
    </w:p>
    <w:p w14:paraId="3CCF6B38" w14:textId="18E4931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Člena dozorčí rady jmenovaného rozhodnutím jediného akcionáře je jediný akcionář oprávněn v souladu se stanovami Společnosti z jeho funkce kdykoliv odvolat; člena dozorčí rady zvoleného zaměstnanci mohou zaměstnanci v souladu se stanovami Společnosti z jeho funkce odvolat; Člen dozorčí </w:t>
      </w:r>
      <w:r w:rsidR="00DF6609" w:rsidRPr="00B259AD">
        <w:rPr>
          <w:rFonts w:asciiTheme="minorHAnsi" w:hAnsiTheme="minorHAnsi" w:cstheme="minorHAnsi"/>
          <w:b w:val="0"/>
          <w:sz w:val="22"/>
          <w:szCs w:val="22"/>
        </w:rPr>
        <w:t xml:space="preserve">rady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může ze své funkce kdykoliv odstoupit, s výjimkou případů, kdy by náhlé odstoupení </w:t>
      </w:r>
      <w:r w:rsidR="008879EB">
        <w:rPr>
          <w:rFonts w:asciiTheme="minorHAnsi" w:hAnsiTheme="minorHAnsi" w:cstheme="minorHAnsi"/>
          <w:b w:val="0"/>
          <w:sz w:val="22"/>
          <w:szCs w:val="22"/>
        </w:rPr>
        <w:t>Č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lena dozorčí rady mohlo způsobit Společnosti nepřiměřenou újmu. Právní jednání směřující k odvolání nebo odstoupení mají být uskutečněna v souladu se stanovami Společnosti a právním řádem České republiky. </w:t>
      </w:r>
    </w:p>
    <w:p w14:paraId="7C512040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vykonává svou funkci zpravidla v sídle Společnosti na adrese</w:t>
      </w:r>
      <w:r w:rsidR="003A0DAA" w:rsidRPr="00B259AD">
        <w:rPr>
          <w:rFonts w:asciiTheme="minorHAnsi" w:hAnsiTheme="minorHAnsi" w:cstheme="minorHAnsi"/>
          <w:b w:val="0"/>
          <w:sz w:val="22"/>
          <w:szCs w:val="22"/>
        </w:rPr>
        <w:t xml:space="preserve"> sídla Společnosti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, případně v jiných prostorách Společnosti k tomu určených. Člen dozorčí rady se zavazuje, že svou funkci bude vykonávat i na jiném místě v závislosti na okolnostech a budou-li to vyžadovat zájmy Společnosti. </w:t>
      </w:r>
    </w:p>
    <w:p w14:paraId="4F4F407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</w:t>
      </w:r>
      <w:bookmarkStart w:id="0" w:name="_Ref266726913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 vykonává svou funkci osobně.</w:t>
      </w:r>
    </w:p>
    <w:p w14:paraId="64B3F316" w14:textId="5593B921" w:rsidR="00470E85" w:rsidRPr="008879EB" w:rsidRDefault="00572B64" w:rsidP="00B259AD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Člen dozorčí rady se řídí zásadami a pokyny schválenými jediným akcionářem Společnosti, pokud jsou tyto v souladu s právním řádem České republiky. Člen dozorčí rady je dále povinen jednat v souladu s touto Smlouvou a stanovami Společnosti.</w:t>
      </w:r>
      <w:bookmarkEnd w:id="0"/>
    </w:p>
    <w:p w14:paraId="668184F5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" w:name="_Toc266738514"/>
      <w:bookmarkStart w:id="2" w:name="_Ref66517607"/>
      <w:bookmarkStart w:id="3" w:name="_Toc266738519"/>
      <w:bookmarkEnd w:id="1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Vymezení působnosti Člena dozorčí rady</w:t>
      </w:r>
    </w:p>
    <w:p w14:paraId="11D68F69" w14:textId="146FA6D0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je členem kontrolního orgánu Společnosti. Členové dozorčí rady dohlížejí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>na výkon působnosti představenstva Společnosti.</w:t>
      </w:r>
    </w:p>
    <w:p w14:paraId="6F4871E7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Do působnosti člena dozorčí rady spadá zejména přezkoumávat účetní doklady a zápisy, kontrolovat řádnost jejich vedení, předkládat svá vyjádření jedinému akcionáři, navrhovat jedinému akcionáři potřebná opatření a rozhodovat o udělení souhlasu k úkonům představenstva v případech, kdy to stanoví právní předpisy či stanovy Společnosti.</w:t>
      </w:r>
    </w:p>
    <w:p w14:paraId="4946A50D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Působnost Člena dozorčí rady se dále řídí platnými právními předpisy a stanovami Společnosti.</w:t>
      </w:r>
    </w:p>
    <w:p w14:paraId="3636C08F" w14:textId="77777777" w:rsidR="007B253F" w:rsidRPr="00B259AD" w:rsidRDefault="007B253F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Odměna Člena dozorčí rady</w:t>
      </w:r>
    </w:p>
    <w:p w14:paraId="6D8609CF" w14:textId="1650C73E" w:rsidR="007B253F" w:rsidRPr="005B2243" w:rsidRDefault="007B253F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členu dozorčí rady náleží za výkon funkce člena </w:t>
      </w:r>
      <w:r w:rsidR="00E35A0A" w:rsidRPr="005B2243">
        <w:rPr>
          <w:rFonts w:asciiTheme="minorHAnsi" w:hAnsiTheme="minorHAnsi" w:cstheme="minorHAnsi"/>
          <w:b w:val="0"/>
          <w:sz w:val="22"/>
          <w:szCs w:val="22"/>
        </w:rPr>
        <w:t xml:space="preserve">dozorčí rady 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Společnosti měsíční odměna ve výši </w:t>
      </w:r>
      <w:r w:rsidR="002E58C6">
        <w:rPr>
          <w:rFonts w:asciiTheme="minorHAnsi" w:hAnsiTheme="minorHAnsi" w:cstheme="minorHAnsi"/>
          <w:b w:val="0"/>
          <w:sz w:val="22"/>
          <w:szCs w:val="22"/>
        </w:rPr>
        <w:t>xxxxxxx</w:t>
      </w:r>
      <w:bookmarkStart w:id="4" w:name="_GoBack"/>
      <w:bookmarkEnd w:id="4"/>
      <w:r w:rsidR="009C1C5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Kč. Měsíční odměna se členu dozorčí rady vyplácí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za období počínající </w:t>
      </w:r>
      <w:bookmarkStart w:id="5" w:name="_Hlk188600180"/>
      <w:r w:rsidR="004250E6" w:rsidRPr="005B2243">
        <w:rPr>
          <w:rFonts w:asciiTheme="minorHAnsi" w:hAnsiTheme="minorHAnsi" w:cstheme="minorHAnsi"/>
          <w:b w:val="0"/>
          <w:sz w:val="22"/>
          <w:szCs w:val="22"/>
        </w:rPr>
        <w:t>prvním dnem kalendářního měsíce následujícího po jeho zvolení</w:t>
      </w:r>
      <w:bookmarkEnd w:id="5"/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6" w:name="_Hlk188599547"/>
      <w:r w:rsidRPr="005B2243">
        <w:rPr>
          <w:rFonts w:asciiTheme="minorHAnsi" w:hAnsiTheme="minorHAnsi" w:cstheme="minorHAnsi"/>
          <w:b w:val="0"/>
          <w:sz w:val="22"/>
          <w:szCs w:val="22"/>
        </w:rPr>
        <w:t>do funkce na základě rozhodnutí jediného akcionáře Společnosti v působnosti valné hromady</w:t>
      </w:r>
      <w:bookmarkEnd w:id="6"/>
      <w:r w:rsidR="00D079E2" w:rsidRPr="005B2243">
        <w:rPr>
          <w:rFonts w:asciiTheme="minorHAnsi" w:hAnsiTheme="minorHAnsi" w:cstheme="minorHAnsi"/>
          <w:b w:val="0"/>
          <w:sz w:val="22"/>
          <w:szCs w:val="22"/>
        </w:rPr>
        <w:t>/volby zaměstnanci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 a končící dnem zániku funkce odvoláním nebo odstoupením v souladu s platnými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5B2243">
        <w:rPr>
          <w:rFonts w:asciiTheme="minorHAnsi" w:hAnsiTheme="minorHAnsi" w:cstheme="minorHAnsi"/>
          <w:b w:val="0"/>
          <w:sz w:val="22"/>
          <w:szCs w:val="22"/>
        </w:rPr>
        <w:t>a účinnými právními předpisy. Měsíční odměna se Členu dozorčí rady vyplácí bezhotovostním převodem na písemně sdělený bankovní účet Člena dozorčí rady</w:t>
      </w:r>
      <w:r w:rsidR="008879EB" w:rsidRPr="005B224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A333E90" w14:textId="20DD1386" w:rsidR="00D038FE" w:rsidRPr="00B259AD" w:rsidRDefault="00C512E2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2E2">
        <w:rPr>
          <w:rFonts w:asciiTheme="minorHAnsi" w:hAnsiTheme="minorHAnsi" w:cstheme="minorHAnsi"/>
          <w:b w:val="0"/>
          <w:sz w:val="22"/>
          <w:szCs w:val="22"/>
        </w:rPr>
        <w:t xml:space="preserve">Odměna dle odst. 3.1. nenáleží </w:t>
      </w:r>
      <w:r>
        <w:rPr>
          <w:rFonts w:asciiTheme="minorHAnsi" w:hAnsiTheme="minorHAnsi" w:cstheme="minorHAnsi"/>
          <w:b w:val="0"/>
          <w:sz w:val="22"/>
          <w:szCs w:val="22"/>
        </w:rPr>
        <w:t>členu dozorčí rady</w:t>
      </w:r>
      <w:r w:rsidRPr="00C512E2">
        <w:rPr>
          <w:rFonts w:asciiTheme="minorHAnsi" w:hAnsiTheme="minorHAnsi" w:cstheme="minorHAnsi"/>
          <w:b w:val="0"/>
          <w:sz w:val="22"/>
          <w:szCs w:val="22"/>
        </w:rPr>
        <w:t>, který je současně úředníkem Krajského úřadu Středočeského kraje nebo zastupitelem Středočeského kraje dlouhodobě uvolněným pro výkon své funkce nebo před svým zvolením do funkce člena zastupitelstva nebyl v pracovním poměru, ale vykonává funkci ve stejném rozsahu jako člen zastupitelstva, který je pro výkon funkce uvolněn.</w:t>
      </w:r>
    </w:p>
    <w:p w14:paraId="2AF3F79A" w14:textId="774FC438" w:rsidR="00D038FE" w:rsidRPr="00B259AD" w:rsidRDefault="00D038FE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Společnosti má nárok na měsíční odměnu dle odst. 3.1 za daný kalendářní měsíc pouze v případě, pokud řádně plní své povinnosti člena dozorčí rady Společnosti. </w:t>
      </w:r>
    </w:p>
    <w:p w14:paraId="67601177" w14:textId="37A12AD0" w:rsidR="007B253F" w:rsidRPr="00B259AD" w:rsidRDefault="00D038FE" w:rsidP="00B259AD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Další odměny náleží Členu dozorčí rady, pokud jsou schváleny rozhodnutím jediného akcionáře Společnosti.</w:t>
      </w:r>
    </w:p>
    <w:p w14:paraId="6B8AE1C3" w14:textId="77777777" w:rsidR="007B253F" w:rsidRPr="00B259AD" w:rsidRDefault="007B253F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Náhrada skutečně vynaložených nákladů</w:t>
      </w:r>
    </w:p>
    <w:p w14:paraId="4A03E662" w14:textId="6B916719" w:rsidR="007B253F" w:rsidRPr="00B259AD" w:rsidRDefault="007B253F" w:rsidP="00B259AD">
      <w:pPr>
        <w:ind w:left="567" w:hanging="56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4.1.</w:t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Smluvní strany se dohodly, že členu dozorčí rady náleží náhrada skutečně vynaložených nákladů spojených s výkonem funkce člena dozorčí rady, především nákladů na reprezentaci v souladu </w:t>
      </w:r>
      <w:r w:rsidR="00AD6DFD"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 platnými a účinnými právními předpisy České republiky, vnitřními dokumenty Společnosti </w:t>
      </w:r>
      <w:r w:rsidR="00AD6DFD"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a touto Smlouvou.</w:t>
      </w:r>
    </w:p>
    <w:p w14:paraId="12AA10DA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7" w:name="_Toc266738525"/>
      <w:bookmarkStart w:id="8" w:name="_Toc266738526"/>
      <w:bookmarkStart w:id="9" w:name="_Ref307478995"/>
      <w:bookmarkStart w:id="10" w:name="_Ref341804063"/>
      <w:bookmarkEnd w:id="2"/>
      <w:bookmarkEnd w:id="3"/>
      <w:bookmarkEnd w:id="7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Mlčenlivost</w:t>
      </w:r>
      <w:bookmarkEnd w:id="8"/>
      <w:bookmarkEnd w:id="9"/>
      <w:bookmarkEnd w:id="10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2155271B" w14:textId="442D1561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z žádného důvodu nesdělí žádné třetí osobě ani nepoužije ve prospěch svůj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či třetí osoby v žádné podobě jakékoli informace, o nichž ví nebo by se mohl rozumně domnívat, že jsou důvěrné, jak je definováno v odst. </w:t>
      </w:r>
      <w:r w:rsidR="008F1B40" w:rsidRPr="00B259AD">
        <w:rPr>
          <w:rFonts w:asciiTheme="minorHAnsi" w:hAnsiTheme="minorHAnsi" w:cstheme="minorHAnsi"/>
          <w:b w:val="0"/>
          <w:sz w:val="22"/>
          <w:szCs w:val="22"/>
        </w:rPr>
        <w:t>5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.2. níže, pokud k tomu nezíská předchozí písemný souhlas jediného akcionáře Společnosti.</w:t>
      </w:r>
    </w:p>
    <w:p w14:paraId="5AC9FB38" w14:textId="2217AE7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1" w:name="_Ref534618312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Za důvěrné informace se považují veškeré technické, obchodní a finanční informace související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s podnikatelskou činností Společnosti, včetně zejména informací týkajících se tvorby cen, nákladů, systémů a metod Společnosti, systémů, metod a údajů v oblasti zpracování dat, odbytu, odhadů a plánů, informací o zaměstnancích a dalších informací, postupů (mechanických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či jiných), vývoje, vzorců, vynálezů, ochranných známek a autorských práv, se kterými přišel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>do styku v souvislosti s výkonem své funkce člena dozorčí rady. Důvěrné informace pro účely této Smlouvy dále zahrnují veškeré informace obsažené v této Smlouvě a nezahrnují informace, které jsou již veřejně dostupné.</w:t>
      </w:r>
      <w:bookmarkEnd w:id="11"/>
    </w:p>
    <w:p w14:paraId="11B766F8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Povinnost mlčenlivosti platí i po ukončení výkonu funkce člena dozorčí rady Společnosti.</w:t>
      </w:r>
    </w:p>
    <w:p w14:paraId="43F5E07B" w14:textId="018C7B5A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se zavazuje podniknout taková preventivní opatření, aby obchodní tajemství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>a důvěrné informace Společnosti nebyly sděleny třetím osobám.</w:t>
      </w:r>
    </w:p>
    <w:p w14:paraId="4AB1A4DA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Porušením jakékoliv povinnosti uvedené v tomto článku není předání nebo zpřístupnění jakékoliv informace v rámci běžného obchodního styku Společnosti, nebo v případech, kdy zveřejnění ukládá zákon.</w:t>
      </w:r>
    </w:p>
    <w:p w14:paraId="1C0E14B1" w14:textId="1F0F20F7" w:rsidR="00572B64" w:rsidRPr="00B259AD" w:rsidRDefault="00572B64" w:rsidP="00B259AD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2" w:name="_Toc266738527"/>
      <w:bookmarkStart w:id="13" w:name="_Toc266738529"/>
      <w:bookmarkEnd w:id="12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Ostatní povinnosti Člena dozorčí rady</w:t>
      </w:r>
    </w:p>
    <w:p w14:paraId="633C8771" w14:textId="0564DA14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 případě ukončení výkonu funkce Člen dozorčí rady protokolárně předá Společnosti veškeré pracovní podklady včetně všech věcí svěřených mu Společností v souvislosti s výkonem funkce, stejně jako veškeré písemnosti a jiné záznamy týkající se Společnosti a její činnosti, které má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>v dispozici.</w:t>
      </w:r>
    </w:p>
    <w:p w14:paraId="2424DC49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je povinen bezodkladně informovat Společnost o ztrátě způsobilosti k výkonu funkce, ať už v plném rozsahu nebo jen částečně.</w:t>
      </w:r>
    </w:p>
    <w:p w14:paraId="35239504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Ochrana osobních údajů</w:t>
      </w:r>
    </w:p>
    <w:p w14:paraId="311892A5" w14:textId="3B0DE8D6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</w:t>
      </w:r>
      <w:r w:rsidR="00D079E2" w:rsidRPr="00B259AD">
        <w:rPr>
          <w:rFonts w:asciiTheme="minorHAnsi" w:hAnsiTheme="minorHAnsi" w:cstheme="minorHAnsi"/>
          <w:b w:val="0"/>
          <w:sz w:val="22"/>
          <w:szCs w:val="22"/>
        </w:rPr>
        <w:t>bere na vědomí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, že Společnost bude uchovávat a zpracovávat osobní údaje poskytnuté v souvislosti s výkonem funkce včetně jména, příjmení, data narození, rodného čísla, bydliště a údajů o vzdělání a jeho pracovních výsledcích ve funkci, osobním statutu a odměnách, které se mu ročně skutečně vyplatí (dále jen "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daje").</w:t>
      </w:r>
    </w:p>
    <w:p w14:paraId="16BE95C4" w14:textId="4D3764A0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Společnost je oprávněna použít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daje za účelem evidence činností Člena dozorčí rady podle této Smlouvy. Společnost je oprávněna užít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daje a výsledky jejich zpracování pouze pro vnitřní účely, není však oprávněna údaje poskytnout třetím osobám s výjimkou případů, kdy je taková povinnost stanovena zákonem.</w:t>
      </w:r>
    </w:p>
    <w:p w14:paraId="2884412B" w14:textId="10417FE3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má právo na přístup k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dajům, jejich opravu a likvidaci v souladu s platnými předpisy a zavazuje se Společnost bez zbytečného odkladu informovat o jakékoli změně těchto údajů.</w:t>
      </w:r>
    </w:p>
    <w:bookmarkEnd w:id="13"/>
    <w:p w14:paraId="74C4D49A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Trvání a účinnost Smlouvy</w:t>
      </w:r>
    </w:p>
    <w:p w14:paraId="64D75266" w14:textId="078198AE" w:rsidR="00A31611" w:rsidRPr="00B259AD" w:rsidRDefault="00A31611" w:rsidP="00B259AD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Tato smlouva nabývá platnosti </w:t>
      </w:r>
      <w:r w:rsidR="00B259AD"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účinnosti </w:t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dnem jejího oboustranného podpisu</w:t>
      </w:r>
      <w:r w:rsid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Uzavřením této smlouvy se ruší případná předchozí smlouva o výkonu funkce.</w:t>
      </w:r>
    </w:p>
    <w:p w14:paraId="7B34929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4" w:name="_Toc381016703"/>
      <w:bookmarkStart w:id="15" w:name="_Toc381204481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Tato Smlouva zaniká se zánikem funkce Člena dozorčí rady, a to z jakéhokoli důvodu, s výjimkou ustanovení článku </w:t>
      </w:r>
      <w:r w:rsidR="00DE0EE3" w:rsidRPr="00B259AD">
        <w:rPr>
          <w:rFonts w:asciiTheme="minorHAnsi" w:hAnsiTheme="minorHAnsi" w:cstheme="minorHAnsi"/>
          <w:b w:val="0"/>
          <w:sz w:val="22"/>
          <w:szCs w:val="22"/>
        </w:rPr>
        <w:t>5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. této Smlouvy, který zůstává v platnosti i po zániku této Smlouvy.</w:t>
      </w:r>
    </w:p>
    <w:p w14:paraId="2AE7D00B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Před zánikem funkce Člena dozorčí rady může být tato Smlouva změněna či ukončena pouze dohodou Smluvních stran.</w:t>
      </w:r>
      <w:bookmarkStart w:id="16" w:name="_Toc266738530"/>
      <w:bookmarkEnd w:id="14"/>
      <w:bookmarkEnd w:id="15"/>
    </w:p>
    <w:p w14:paraId="1A250A25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Závěrečná ustanovení</w:t>
      </w:r>
      <w:bookmarkEnd w:id="16"/>
    </w:p>
    <w:p w14:paraId="1A02E03F" w14:textId="090EF57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Tato Smlouva se řídí právními předpisy České republiky. Všechny vztahy, které nejsou v této Smlouvě výslovně upraveny, se řídí příslušnými ustanoveními zákona č. 90/2012 Sb.,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="00A31611" w:rsidRPr="00B259AD">
        <w:rPr>
          <w:rFonts w:asciiTheme="minorHAnsi" w:hAnsiTheme="minorHAnsi" w:cstheme="minorHAnsi"/>
          <w:b w:val="0"/>
          <w:sz w:val="22"/>
          <w:szCs w:val="22"/>
        </w:rPr>
        <w:t>o obchodních společnostech a družstvech (zákon o obchodních korporacích), ve znění pozdějších předpisů, zákona č. 89/2012 Sb.,</w:t>
      </w:r>
      <w:r w:rsidR="00A31611" w:rsidRPr="00B259AD" w:rsidDel="00A316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občanského zákoníku</w:t>
      </w:r>
      <w:r w:rsidR="00BC47A4" w:rsidRPr="00B259AD">
        <w:rPr>
          <w:rFonts w:asciiTheme="minorHAnsi" w:hAnsiTheme="minorHAnsi" w:cstheme="minorHAnsi"/>
          <w:b w:val="0"/>
          <w:sz w:val="22"/>
          <w:szCs w:val="22"/>
        </w:rPr>
        <w:t>, ve znění pozdějších předpisů,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 a dalších právních předpisů České republiky.</w:t>
      </w:r>
    </w:p>
    <w:p w14:paraId="7B618A34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Veškeré změny této Smlouvy musí být provedeny písemnými </w:t>
      </w:r>
      <w:r w:rsidR="004C6AEF" w:rsidRPr="00B259AD">
        <w:rPr>
          <w:rFonts w:asciiTheme="minorHAnsi" w:hAnsiTheme="minorHAnsi" w:cstheme="minorHAnsi"/>
          <w:b w:val="0"/>
          <w:sz w:val="22"/>
          <w:szCs w:val="22"/>
        </w:rPr>
        <w:t xml:space="preserve">vzestupně číslovanými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dodatky podepsanými oběma Smluvními stranami schválenými jediným akcionářem Společnosti.</w:t>
      </w:r>
    </w:p>
    <w:p w14:paraId="67FFEB5E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Stane-li se jakékoli ustanovení této Smlouvy neplatným, nebude to mít vliv na platnost ostatních jejích ustanovení. Smluvní strany se zavazují nahradit jakékoli neplatné ustanovení ustanovením, které bude platné a které se bude co nejvíce blížit ekonomickému cíli, kterého mělo být dosaženo neplatným ustanovením.</w:t>
      </w:r>
    </w:p>
    <w:p w14:paraId="5FF5665D" w14:textId="3AD0DA6F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Tato Smlouva byla vyhotovena ve dvou vyhotoveních. Každá ze Smluvních stran obdrží po jednom vyhotovení.</w:t>
      </w:r>
    </w:p>
    <w:p w14:paraId="001AE878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D7C4AB0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6AFCE842" w14:textId="4581A61D" w:rsidR="00A31611" w:rsidRPr="00B259AD" w:rsidRDefault="00A31611" w:rsidP="00D079E2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59AD">
        <w:rPr>
          <w:rFonts w:asciiTheme="minorHAnsi" w:hAnsiTheme="minorHAnsi" w:cstheme="minorHAnsi"/>
          <w:bCs/>
          <w:sz w:val="22"/>
          <w:szCs w:val="22"/>
        </w:rPr>
        <w:t>V </w:t>
      </w:r>
      <w:r w:rsidR="009C1C5F">
        <w:rPr>
          <w:rFonts w:asciiTheme="minorHAnsi" w:hAnsiTheme="minorHAnsi" w:cstheme="minorHAnsi"/>
          <w:bCs/>
          <w:sz w:val="22"/>
          <w:szCs w:val="22"/>
        </w:rPr>
        <w:t>Příbrami</w:t>
      </w:r>
      <w:r w:rsidRPr="00B259AD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="009C1C5F">
        <w:rPr>
          <w:rFonts w:asciiTheme="minorHAnsi" w:hAnsiTheme="minorHAnsi" w:cstheme="minorHAnsi"/>
          <w:bCs/>
          <w:sz w:val="22"/>
          <w:szCs w:val="22"/>
        </w:rPr>
        <w:t>07. 03. 2025</w:t>
      </w:r>
      <w:r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sz w:val="22"/>
          <w:szCs w:val="22"/>
        </w:rPr>
        <w:t>V</w:t>
      </w:r>
      <w:r w:rsidR="009C1C5F">
        <w:rPr>
          <w:rFonts w:asciiTheme="minorHAnsi" w:hAnsiTheme="minorHAnsi" w:cstheme="minorHAnsi"/>
          <w:bCs/>
          <w:sz w:val="22"/>
          <w:szCs w:val="22"/>
        </w:rPr>
        <w:t xml:space="preserve"> Příbrami </w:t>
      </w:r>
      <w:r w:rsidRPr="00B259AD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9C1C5F">
        <w:rPr>
          <w:rFonts w:asciiTheme="minorHAnsi" w:hAnsiTheme="minorHAnsi" w:cstheme="minorHAnsi"/>
          <w:bCs/>
          <w:sz w:val="22"/>
          <w:szCs w:val="22"/>
        </w:rPr>
        <w:t>07. 03. 2025</w:t>
      </w:r>
    </w:p>
    <w:p w14:paraId="03672AFC" w14:textId="77777777" w:rsidR="00A31611" w:rsidRPr="00B259AD" w:rsidRDefault="00A31611" w:rsidP="00D079E2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E8B487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2749D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206F25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455BB9" w14:textId="19CF368A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7" w:name="_Hlk187745427"/>
      <w:r w:rsidRPr="00554BCA">
        <w:rPr>
          <w:rFonts w:asciiTheme="minorHAnsi" w:hAnsiTheme="minorHAnsi" w:cstheme="minorHAnsi"/>
          <w:bCs/>
          <w:sz w:val="22"/>
          <w:szCs w:val="22"/>
        </w:rPr>
        <w:t>Za Společnost: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B5421">
        <w:rPr>
          <w:rFonts w:asciiTheme="minorHAnsi" w:hAnsiTheme="minorHAnsi" w:cstheme="minorHAnsi"/>
          <w:bCs/>
          <w:sz w:val="22"/>
          <w:szCs w:val="22"/>
        </w:rPr>
        <w:t>Člen dozorčí rady</w:t>
      </w:r>
      <w:r w:rsidRPr="00554BCA">
        <w:rPr>
          <w:rFonts w:asciiTheme="minorHAnsi" w:hAnsiTheme="minorHAnsi" w:cstheme="minorHAnsi"/>
          <w:bCs/>
          <w:sz w:val="22"/>
          <w:szCs w:val="22"/>
        </w:rPr>
        <w:t>:</w:t>
      </w:r>
    </w:p>
    <w:p w14:paraId="79DC8FFC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8CB734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5CF4B9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…………………..………………………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14:paraId="1B2524D7" w14:textId="3B16200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816F1E">
        <w:rPr>
          <w:rFonts w:asciiTheme="minorHAnsi" w:hAnsiTheme="minorHAnsi" w:cstheme="minorHAnsi"/>
          <w:bCs/>
          <w:sz w:val="22"/>
          <w:szCs w:val="22"/>
        </w:rPr>
        <w:t>Bc. Ludmila Nováčková</w:t>
      </w:r>
      <w:r w:rsidRPr="00554BC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B031874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CE1DDD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5C8DB6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B56491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14:paraId="6CE00CA1" w14:textId="155EE26F" w:rsidR="00A97367" w:rsidRPr="0001506D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místopředseda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</w:p>
    <w:bookmarkEnd w:id="17"/>
    <w:p w14:paraId="6A51635D" w14:textId="77777777" w:rsidR="00A97367" w:rsidRPr="0001506D" w:rsidRDefault="00A97367" w:rsidP="00A9736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C5A7FB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43883CA9" w14:textId="77777777" w:rsidR="005A3A17" w:rsidRPr="00B259AD" w:rsidRDefault="005A3A17" w:rsidP="00D079E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A3A17" w:rsidRPr="00B259A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F35DA" w14:textId="77777777" w:rsidR="00E13F53" w:rsidRDefault="00E13F53">
      <w:r>
        <w:separator/>
      </w:r>
    </w:p>
  </w:endnote>
  <w:endnote w:type="continuationSeparator" w:id="0">
    <w:p w14:paraId="5C4AD25C" w14:textId="77777777" w:rsidR="00E13F53" w:rsidRDefault="00E1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C669D" w14:textId="77777777" w:rsidR="005A16D6" w:rsidRDefault="005A16D6" w:rsidP="00BB23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199012" w14:textId="77777777" w:rsidR="005A16D6" w:rsidRDefault="005A16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F80F" w14:textId="77777777" w:rsidR="009425A0" w:rsidRPr="00C94290" w:rsidRDefault="009425A0" w:rsidP="009425A0">
    <w:pPr>
      <w:pStyle w:val="Zpat"/>
      <w:framePr w:wrap="auto" w:vAnchor="text" w:hAnchor="margin" w:xAlign="right" w:y="1"/>
      <w:rPr>
        <w:rStyle w:val="slostrnky"/>
        <w:sz w:val="18"/>
        <w:szCs w:val="18"/>
      </w:rPr>
    </w:pPr>
    <w:r w:rsidRPr="00C94290">
      <w:rPr>
        <w:rStyle w:val="slostrnky"/>
        <w:sz w:val="18"/>
        <w:szCs w:val="18"/>
      </w:rPr>
      <w:t xml:space="preserve">Stránka </w:t>
    </w:r>
    <w:r w:rsidRPr="00C94290">
      <w:rPr>
        <w:rStyle w:val="slostrnky"/>
        <w:sz w:val="18"/>
        <w:szCs w:val="18"/>
      </w:rPr>
      <w:fldChar w:fldCharType="begin"/>
    </w:r>
    <w:r w:rsidRPr="00C94290">
      <w:rPr>
        <w:rStyle w:val="slostrnky"/>
        <w:sz w:val="18"/>
        <w:szCs w:val="18"/>
      </w:rPr>
      <w:instrText xml:space="preserve">PAGE  </w:instrText>
    </w:r>
    <w:r w:rsidRPr="00C94290">
      <w:rPr>
        <w:rStyle w:val="slostrnky"/>
        <w:sz w:val="18"/>
        <w:szCs w:val="18"/>
      </w:rPr>
      <w:fldChar w:fldCharType="separate"/>
    </w:r>
    <w:r w:rsidR="00AD2F9F">
      <w:rPr>
        <w:rStyle w:val="slostrnky"/>
        <w:noProof/>
        <w:sz w:val="18"/>
        <w:szCs w:val="18"/>
      </w:rPr>
      <w:t>2</w:t>
    </w:r>
    <w:r w:rsidRPr="00C94290">
      <w:rPr>
        <w:rStyle w:val="slostrnky"/>
        <w:sz w:val="18"/>
        <w:szCs w:val="18"/>
      </w:rPr>
      <w:fldChar w:fldCharType="end"/>
    </w:r>
    <w:r w:rsidRPr="00C94290">
      <w:rPr>
        <w:rStyle w:val="slostrnky"/>
        <w:sz w:val="18"/>
        <w:szCs w:val="18"/>
      </w:rPr>
      <w:t xml:space="preserve"> z </w:t>
    </w:r>
    <w:r w:rsidR="00922100">
      <w:rPr>
        <w:rStyle w:val="slostrnky"/>
        <w:noProof/>
        <w:sz w:val="18"/>
        <w:szCs w:val="18"/>
      </w:rPr>
      <w:fldChar w:fldCharType="begin"/>
    </w:r>
    <w:r w:rsidR="00922100">
      <w:rPr>
        <w:rStyle w:val="slostrnky"/>
        <w:noProof/>
        <w:sz w:val="18"/>
        <w:szCs w:val="18"/>
      </w:rPr>
      <w:instrText xml:space="preserve"> NUMPAGES  \* Arabic  \* MERGEFORMAT </w:instrText>
    </w:r>
    <w:r w:rsidR="00922100">
      <w:rPr>
        <w:rStyle w:val="slostrnky"/>
        <w:noProof/>
        <w:sz w:val="18"/>
        <w:szCs w:val="18"/>
      </w:rPr>
      <w:fldChar w:fldCharType="separate"/>
    </w:r>
    <w:r w:rsidR="00AD2F9F">
      <w:rPr>
        <w:rStyle w:val="slostrnky"/>
        <w:noProof/>
        <w:sz w:val="18"/>
        <w:szCs w:val="18"/>
      </w:rPr>
      <w:t>3</w:t>
    </w:r>
    <w:r w:rsidR="00922100">
      <w:rPr>
        <w:rStyle w:val="slostrnky"/>
        <w:noProof/>
        <w:sz w:val="18"/>
        <w:szCs w:val="18"/>
      </w:rPr>
      <w:fldChar w:fldCharType="end"/>
    </w:r>
  </w:p>
  <w:p w14:paraId="58870395" w14:textId="77777777" w:rsidR="009425A0" w:rsidRDefault="00942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A6494" w14:textId="77777777" w:rsidR="00E13F53" w:rsidRDefault="00E13F53">
      <w:r>
        <w:separator/>
      </w:r>
    </w:p>
  </w:footnote>
  <w:footnote w:type="continuationSeparator" w:id="0">
    <w:p w14:paraId="3D9A88C3" w14:textId="77777777" w:rsidR="00E13F53" w:rsidRDefault="00E1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3DE"/>
    <w:multiLevelType w:val="hybridMultilevel"/>
    <w:tmpl w:val="05AC0E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2C4"/>
    <w:multiLevelType w:val="hybridMultilevel"/>
    <w:tmpl w:val="7E9A3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1EA3"/>
    <w:multiLevelType w:val="multilevel"/>
    <w:tmpl w:val="ADE22DA8"/>
    <w:lvl w:ilvl="0">
      <w:start w:val="1"/>
      <w:numFmt w:val="ordinal"/>
      <w:lvlText w:val="%1"/>
      <w:lvlJc w:val="left"/>
      <w:pPr>
        <w:tabs>
          <w:tab w:val="num" w:pos="720"/>
        </w:tabs>
      </w:pPr>
      <w:rPr>
        <w:rFonts w:ascii="Verdana" w:hAnsi="Verdana" w:cs="Verdana" w:hint="default"/>
        <w:b/>
        <w:bCs/>
        <w:i w:val="0"/>
        <w:iCs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D8254CD"/>
    <w:multiLevelType w:val="multilevel"/>
    <w:tmpl w:val="0E32E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480AF0"/>
    <w:multiLevelType w:val="hybridMultilevel"/>
    <w:tmpl w:val="9CC0F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919"/>
    <w:multiLevelType w:val="hybridMultilevel"/>
    <w:tmpl w:val="6D7EE7F4"/>
    <w:lvl w:ilvl="0" w:tplc="32042234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94EBB"/>
    <w:multiLevelType w:val="hybridMultilevel"/>
    <w:tmpl w:val="3C2CC4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E5"/>
    <w:rsid w:val="000209E5"/>
    <w:rsid w:val="000665A2"/>
    <w:rsid w:val="0008730C"/>
    <w:rsid w:val="000C4945"/>
    <w:rsid w:val="000C7794"/>
    <w:rsid w:val="000D1B5C"/>
    <w:rsid w:val="000F0FA3"/>
    <w:rsid w:val="0012059A"/>
    <w:rsid w:val="00133983"/>
    <w:rsid w:val="0014250A"/>
    <w:rsid w:val="00161788"/>
    <w:rsid w:val="00200EDD"/>
    <w:rsid w:val="00220440"/>
    <w:rsid w:val="0022124E"/>
    <w:rsid w:val="002307EF"/>
    <w:rsid w:val="00246EAA"/>
    <w:rsid w:val="00257C24"/>
    <w:rsid w:val="002603F2"/>
    <w:rsid w:val="00271FCA"/>
    <w:rsid w:val="002B2C27"/>
    <w:rsid w:val="002C1E79"/>
    <w:rsid w:val="002E58C6"/>
    <w:rsid w:val="00333574"/>
    <w:rsid w:val="0037710F"/>
    <w:rsid w:val="00386B90"/>
    <w:rsid w:val="00397343"/>
    <w:rsid w:val="003A0DAA"/>
    <w:rsid w:val="003A403A"/>
    <w:rsid w:val="003C2D91"/>
    <w:rsid w:val="003E6A74"/>
    <w:rsid w:val="003F0C6F"/>
    <w:rsid w:val="003F26A2"/>
    <w:rsid w:val="004250E6"/>
    <w:rsid w:val="00433354"/>
    <w:rsid w:val="0043420F"/>
    <w:rsid w:val="00456FB3"/>
    <w:rsid w:val="0046145E"/>
    <w:rsid w:val="00470E85"/>
    <w:rsid w:val="00480CA4"/>
    <w:rsid w:val="004B3591"/>
    <w:rsid w:val="004C6AEF"/>
    <w:rsid w:val="004F735B"/>
    <w:rsid w:val="0051139B"/>
    <w:rsid w:val="00572B64"/>
    <w:rsid w:val="00595C60"/>
    <w:rsid w:val="005A16D6"/>
    <w:rsid w:val="005A3A17"/>
    <w:rsid w:val="005B2243"/>
    <w:rsid w:val="005D0C42"/>
    <w:rsid w:val="005F3CF0"/>
    <w:rsid w:val="00636EF8"/>
    <w:rsid w:val="00637AC2"/>
    <w:rsid w:val="00644F99"/>
    <w:rsid w:val="00651EFB"/>
    <w:rsid w:val="0066206A"/>
    <w:rsid w:val="00682615"/>
    <w:rsid w:val="00693F5C"/>
    <w:rsid w:val="006F2B4C"/>
    <w:rsid w:val="006F6C3A"/>
    <w:rsid w:val="00704B03"/>
    <w:rsid w:val="00713CF1"/>
    <w:rsid w:val="00714DD5"/>
    <w:rsid w:val="00715E9F"/>
    <w:rsid w:val="00732F31"/>
    <w:rsid w:val="00735434"/>
    <w:rsid w:val="007720CB"/>
    <w:rsid w:val="00772281"/>
    <w:rsid w:val="00780BA7"/>
    <w:rsid w:val="007911AA"/>
    <w:rsid w:val="007979D8"/>
    <w:rsid w:val="007B1F95"/>
    <w:rsid w:val="007B253F"/>
    <w:rsid w:val="008165A0"/>
    <w:rsid w:val="00816F1E"/>
    <w:rsid w:val="008523A2"/>
    <w:rsid w:val="008879EB"/>
    <w:rsid w:val="008A1CEE"/>
    <w:rsid w:val="008F1B40"/>
    <w:rsid w:val="00922100"/>
    <w:rsid w:val="009425A0"/>
    <w:rsid w:val="009462F1"/>
    <w:rsid w:val="009C1C5F"/>
    <w:rsid w:val="009D1EF7"/>
    <w:rsid w:val="009E5BB2"/>
    <w:rsid w:val="009F23A6"/>
    <w:rsid w:val="00A31611"/>
    <w:rsid w:val="00A8148B"/>
    <w:rsid w:val="00A94619"/>
    <w:rsid w:val="00A97367"/>
    <w:rsid w:val="00AA273C"/>
    <w:rsid w:val="00AA4F34"/>
    <w:rsid w:val="00AC1079"/>
    <w:rsid w:val="00AD2F9F"/>
    <w:rsid w:val="00AD6DFD"/>
    <w:rsid w:val="00AD7671"/>
    <w:rsid w:val="00AE082B"/>
    <w:rsid w:val="00B259AD"/>
    <w:rsid w:val="00B57EE0"/>
    <w:rsid w:val="00B62795"/>
    <w:rsid w:val="00B76FC4"/>
    <w:rsid w:val="00B9071E"/>
    <w:rsid w:val="00BA6DA0"/>
    <w:rsid w:val="00BA74D7"/>
    <w:rsid w:val="00BB2393"/>
    <w:rsid w:val="00BB6009"/>
    <w:rsid w:val="00BC3759"/>
    <w:rsid w:val="00BC3A48"/>
    <w:rsid w:val="00BC47A4"/>
    <w:rsid w:val="00BD21B7"/>
    <w:rsid w:val="00C01D34"/>
    <w:rsid w:val="00C06D12"/>
    <w:rsid w:val="00C1723C"/>
    <w:rsid w:val="00C176A7"/>
    <w:rsid w:val="00C33E64"/>
    <w:rsid w:val="00C512E2"/>
    <w:rsid w:val="00C54D79"/>
    <w:rsid w:val="00C811AB"/>
    <w:rsid w:val="00CE4712"/>
    <w:rsid w:val="00CE789D"/>
    <w:rsid w:val="00D038FE"/>
    <w:rsid w:val="00D079E2"/>
    <w:rsid w:val="00D36739"/>
    <w:rsid w:val="00D67A7A"/>
    <w:rsid w:val="00D92116"/>
    <w:rsid w:val="00D96418"/>
    <w:rsid w:val="00DB0744"/>
    <w:rsid w:val="00DB37C1"/>
    <w:rsid w:val="00DE0CAC"/>
    <w:rsid w:val="00DE0EE3"/>
    <w:rsid w:val="00DF6609"/>
    <w:rsid w:val="00E13F53"/>
    <w:rsid w:val="00E163C5"/>
    <w:rsid w:val="00E20371"/>
    <w:rsid w:val="00E3412F"/>
    <w:rsid w:val="00E35A0A"/>
    <w:rsid w:val="00E879B1"/>
    <w:rsid w:val="00EA246E"/>
    <w:rsid w:val="00EB5421"/>
    <w:rsid w:val="00EC0F4C"/>
    <w:rsid w:val="00EE039E"/>
    <w:rsid w:val="00F01079"/>
    <w:rsid w:val="00F126A6"/>
    <w:rsid w:val="00F55B40"/>
    <w:rsid w:val="00FA6AA1"/>
    <w:rsid w:val="00FB3E69"/>
    <w:rsid w:val="00FC5637"/>
    <w:rsid w:val="00FD3CE5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781A8"/>
  <w15:docId w15:val="{59B232C3-8AD4-47CF-8E1F-9CBD40B7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789D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72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A16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5A16D6"/>
  </w:style>
  <w:style w:type="paragraph" w:styleId="Normlnweb">
    <w:name w:val="Normal (Web)"/>
    <w:basedOn w:val="Normln"/>
    <w:rsid w:val="00BB6009"/>
    <w:pPr>
      <w:spacing w:before="100" w:beforeAutospacing="1" w:after="100" w:afterAutospacing="1"/>
    </w:pPr>
  </w:style>
  <w:style w:type="character" w:styleId="Siln">
    <w:name w:val="Strong"/>
    <w:qFormat/>
    <w:rsid w:val="00BB6009"/>
    <w:rPr>
      <w:b/>
      <w:bCs/>
    </w:rPr>
  </w:style>
  <w:style w:type="paragraph" w:styleId="Zkladntext">
    <w:name w:val="Body Text"/>
    <w:basedOn w:val="Normln"/>
    <w:rsid w:val="00BB6009"/>
    <w:pPr>
      <w:jc w:val="both"/>
    </w:pPr>
    <w:rPr>
      <w:sz w:val="20"/>
      <w:szCs w:val="20"/>
    </w:rPr>
  </w:style>
  <w:style w:type="paragraph" w:customStyle="1" w:styleId="msolistparagraph0">
    <w:name w:val="msolistparagraph"/>
    <w:basedOn w:val="Normln"/>
    <w:rsid w:val="00DE0CAC"/>
    <w:pPr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rsid w:val="0066206A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CE789D"/>
    <w:rPr>
      <w:b/>
      <w:sz w:val="24"/>
    </w:rPr>
  </w:style>
  <w:style w:type="paragraph" w:customStyle="1" w:styleId="NormlnIMP">
    <w:name w:val="Normální_IMP"/>
    <w:basedOn w:val="Normln"/>
    <w:rsid w:val="00CE789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  <w:lang w:eastAsia="en-US"/>
    </w:rPr>
  </w:style>
  <w:style w:type="paragraph" w:customStyle="1" w:styleId="ZkladntextIMP">
    <w:name w:val="Základní text_IMP"/>
    <w:basedOn w:val="NormlnIMP"/>
    <w:rsid w:val="00CE789D"/>
    <w:pPr>
      <w:spacing w:before="120"/>
      <w:jc w:val="both"/>
    </w:pPr>
  </w:style>
  <w:style w:type="paragraph" w:customStyle="1" w:styleId="NADPISCENTR">
    <w:name w:val="NADPIS CENTR"/>
    <w:basedOn w:val="Normln"/>
    <w:rsid w:val="00CE789D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  <w:lang w:eastAsia="en-US"/>
    </w:rPr>
  </w:style>
  <w:style w:type="paragraph" w:styleId="Bezmezer">
    <w:name w:val="No Spacing"/>
    <w:uiPriority w:val="1"/>
    <w:qFormat/>
    <w:rsid w:val="00CE789D"/>
    <w:rPr>
      <w:rFonts w:ascii="Calibri" w:hAnsi="Calibri"/>
      <w:sz w:val="22"/>
      <w:szCs w:val="22"/>
    </w:rPr>
  </w:style>
  <w:style w:type="character" w:customStyle="1" w:styleId="Nadpis2Char">
    <w:name w:val="Nadpis 2 Char"/>
    <w:link w:val="Nadpis2"/>
    <w:uiPriority w:val="99"/>
    <w:rsid w:val="00572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715E9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15E9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425A0"/>
    <w:rPr>
      <w:sz w:val="24"/>
      <w:szCs w:val="24"/>
    </w:rPr>
  </w:style>
  <w:style w:type="paragraph" w:styleId="Revize">
    <w:name w:val="Revision"/>
    <w:hidden/>
    <w:uiPriority w:val="99"/>
    <w:semiHidden/>
    <w:rsid w:val="00A3161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5D221F1-A563-498B-9B1A-60C48212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Společnost:</vt:lpstr>
    </vt:vector>
  </TitlesOfParts>
  <Company>NBN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Společnost:</dc:title>
  <dc:creator>OIKT</dc:creator>
  <cp:lastModifiedBy>User</cp:lastModifiedBy>
  <cp:revision>2</cp:revision>
  <cp:lastPrinted>2020-12-22T12:42:00Z</cp:lastPrinted>
  <dcterms:created xsi:type="dcterms:W3CDTF">2025-04-04T12:46:00Z</dcterms:created>
  <dcterms:modified xsi:type="dcterms:W3CDTF">2025-04-04T12:46:00Z</dcterms:modified>
</cp:coreProperties>
</file>