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13934" w:val="left"/>
        </w:tabs>
        <w:bidi w:val="0"/>
        <w:spacing w:before="0" w:after="0" w:line="240" w:lineRule="auto"/>
        <w:ind w:left="1109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 Cena Kč /1 ks</w:t>
        <w:tab/>
        <w:t>Cena 1 etapu</w:t>
      </w:r>
    </w:p>
    <w:tbl>
      <w:tblPr>
        <w:tblOverlap w:val="never"/>
        <w:jc w:val="center"/>
        <w:tblLayout w:type="fixed"/>
      </w:tblPr>
      <w:tblGrid>
        <w:gridCol w:w="898"/>
        <w:gridCol w:w="9216"/>
        <w:gridCol w:w="874"/>
        <w:gridCol w:w="1166"/>
        <w:gridCol w:w="1603"/>
        <w:gridCol w:w="1454"/>
      </w:tblGrid>
      <w:tr>
        <w:trPr>
          <w:trHeight w:val="7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HG vrty - záměr hladin ve vrtech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(A3/HJ1, A3/HJ2, A3/HJ3, HG101, 102, 103, 104, 105, 106, 107, 108, 109, 110, 111, 112, HG140, 141, 144, 155, 164)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studny - záměr hladin ve studnách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S1, S4, S5, S6, S7, S8, S9, S10, S11, S12, S13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4 950,00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doplněné studny (škola, obecní úřad Petrohrad)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(S17, S14)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na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16 050,00</w:t>
            </w:r>
          </w:p>
        </w:tc>
      </w:tr>
      <w:tr>
        <w:trPr>
          <w:trHeight w:val="20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 vzorků vody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Návrh možného umístění: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oblasti hráze 1x (Např. z linie HG101 - HG103)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údolí Březnice 1x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 soukromé studny nejblíže k hřbitovu a ČOV (S5) ev. by šlo ze studny u hřbitova (ale asi méně průkazné)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 Finklovým rybníkem (buď HG112 a nebo S11)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školy nebo u úřadu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1 275,00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chemické rozbory vody základní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odběry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6 525,00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EZ HG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Etapová zpráva (1x/2 roky) - zapsání, vyhodnocení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898"/>
        <w:gridCol w:w="9216"/>
        <w:gridCol w:w="1085"/>
        <w:gridCol w:w="1877"/>
        <w:gridCol w:w="2136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běžných HG měření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6x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96 300,00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chemických rozborů 2x rok - v době nízké a vysoké úrovně HPV - HG studie D.4.1.3+D.4.2.3 - březen a září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2x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13 050,00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etapových HG zpráv za 2 roky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1x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HG měření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1B0F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134 350,00</w:t>
            </w:r>
          </w:p>
        </w:tc>
      </w:tr>
    </w:tbl>
    <w:p>
      <w:pPr>
        <w:widowControl w:val="0"/>
        <w:spacing w:after="539" w:line="1" w:lineRule="exact"/>
      </w:pPr>
    </w:p>
    <w:tbl>
      <w:tblPr>
        <w:tblOverlap w:val="never"/>
        <w:jc w:val="center"/>
        <w:tblLayout w:type="fixed"/>
      </w:tblPr>
      <w:tblGrid>
        <w:gridCol w:w="898"/>
        <w:gridCol w:w="9216"/>
        <w:gridCol w:w="1762"/>
        <w:gridCol w:w="2021"/>
        <w:gridCol w:w="1315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Inklino měření do 40m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INK 101, INK 102, INK103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5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98"/>
        <w:gridCol w:w="9216"/>
        <w:gridCol w:w="878"/>
        <w:gridCol w:w="1162"/>
        <w:gridCol w:w="1603"/>
        <w:gridCol w:w="1454"/>
      </w:tblGrid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- inklino (měřiči)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3 700,00</w:t>
            </w: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- 5 drah po 4 bodech (20bodů)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Body 1-1 až 1-4, 2-1 až 2-4, 3-1 až 3-4, 4-1 až 4-4, 5-1 až 5-4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nově zřízených bodů (měřický pilíře)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geodetů - sesuvy (dráhy posunu + zaměření inklino geodetické)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11 350,00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GM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Zaměření inklino vrtů geodetické (1xrok)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EZ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INK+DP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EZ - inklino + dráhy posuvu (1x za 2 roky)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C0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898"/>
        <w:gridCol w:w="9216"/>
        <w:gridCol w:w="1085"/>
        <w:gridCol w:w="1771"/>
        <w:gridCol w:w="2242"/>
      </w:tblGrid>
      <w:tr>
        <w:trPr>
          <w:trHeight w:val="2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INK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22 200,00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Dráhy posunu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68 100,00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INK geodetické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EZ k sesuvům (INK+ DP)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měření - sesuvy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01B0F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117 850,00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tabs>
          <w:tab w:pos="14083" w:val="left"/>
        </w:tabs>
        <w:bidi w:val="0"/>
        <w:spacing w:before="0" w:after="0" w:line="240" w:lineRule="auto"/>
        <w:ind w:left="941" w:right="0" w:firstLine="0"/>
        <w:jc w:val="lef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rok 2030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252 200,00</w:t>
      </w:r>
    </w:p>
    <w:sectPr>
      <w:footnotePr>
        <w:pos w:val="pageBottom"/>
        <w:numFmt w:val="decimal"/>
        <w:numRestart w:val="continuous"/>
      </w:footnotePr>
      <w:pgSz w:w="16838" w:h="11909" w:orient="landscape"/>
      <w:pgMar w:top="1430" w:left="1401" w:right="225" w:bottom="1379" w:header="1002" w:footer="95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Kalinová</dc:creator>
  <cp:keywords/>
</cp:coreProperties>
</file>