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CD47" w14:textId="77777777" w:rsidR="005062CF" w:rsidRDefault="00134414">
      <w:pPr>
        <w:spacing w:after="495" w:line="265" w:lineRule="auto"/>
        <w:ind w:left="164" w:hanging="10"/>
        <w:jc w:val="center"/>
      </w:pPr>
      <w:r>
        <w:rPr>
          <w:b/>
        </w:rPr>
        <w:t xml:space="preserve">OBJEDNÁVKA SYTÉMU A SLUŽEB </w:t>
      </w:r>
    </w:p>
    <w:p w14:paraId="7A07FF66" w14:textId="77777777" w:rsidR="005062CF" w:rsidRDefault="00134414">
      <w:pPr>
        <w:spacing w:after="11" w:line="265" w:lineRule="auto"/>
        <w:ind w:left="164" w:right="143" w:hanging="10"/>
        <w:jc w:val="center"/>
      </w:pPr>
      <w:r>
        <w:rPr>
          <w:b/>
        </w:rPr>
        <w:t xml:space="preserve">TESKALABS LTD, odštěpný závod,  </w:t>
      </w:r>
    </w:p>
    <w:p w14:paraId="1FDDD2DC" w14:textId="77777777" w:rsidR="005062CF" w:rsidRDefault="00134414">
      <w:pPr>
        <w:spacing w:after="13" w:line="265" w:lineRule="auto"/>
        <w:ind w:left="307" w:right="285" w:hanging="10"/>
        <w:jc w:val="center"/>
      </w:pPr>
      <w:r>
        <w:t xml:space="preserve">IČO: 07957157,  </w:t>
      </w:r>
    </w:p>
    <w:p w14:paraId="1BEEFD7E" w14:textId="77777777" w:rsidR="005062CF" w:rsidRDefault="00134414">
      <w:pPr>
        <w:spacing w:after="13" w:line="265" w:lineRule="auto"/>
        <w:ind w:left="307" w:right="284" w:hanging="10"/>
        <w:jc w:val="center"/>
      </w:pPr>
      <w:r>
        <w:t xml:space="preserve">se sídlem Kodaňská 1441/46, Vršovice, 101 00 Praha 10,  </w:t>
      </w:r>
    </w:p>
    <w:p w14:paraId="3A7F8DC3" w14:textId="77777777" w:rsidR="005062CF" w:rsidRDefault="00134414">
      <w:pPr>
        <w:spacing w:after="120" w:line="380" w:lineRule="auto"/>
        <w:ind w:left="307" w:right="186" w:hanging="10"/>
        <w:jc w:val="center"/>
      </w:pPr>
      <w:r>
        <w:t>zapsaný v obchodním rejstříku vedeném Městským soudem v Praze, oddíl A, vložka 79113  (dále jen „</w:t>
      </w:r>
      <w:r>
        <w:rPr>
          <w:b/>
        </w:rPr>
        <w:t>Provozovatel</w:t>
      </w:r>
      <w:r>
        <w:t xml:space="preserve">“) </w:t>
      </w:r>
    </w:p>
    <w:p w14:paraId="4A6E3427" w14:textId="77777777" w:rsidR="005062CF" w:rsidRDefault="00134414">
      <w:pPr>
        <w:spacing w:after="255" w:line="265" w:lineRule="auto"/>
        <w:ind w:left="307" w:right="285" w:hanging="10"/>
        <w:jc w:val="center"/>
      </w:pPr>
      <w:r>
        <w:t xml:space="preserve">a </w:t>
      </w:r>
    </w:p>
    <w:p w14:paraId="00D38C7F" w14:textId="77777777" w:rsidR="005062CF" w:rsidRDefault="00134414">
      <w:pPr>
        <w:spacing w:after="11" w:line="265" w:lineRule="auto"/>
        <w:ind w:left="164" w:right="1" w:hanging="10"/>
        <w:jc w:val="center"/>
      </w:pPr>
      <w:r>
        <w:rPr>
          <w:b/>
        </w:rPr>
        <w:t xml:space="preserve">Česká filharmonie, </w:t>
      </w:r>
    </w:p>
    <w:p w14:paraId="4EC18CD2" w14:textId="77777777" w:rsidR="005062CF" w:rsidRDefault="00134414">
      <w:pPr>
        <w:spacing w:after="13" w:line="265" w:lineRule="auto"/>
        <w:ind w:left="307" w:right="143" w:hanging="10"/>
        <w:jc w:val="center"/>
      </w:pPr>
      <w:r>
        <w:t xml:space="preserve">IČO: 000 23 264, </w:t>
      </w:r>
    </w:p>
    <w:p w14:paraId="72444654" w14:textId="77777777" w:rsidR="005062CF" w:rsidRDefault="00134414">
      <w:pPr>
        <w:spacing w:after="135" w:line="265" w:lineRule="auto"/>
        <w:ind w:left="307" w:right="143" w:hanging="10"/>
        <w:jc w:val="center"/>
      </w:pPr>
      <w:r>
        <w:t xml:space="preserve">se sídlem: Alšovo nábřeží 79/12, 110 00 Praha 1, </w:t>
      </w:r>
    </w:p>
    <w:p w14:paraId="404AFB5A" w14:textId="77777777" w:rsidR="005062CF" w:rsidRDefault="00134414">
      <w:pPr>
        <w:spacing w:after="131" w:line="265" w:lineRule="auto"/>
        <w:ind w:left="307" w:right="285" w:hanging="10"/>
        <w:jc w:val="center"/>
      </w:pPr>
      <w:r>
        <w:t>(dále jen „</w:t>
      </w:r>
      <w:r>
        <w:rPr>
          <w:b/>
        </w:rPr>
        <w:t>Zákazník</w:t>
      </w:r>
      <w:r>
        <w:t xml:space="preserve">“) </w:t>
      </w:r>
    </w:p>
    <w:p w14:paraId="179988AF" w14:textId="77777777" w:rsidR="005062CF" w:rsidRDefault="00134414">
      <w:pPr>
        <w:spacing w:after="491" w:line="265" w:lineRule="auto"/>
        <w:ind w:left="307" w:right="285" w:hanging="10"/>
        <w:jc w:val="center"/>
      </w:pPr>
      <w:r>
        <w:t>(společně také jako „</w:t>
      </w:r>
      <w:r>
        <w:rPr>
          <w:b/>
        </w:rPr>
        <w:t>Smluvní strany</w:t>
      </w:r>
      <w:r>
        <w:t>“ nebo jednotlivě jako „</w:t>
      </w:r>
      <w:r>
        <w:rPr>
          <w:b/>
        </w:rPr>
        <w:t>Smluvní strana</w:t>
      </w:r>
      <w:r>
        <w:t xml:space="preserve">“) </w:t>
      </w:r>
    </w:p>
    <w:p w14:paraId="781D6502" w14:textId="77777777" w:rsidR="005062CF" w:rsidRDefault="00134414">
      <w:pPr>
        <w:numPr>
          <w:ilvl w:val="0"/>
          <w:numId w:val="1"/>
        </w:numPr>
        <w:spacing w:after="252" w:line="266" w:lineRule="auto"/>
        <w:ind w:right="407" w:hanging="567"/>
      </w:pPr>
      <w:r>
        <w:rPr>
          <w:b/>
        </w:rPr>
        <w:t xml:space="preserve">OBJEDNÁVKA SYSTÉMU (SOFTWARE) </w:t>
      </w:r>
    </w:p>
    <w:p w14:paraId="1AB8E9DA" w14:textId="77777777" w:rsidR="005062CF" w:rsidRDefault="00134414">
      <w:pPr>
        <w:numPr>
          <w:ilvl w:val="1"/>
          <w:numId w:val="1"/>
        </w:numPr>
        <w:spacing w:after="4" w:line="269" w:lineRule="auto"/>
        <w:ind w:hanging="567"/>
      </w:pPr>
      <w:r>
        <w:t xml:space="preserve">Zákazník tímto objednává u Provozovatele podle Obchodních podmínek Licenci k Systému: </w:t>
      </w:r>
    </w:p>
    <w:tbl>
      <w:tblPr>
        <w:tblStyle w:val="TableGrid"/>
        <w:tblW w:w="8508" w:type="dxa"/>
        <w:tblInd w:w="568" w:type="dxa"/>
        <w:tblCellMar>
          <w:top w:w="6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5668"/>
      </w:tblGrid>
      <w:tr w:rsidR="005062CF" w14:paraId="4FB894CC" w14:textId="77777777">
        <w:trPr>
          <w:trHeight w:val="434"/>
        </w:trPr>
        <w:tc>
          <w:tcPr>
            <w:tcW w:w="2840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F007DE" w14:textId="77777777" w:rsidR="005062CF" w:rsidRDefault="00134414">
            <w:r>
              <w:rPr>
                <w:b/>
              </w:rPr>
              <w:t xml:space="preserve">Systém: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6AA7EB" w14:textId="77777777" w:rsidR="005062CF" w:rsidRDefault="00134414">
            <w:pPr>
              <w:ind w:left="1"/>
            </w:pPr>
            <w:r>
              <w:rPr>
                <w:b/>
              </w:rPr>
              <w:t>Logman.io (</w:t>
            </w:r>
            <w:proofErr w:type="spellStart"/>
            <w:r>
              <w:rPr>
                <w:b/>
              </w:rPr>
              <w:t>SaaS</w:t>
            </w:r>
            <w:proofErr w:type="spellEnd"/>
            <w:r>
              <w:rPr>
                <w:b/>
              </w:rPr>
              <w:t xml:space="preserve"> varianta) </w:t>
            </w:r>
          </w:p>
        </w:tc>
      </w:tr>
      <w:tr w:rsidR="005062CF" w14:paraId="7C80C879" w14:textId="77777777">
        <w:trPr>
          <w:trHeight w:val="1849"/>
        </w:trPr>
        <w:tc>
          <w:tcPr>
            <w:tcW w:w="2840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BFBFBF"/>
            </w:tcBorders>
          </w:tcPr>
          <w:p w14:paraId="77313950" w14:textId="77777777" w:rsidR="005062CF" w:rsidRDefault="00134414">
            <w:pPr>
              <w:spacing w:after="79"/>
            </w:pPr>
            <w:r>
              <w:rPr>
                <w:b/>
              </w:rPr>
              <w:t xml:space="preserve">Specifikace: </w:t>
            </w:r>
          </w:p>
          <w:p w14:paraId="36709EC9" w14:textId="77777777" w:rsidR="005062CF" w:rsidRDefault="00134414">
            <w:r>
              <w:rPr>
                <w:b/>
              </w:rPr>
              <w:t xml:space="preserve">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884E14" w14:textId="77777777" w:rsidR="005062CF" w:rsidRDefault="00134414">
            <w:pPr>
              <w:spacing w:after="141"/>
              <w:ind w:left="1"/>
            </w:pPr>
            <w:r>
              <w:t xml:space="preserve">Licence k Systému </w:t>
            </w:r>
          </w:p>
          <w:p w14:paraId="1D280C91" w14:textId="77777777" w:rsidR="005062CF" w:rsidRDefault="00134414">
            <w:pPr>
              <w:spacing w:after="5" w:line="380" w:lineRule="auto"/>
              <w:ind w:left="1" w:right="41"/>
            </w:pPr>
            <w:r>
              <w:t xml:space="preserve">doba trvání Licence k Systému: 1.4.2025 – 31.3.2028 Licence se automaticky neprodlužuje. </w:t>
            </w:r>
          </w:p>
          <w:p w14:paraId="2476CC1A" w14:textId="77777777" w:rsidR="005062CF" w:rsidRDefault="00134414">
            <w:pPr>
              <w:ind w:left="1"/>
            </w:pPr>
            <w:r>
              <w:t xml:space="preserve">Max. počet Koncových uživatelů: 10 </w:t>
            </w:r>
          </w:p>
        </w:tc>
      </w:tr>
      <w:tr w:rsidR="005062CF" w14:paraId="71F7D470" w14:textId="77777777">
        <w:trPr>
          <w:trHeight w:val="989"/>
        </w:trPr>
        <w:tc>
          <w:tcPr>
            <w:tcW w:w="2840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BFBFBF"/>
            </w:tcBorders>
          </w:tcPr>
          <w:p w14:paraId="7397D1A6" w14:textId="77777777" w:rsidR="005062CF" w:rsidRDefault="00134414">
            <w:r>
              <w:rPr>
                <w:b/>
              </w:rPr>
              <w:t xml:space="preserve">Cena Licence (bez DPH):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52CBB6" w14:textId="77777777" w:rsidR="005062CF" w:rsidRDefault="00134414">
            <w:pPr>
              <w:spacing w:after="136"/>
              <w:ind w:left="1"/>
            </w:pPr>
            <w:r>
              <w:t xml:space="preserve">72 676 Kč ročně </w:t>
            </w:r>
          </w:p>
          <w:p w14:paraId="5D5DC913" w14:textId="77777777" w:rsidR="005062CF" w:rsidRDefault="00134414">
            <w:pPr>
              <w:ind w:left="1"/>
            </w:pPr>
            <w:r>
              <w:t xml:space="preserve">Zúčtovací období: ročně, platba dopředu </w:t>
            </w:r>
          </w:p>
        </w:tc>
      </w:tr>
      <w:tr w:rsidR="005062CF" w14:paraId="60591FD7" w14:textId="77777777">
        <w:trPr>
          <w:trHeight w:val="1056"/>
        </w:trPr>
        <w:tc>
          <w:tcPr>
            <w:tcW w:w="2840" w:type="dxa"/>
            <w:tcBorders>
              <w:top w:val="single" w:sz="4" w:space="0" w:color="BFBFBF"/>
              <w:left w:val="single" w:sz="4" w:space="0" w:color="AEAAAA"/>
              <w:bottom w:val="single" w:sz="4" w:space="0" w:color="BFBFBF"/>
              <w:right w:val="single" w:sz="4" w:space="0" w:color="BFBFBF"/>
            </w:tcBorders>
          </w:tcPr>
          <w:p w14:paraId="4B9DB42A" w14:textId="77777777" w:rsidR="005062CF" w:rsidRDefault="00134414">
            <w:r>
              <w:rPr>
                <w:b/>
              </w:rPr>
              <w:t xml:space="preserve">Další případná ujednání odchylná od Obchodních podmínek: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158340" w14:textId="77777777" w:rsidR="005062CF" w:rsidRDefault="00134414">
            <w:pPr>
              <w:ind w:left="1"/>
            </w:pPr>
            <w:r>
              <w:t xml:space="preserve">žádná </w:t>
            </w:r>
          </w:p>
        </w:tc>
      </w:tr>
    </w:tbl>
    <w:p w14:paraId="56276308" w14:textId="77777777" w:rsidR="005062CF" w:rsidRDefault="00134414">
      <w:pPr>
        <w:numPr>
          <w:ilvl w:val="0"/>
          <w:numId w:val="1"/>
        </w:numPr>
        <w:spacing w:after="252" w:line="266" w:lineRule="auto"/>
        <w:ind w:right="407" w:hanging="567"/>
      </w:pPr>
      <w:r>
        <w:rPr>
          <w:b/>
        </w:rPr>
        <w:t xml:space="preserve">OBJEDNÁVKA DOPLŇKOVÝCH SLUŽEB </w:t>
      </w:r>
    </w:p>
    <w:p w14:paraId="400F0146" w14:textId="77777777" w:rsidR="005062CF" w:rsidRDefault="00134414">
      <w:pPr>
        <w:numPr>
          <w:ilvl w:val="1"/>
          <w:numId w:val="1"/>
        </w:numPr>
        <w:spacing w:after="4" w:line="269" w:lineRule="auto"/>
        <w:ind w:hanging="567"/>
      </w:pPr>
      <w:r>
        <w:t xml:space="preserve">Zákazník tímto objednává u Provozovatele podle Obchodních podmínek tyto Doplňkové služby: </w:t>
      </w:r>
    </w:p>
    <w:p w14:paraId="1AB0AC54" w14:textId="77777777" w:rsidR="005062CF" w:rsidRDefault="005062CF">
      <w:pPr>
        <w:spacing w:after="0"/>
        <w:ind w:left="-1416" w:right="10476"/>
      </w:pPr>
    </w:p>
    <w:tbl>
      <w:tblPr>
        <w:tblStyle w:val="TableGrid"/>
        <w:tblW w:w="8508" w:type="dxa"/>
        <w:tblInd w:w="568" w:type="dxa"/>
        <w:tblCellMar>
          <w:top w:w="67" w:type="dxa"/>
          <w:left w:w="109" w:type="dxa"/>
          <w:right w:w="74" w:type="dxa"/>
        </w:tblCellMar>
        <w:tblLook w:val="04A0" w:firstRow="1" w:lastRow="0" w:firstColumn="1" w:lastColumn="0" w:noHBand="0" w:noVBand="1"/>
      </w:tblPr>
      <w:tblGrid>
        <w:gridCol w:w="2840"/>
        <w:gridCol w:w="5668"/>
      </w:tblGrid>
      <w:tr w:rsidR="005062CF" w14:paraId="6EFC2FA3" w14:textId="77777777">
        <w:trPr>
          <w:trHeight w:val="439"/>
        </w:trPr>
        <w:tc>
          <w:tcPr>
            <w:tcW w:w="850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6CFDA73" w14:textId="77777777" w:rsidR="005062CF" w:rsidRDefault="00134414">
            <w:r>
              <w:rPr>
                <w:b/>
              </w:rPr>
              <w:t xml:space="preserve">Implementace Systému </w:t>
            </w:r>
          </w:p>
        </w:tc>
      </w:tr>
      <w:tr w:rsidR="005062CF" w14:paraId="06CE229D" w14:textId="77777777">
        <w:trPr>
          <w:trHeight w:val="2161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C7374" w14:textId="77777777" w:rsidR="005062CF" w:rsidRDefault="00134414">
            <w:r>
              <w:lastRenderedPageBreak/>
              <w:t xml:space="preserve">Doplňkové služby a další specifikace: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A610EA" w14:textId="77777777" w:rsidR="005062CF" w:rsidRDefault="00134414">
            <w:pPr>
              <w:spacing w:after="119" w:line="275" w:lineRule="auto"/>
              <w:ind w:left="1"/>
            </w:pPr>
            <w:r>
              <w:t xml:space="preserve">Služba implementace kolektoru do prostředí Zákazníka zahrnuje: nasazení, zprovoznění a provoz virtuálního kolektoru v prostředí zákazníka. (provoz je </w:t>
            </w:r>
            <w:proofErr w:type="spellStart"/>
            <w:r>
              <w:t>garantovám</w:t>
            </w:r>
            <w:proofErr w:type="spellEnd"/>
            <w:r>
              <w:t xml:space="preserve"> po dobu trvání licence.) Připojení všech dostupných zdrojů logů ze sítě zákazníka. </w:t>
            </w:r>
          </w:p>
          <w:p w14:paraId="68E3D0CC" w14:textId="77777777" w:rsidR="005062CF" w:rsidRDefault="00134414">
            <w:pPr>
              <w:ind w:left="1"/>
            </w:pPr>
            <w:r>
              <w:t xml:space="preserve"> </w:t>
            </w:r>
          </w:p>
        </w:tc>
      </w:tr>
      <w:tr w:rsidR="005062CF" w14:paraId="2AEFDF7D" w14:textId="77777777">
        <w:trPr>
          <w:trHeight w:val="931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12A838" w14:textId="77777777" w:rsidR="005062CF" w:rsidRDefault="00134414">
            <w:r>
              <w:t xml:space="preserve">Cena Doplňkové služby (v Kč bez DPH):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CC3540" w14:textId="77777777" w:rsidR="005062CF" w:rsidRDefault="00134414">
            <w:pPr>
              <w:spacing w:after="141"/>
              <w:ind w:left="1"/>
            </w:pPr>
            <w:r>
              <w:t xml:space="preserve">128 000 Kč </w:t>
            </w:r>
          </w:p>
          <w:p w14:paraId="1823A7FA" w14:textId="77777777" w:rsidR="005062CF" w:rsidRDefault="00134414">
            <w:pPr>
              <w:ind w:left="1"/>
            </w:pPr>
            <w:r>
              <w:t xml:space="preserve"> </w:t>
            </w:r>
          </w:p>
        </w:tc>
      </w:tr>
      <w:tr w:rsidR="005062CF" w14:paraId="21E56FEE" w14:textId="77777777">
        <w:trPr>
          <w:trHeight w:val="1176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5D84B1" w14:textId="77777777" w:rsidR="005062CF" w:rsidRDefault="00134414">
            <w:r>
              <w:t xml:space="preserve">termín předání dokončené Doplňkové služby k akceptaci Zákazníkem: 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862AD" w14:textId="35DF9A12" w:rsidR="005062CF" w:rsidRDefault="00AE25AE">
            <w:pPr>
              <w:spacing w:after="136"/>
              <w:ind w:left="1"/>
            </w:pPr>
            <w:r w:rsidRPr="00AE25AE">
              <w:t>Dvou měsíců</w:t>
            </w:r>
            <w:r w:rsidR="00134414">
              <w:t xml:space="preserve"> od uzavření této Objednávky.  </w:t>
            </w:r>
          </w:p>
          <w:p w14:paraId="29AE61AA" w14:textId="77777777" w:rsidR="005062CF" w:rsidRDefault="00134414">
            <w:pPr>
              <w:ind w:left="1"/>
            </w:pPr>
            <w:r>
              <w:t xml:space="preserve"> </w:t>
            </w:r>
          </w:p>
        </w:tc>
      </w:tr>
      <w:tr w:rsidR="005062CF" w14:paraId="14C2FE43" w14:textId="77777777">
        <w:trPr>
          <w:trHeight w:val="864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03C7A3" w14:textId="77777777" w:rsidR="005062CF" w:rsidRDefault="00134414">
            <w:r>
              <w:t xml:space="preserve">způsob předání výsledku Doplňkové služby: 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0EB1AC" w14:textId="77777777" w:rsidR="005062CF" w:rsidRDefault="00134414">
            <w:pPr>
              <w:ind w:left="1"/>
            </w:pPr>
            <w:r>
              <w:t xml:space="preserve">Implementace Systému proběhne u Zákazníka.  </w:t>
            </w:r>
          </w:p>
        </w:tc>
      </w:tr>
      <w:tr w:rsidR="005062CF" w14:paraId="5E72EDF0" w14:textId="77777777" w:rsidTr="00AE25AE">
        <w:trPr>
          <w:trHeight w:val="1488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A0FDAD" w14:textId="77777777" w:rsidR="005062CF" w:rsidRDefault="00134414">
            <w:r>
              <w:t xml:space="preserve">Open Source a komponenty třetích stran, které budou součástí výsledku Doplňkové služby: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308535" w14:textId="66B2B832" w:rsidR="005062CF" w:rsidRPr="00AE25AE" w:rsidRDefault="00AE25AE">
            <w:pPr>
              <w:ind w:left="1"/>
            </w:pPr>
            <w:r w:rsidRPr="00AE25AE">
              <w:rPr>
                <w:shd w:val="clear" w:color="auto" w:fill="FFFF00"/>
              </w:rPr>
              <w:t>nejsou</w:t>
            </w:r>
          </w:p>
        </w:tc>
      </w:tr>
      <w:tr w:rsidR="005062CF" w14:paraId="68988ADC" w14:textId="77777777" w:rsidTr="00AE25AE">
        <w:trPr>
          <w:trHeight w:val="989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EE60D" w14:textId="77777777" w:rsidR="005062CF" w:rsidRDefault="00134414">
            <w:r>
              <w:t xml:space="preserve">Dodatečné podmínky: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6C8713" w14:textId="2479AE63" w:rsidR="005062CF" w:rsidRPr="00AE25AE" w:rsidRDefault="00AE25AE">
            <w:pPr>
              <w:spacing w:after="136"/>
              <w:ind w:left="1"/>
            </w:pPr>
            <w:r w:rsidRPr="00AE25AE">
              <w:rPr>
                <w:shd w:val="clear" w:color="auto" w:fill="FFFF00"/>
              </w:rPr>
              <w:t>nejsou</w:t>
            </w:r>
          </w:p>
          <w:p w14:paraId="74868B3D" w14:textId="77777777" w:rsidR="005062CF" w:rsidRPr="00AE25AE" w:rsidRDefault="00134414">
            <w:pPr>
              <w:ind w:left="1"/>
            </w:pPr>
            <w:r w:rsidRPr="00AE25AE">
              <w:t xml:space="preserve"> </w:t>
            </w:r>
          </w:p>
        </w:tc>
      </w:tr>
      <w:tr w:rsidR="005062CF" w14:paraId="6BF5A21C" w14:textId="77777777">
        <w:trPr>
          <w:trHeight w:val="864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1402BF" w14:textId="77777777" w:rsidR="005062CF" w:rsidRDefault="00134414">
            <w:r>
              <w:t xml:space="preserve">Zpracování osobních údajů: 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BA37A5" w14:textId="77777777" w:rsidR="005062CF" w:rsidRDefault="00134414">
            <w:pPr>
              <w:ind w:left="1"/>
            </w:pPr>
            <w:r>
              <w:t xml:space="preserve">V rámci provádění Doplňkové služby bude Provozovatel zpracovávat osobní údaje pro Zákazníka jako zpracovatel. </w:t>
            </w:r>
          </w:p>
        </w:tc>
      </w:tr>
      <w:tr w:rsidR="005062CF" w14:paraId="198F6396" w14:textId="77777777">
        <w:trPr>
          <w:trHeight w:val="4886"/>
        </w:trPr>
        <w:tc>
          <w:tcPr>
            <w:tcW w:w="2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8FF09" w14:textId="77777777" w:rsidR="005062CF" w:rsidRDefault="00134414">
            <w:r>
              <w:lastRenderedPageBreak/>
              <w:t xml:space="preserve">Další případná ujednání odchylná od Obchodních podmínek: </w:t>
            </w:r>
          </w:p>
        </w:tc>
        <w:tc>
          <w:tcPr>
            <w:tcW w:w="5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3CE7A4" w14:textId="77777777" w:rsidR="005062CF" w:rsidRDefault="00134414">
            <w:pPr>
              <w:ind w:left="1" w:right="126"/>
            </w:pPr>
            <w:r>
              <w:t>Tato objednávka nabývá platnosti uzavřením a účinnosti uveřejněním v registru smluv podle zákona č. 340/2015 Sb., ve znění pozdějších předpisů. Uveřejnění této objednávky v registru smluv podle zákona č. 340/2015 Sb., ve znění pozdějších předpisů, zajistí ČF. Smluvní strany konstatují, že tato objednávka neobsahuje ujednání, která by neměla být uveřejněna v registru smluv podle zákona č. 340/2015 Sb., ve znění pozdějších předpisů. Smluvní strana, která poskytla v této smlouvě nějaké osobní údaje, souhlasí s</w:t>
            </w:r>
            <w:r>
              <w:t xml:space="preserve">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 </w:t>
            </w:r>
          </w:p>
        </w:tc>
      </w:tr>
    </w:tbl>
    <w:p w14:paraId="2CEC1F46" w14:textId="77777777" w:rsidR="005062CF" w:rsidRDefault="00134414">
      <w:pPr>
        <w:spacing w:after="261"/>
        <w:ind w:left="567"/>
      </w:pPr>
      <w:r>
        <w:rPr>
          <w:b/>
        </w:rPr>
        <w:t xml:space="preserve"> </w:t>
      </w:r>
    </w:p>
    <w:p w14:paraId="79789997" w14:textId="77777777" w:rsidR="005062CF" w:rsidRDefault="00134414">
      <w:pPr>
        <w:spacing w:after="155"/>
      </w:pPr>
      <w:r>
        <w:t xml:space="preserve"> </w:t>
      </w:r>
    </w:p>
    <w:p w14:paraId="22A93BE8" w14:textId="77777777" w:rsidR="005062CF" w:rsidRDefault="00134414">
      <w:pPr>
        <w:spacing w:after="362"/>
      </w:pPr>
      <w:r>
        <w:t xml:space="preserve"> </w:t>
      </w:r>
    </w:p>
    <w:p w14:paraId="516BE51C" w14:textId="77777777" w:rsidR="005062CF" w:rsidRDefault="00134414">
      <w:pPr>
        <w:numPr>
          <w:ilvl w:val="0"/>
          <w:numId w:val="1"/>
        </w:numPr>
        <w:spacing w:after="252" w:line="266" w:lineRule="auto"/>
        <w:ind w:right="407" w:hanging="567"/>
      </w:pPr>
      <w:r>
        <w:rPr>
          <w:b/>
        </w:rPr>
        <w:t xml:space="preserve">SPOLEČNÁ A ZÁVĚREČNÁ USTANOVENÍ </w:t>
      </w:r>
    </w:p>
    <w:p w14:paraId="334134FF" w14:textId="77777777" w:rsidR="005062CF" w:rsidRDefault="00134414">
      <w:pPr>
        <w:numPr>
          <w:ilvl w:val="1"/>
          <w:numId w:val="1"/>
        </w:numPr>
        <w:spacing w:after="128" w:line="269" w:lineRule="auto"/>
        <w:ind w:hanging="567"/>
      </w:pPr>
      <w:r>
        <w:t xml:space="preserve">Přílohou této objednávky jsou Obchodní podmínky upravující poskytování Systému. </w:t>
      </w:r>
    </w:p>
    <w:p w14:paraId="679ADB99" w14:textId="77777777" w:rsidR="005062CF" w:rsidRDefault="00134414">
      <w:r>
        <w:t xml:space="preserve"> </w:t>
      </w:r>
    </w:p>
    <w:p w14:paraId="3AE768EE" w14:textId="77777777" w:rsidR="005062CF" w:rsidRDefault="00134414">
      <w:r>
        <w:t xml:space="preserve"> </w:t>
      </w:r>
    </w:p>
    <w:p w14:paraId="5AB13EF6" w14:textId="77777777" w:rsidR="005062CF" w:rsidRDefault="00134414">
      <w:pPr>
        <w:spacing w:after="155"/>
      </w:pPr>
      <w:r>
        <w:t xml:space="preserve"> </w:t>
      </w:r>
    </w:p>
    <w:p w14:paraId="5CC94EAA" w14:textId="77777777" w:rsidR="005062CF" w:rsidRDefault="00134414">
      <w:r>
        <w:t xml:space="preserve"> </w:t>
      </w:r>
    </w:p>
    <w:p w14:paraId="31DBADCB" w14:textId="77777777" w:rsidR="005062CF" w:rsidRDefault="00134414">
      <w:r>
        <w:t xml:space="preserve"> </w:t>
      </w:r>
    </w:p>
    <w:p w14:paraId="73392D1D" w14:textId="4ADEA157" w:rsidR="005062CF" w:rsidRDefault="005062CF">
      <w:pPr>
        <w:spacing w:after="0"/>
      </w:pPr>
    </w:p>
    <w:sectPr w:rsidR="005062CF">
      <w:pgSz w:w="11904" w:h="16838"/>
      <w:pgMar w:top="1417" w:right="1428" w:bottom="16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56BA"/>
    <w:multiLevelType w:val="multilevel"/>
    <w:tmpl w:val="F07C5080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67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CF"/>
    <w:rsid w:val="001151D1"/>
    <w:rsid w:val="00134414"/>
    <w:rsid w:val="004C3039"/>
    <w:rsid w:val="005062CF"/>
    <w:rsid w:val="00936214"/>
    <w:rsid w:val="00A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6CB"/>
  <w15:docId w15:val="{440B71F7-F3B4-1345-807D-430172BF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b2a0f6c3dc45102b8ee3a615fe0e0a0a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2b540e30569d5cb4c5491741f3cc996a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DFCFC-76D9-463B-B251-161EE731CE1A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F214E709-CC74-43BB-A475-725C0D61A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7FDBF-34FE-4498-9498-9190463E2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Tremlová</dc:creator>
  <cp:keywords/>
  <cp:lastModifiedBy>Jiří Bělohradský</cp:lastModifiedBy>
  <cp:revision>4</cp:revision>
  <dcterms:created xsi:type="dcterms:W3CDTF">2025-03-04T16:09:00Z</dcterms:created>
  <dcterms:modified xsi:type="dcterms:W3CDTF">2025-04-23T13:08:00Z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MediaServiceImageTags">
    <vt:lpwstr/>
  </property>
</Properties>
</file>