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RENÉS-CUTTING-RANCH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Muckov 9, 38226 Černá v Pošumaví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77 134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22 368,86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Dvořetín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92 532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26 584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29N25/33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2912533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26 584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