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bookmarkStart w:id="0" w:name="_Hlk195081616"/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6EFB73FE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č.j.: </w:t>
      </w:r>
      <w:r w:rsidR="00F82D07">
        <w:rPr>
          <w:rFonts w:ascii="Times New Roman" w:hAnsi="Times New Roman"/>
          <w:i w:val="0"/>
          <w:sz w:val="24"/>
          <w:szCs w:val="24"/>
        </w:rPr>
        <w:t>18 Spr 415/2025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4EC8FF19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5428E393" w:rsidR="00553F1C" w:rsidRDefault="0048531A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soud Plzeň-jih</w:t>
      </w:r>
    </w:p>
    <w:p w14:paraId="54FB2527" w14:textId="5F5C39BD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</w:t>
      </w:r>
      <w:r w:rsidR="00E2490B">
        <w:t xml:space="preserve"> </w:t>
      </w:r>
      <w:r w:rsidR="0048531A">
        <w:t>Edvarda Beneše 1127/1, 306 24 Plzeň</w:t>
      </w:r>
      <w:r>
        <w:t xml:space="preserve">                           </w:t>
      </w:r>
    </w:p>
    <w:p w14:paraId="41CD2ABA" w14:textId="36E4CD2E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IČO:  </w:t>
      </w:r>
      <w:r w:rsidR="0048531A">
        <w:t>00024767</w:t>
      </w:r>
      <w:r>
        <w:tab/>
      </w:r>
    </w:p>
    <w:p w14:paraId="76ECE813" w14:textId="6C04B8C7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 w:rsidR="00E2490B">
        <w:t xml:space="preserve">  </w:t>
      </w:r>
      <w:r w:rsidR="0048531A">
        <w:t>Mgr. Ing. Mar</w:t>
      </w:r>
      <w:r w:rsidR="006C724E">
        <w:t>kem</w:t>
      </w:r>
      <w:r w:rsidR="0048531A">
        <w:t xml:space="preserve"> Poláč</w:t>
      </w:r>
      <w:r w:rsidR="006C724E">
        <w:t>kem</w:t>
      </w:r>
      <w:r w:rsidR="0048531A">
        <w:t>, předsed</w:t>
      </w:r>
      <w:r w:rsidR="006C724E">
        <w:t>ou</w:t>
      </w:r>
      <w:r w:rsidR="0048531A">
        <w:t xml:space="preserve"> soudu</w:t>
      </w:r>
      <w:r>
        <w:t xml:space="preserve">  </w:t>
      </w:r>
    </w:p>
    <w:p w14:paraId="79901E2E" w14:textId="4B9844B3" w:rsidR="00553F1C" w:rsidRDefault="00553F1C" w:rsidP="00553F1C">
      <w:pPr>
        <w:spacing w:after="0" w:line="276" w:lineRule="auto"/>
        <w:jc w:val="both"/>
      </w:pPr>
      <w:r>
        <w:t xml:space="preserve">bankovní spojení: </w:t>
      </w:r>
      <w:r w:rsidR="00E2490B">
        <w:t xml:space="preserve"> </w:t>
      </w:r>
      <w:r w:rsidR="0048531A">
        <w:t>Česká národní banka</w:t>
      </w:r>
    </w:p>
    <w:p w14:paraId="28E2BF87" w14:textId="76D30C00" w:rsidR="00553F1C" w:rsidRDefault="00553F1C" w:rsidP="00553F1C">
      <w:pPr>
        <w:tabs>
          <w:tab w:val="left" w:pos="1701"/>
        </w:tabs>
        <w:spacing w:after="0" w:line="276" w:lineRule="auto"/>
        <w:jc w:val="both"/>
      </w:pPr>
      <w:r>
        <w:t>číslo účtu:</w:t>
      </w:r>
      <w:r w:rsidR="00E2490B">
        <w:t xml:space="preserve">  </w:t>
      </w:r>
      <w:r w:rsidR="006707FC">
        <w:t>xxx</w:t>
      </w:r>
      <w:r>
        <w:tab/>
        <w:t xml:space="preserve"> </w:t>
      </w:r>
    </w:p>
    <w:p w14:paraId="1DDA586A" w14:textId="77777777" w:rsidR="00553F1C" w:rsidRDefault="00553F1C" w:rsidP="00553F1C">
      <w:pPr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3A2507AD" w:rsidR="002E1DA5" w:rsidRDefault="00F82D07" w:rsidP="00553F1C">
      <w:pPr>
        <w:tabs>
          <w:tab w:val="left" w:pos="2520"/>
        </w:tabs>
        <w:rPr>
          <w:b/>
          <w:lang w:val="en-US"/>
        </w:rPr>
      </w:pPr>
      <w:r>
        <w:rPr>
          <w:b/>
          <w:lang w:val="en-US"/>
        </w:rPr>
        <w:t>Škoda Auto</w:t>
      </w:r>
      <w:r w:rsidR="002E1DA5" w:rsidRPr="002E1DA5">
        <w:rPr>
          <w:b/>
          <w:lang w:val="en-US"/>
        </w:rPr>
        <w:t xml:space="preserve"> a.s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r w:rsidR="002E1DA5">
        <w:t>UniCredit Bank CZ and SK a.s.</w:t>
      </w:r>
    </w:p>
    <w:p w14:paraId="5701ED98" w14:textId="4E4490CF" w:rsidR="00553F1C" w:rsidRDefault="002E1DA5" w:rsidP="00553F1C">
      <w:r>
        <w:t xml:space="preserve">Číslo účtu: </w:t>
      </w:r>
      <w:r w:rsidR="006707FC">
        <w:t>xxx</w:t>
      </w:r>
      <w:r w:rsidR="00553F1C">
        <w:tab/>
        <w:t xml:space="preserve">        </w:t>
      </w:r>
    </w:p>
    <w:p w14:paraId="0004B98A" w14:textId="30716B8A" w:rsidR="00553F1C" w:rsidRDefault="002E1DA5" w:rsidP="00553F1C">
      <w:r>
        <w:t xml:space="preserve">zastoupená: </w:t>
      </w:r>
      <w:r w:rsidR="00967504" w:rsidRPr="00967504">
        <w:t>Ing. Tomáš</w:t>
      </w:r>
      <w:r w:rsidR="006C724E">
        <w:t>em</w:t>
      </w:r>
      <w:r w:rsidR="00967504" w:rsidRPr="00967504">
        <w:t xml:space="preserve"> Ducho</w:t>
      </w:r>
      <w:r w:rsidR="006C724E">
        <w:t>něm</w:t>
      </w:r>
      <w:r w:rsidR="00967504" w:rsidRPr="00967504">
        <w:t xml:space="preserve">, </w:t>
      </w:r>
      <w:r w:rsidR="00967504">
        <w:t>v</w:t>
      </w:r>
      <w:r w:rsidR="00967504" w:rsidRPr="00967504">
        <w:t>edoucí</w:t>
      </w:r>
      <w:r w:rsidR="006C724E">
        <w:t>m</w:t>
      </w:r>
      <w:r w:rsidR="00967504" w:rsidRPr="00967504">
        <w:t xml:space="preserve"> prodeje ČR a Ing. Jan</w:t>
      </w:r>
      <w:r w:rsidR="006C724E">
        <w:t>em</w:t>
      </w:r>
      <w:r w:rsidR="00967504" w:rsidRPr="00967504">
        <w:t xml:space="preserve"> Pích</w:t>
      </w:r>
      <w:r w:rsidR="006C724E">
        <w:t>ou</w:t>
      </w:r>
      <w:r w:rsidR="00967504" w:rsidRPr="00967504">
        <w:t xml:space="preserve">, </w:t>
      </w:r>
      <w:r w:rsidR="00967504">
        <w:t>v</w:t>
      </w:r>
      <w:r w:rsidR="00967504" w:rsidRPr="00967504">
        <w:t>edoucí</w:t>
      </w:r>
      <w:r w:rsidR="006C724E">
        <w:t>m</w:t>
      </w:r>
      <w:r w:rsidR="00967504" w:rsidRPr="00967504">
        <w:t xml:space="preserve"> servisních služeb ČR</w:t>
      </w:r>
      <w:r w:rsidR="00553F1C">
        <w:tab/>
      </w:r>
      <w:r w:rsidR="00553F1C">
        <w:tab/>
        <w:t xml:space="preserve">         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4EEEBB93" w14:textId="77777777" w:rsidR="006C724E" w:rsidRDefault="006C724E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1EDEB820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F7189D">
        <w:t>a</w:t>
      </w:r>
      <w:r>
        <w:t xml:space="preserve"> </w:t>
      </w:r>
      <w:r w:rsidR="00DF75DE">
        <w:t xml:space="preserve">             </w:t>
      </w:r>
      <w:r w:rsidR="0048531A">
        <w:t>Škoda Octavia Combi</w:t>
      </w:r>
      <w:r>
        <w:t xml:space="preserve"> specifikovan</w:t>
      </w:r>
      <w:r w:rsidR="00F7189D">
        <w:t>á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F7189D">
        <w:t>ům</w:t>
      </w:r>
      <w:r>
        <w:t xml:space="preserve"> a Kupující se zavazuje Vozidl</w:t>
      </w:r>
      <w:r w:rsidR="00F7189D">
        <w:t>a</w:t>
      </w:r>
      <w:r>
        <w:t xml:space="preserve"> převzít a zaplatit za ně </w:t>
      </w:r>
      <w:r>
        <w:lastRenderedPageBreak/>
        <w:t xml:space="preserve">Prodávajícímu kupní cenu dle článku III. této kupní smlouvy, která byla sjednána v souladu s Rámcovou dohodou. </w:t>
      </w:r>
    </w:p>
    <w:p w14:paraId="35C47C5F" w14:textId="16ECA055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Prodávající se zavazuje odevzdat rovněž doklady v českém jazyce, umožňující řádné používání Vozid</w:t>
      </w:r>
      <w:r w:rsidR="00F7189D">
        <w:t>el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656DAC40" w14:textId="77777777" w:rsidR="006C724E" w:rsidRDefault="006C724E" w:rsidP="006C724E">
      <w:pPr>
        <w:ind w:left="567"/>
        <w:jc w:val="both"/>
      </w:pP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9390" w:type="dxa"/>
        <w:tblInd w:w="-147" w:type="dxa"/>
        <w:tblLook w:val="04A0" w:firstRow="1" w:lastRow="0" w:firstColumn="1" w:lastColumn="0" w:noHBand="0" w:noVBand="1"/>
      </w:tblPr>
      <w:tblGrid>
        <w:gridCol w:w="1985"/>
        <w:gridCol w:w="1296"/>
        <w:gridCol w:w="1296"/>
        <w:gridCol w:w="1296"/>
        <w:gridCol w:w="913"/>
        <w:gridCol w:w="1296"/>
        <w:gridCol w:w="1308"/>
      </w:tblGrid>
      <w:tr w:rsidR="00E2490B" w14:paraId="0EC6F238" w14:textId="77777777" w:rsidTr="000A17DA">
        <w:tc>
          <w:tcPr>
            <w:tcW w:w="1985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888" w:type="dxa"/>
            <w:gridSpan w:val="3"/>
            <w:shd w:val="clear" w:color="auto" w:fill="F7CAAC" w:themeFill="accent2" w:themeFillTint="66"/>
          </w:tcPr>
          <w:p w14:paraId="4CC0882F" w14:textId="1388C475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913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604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E2490B" w14:paraId="3768F2D3" w14:textId="77777777" w:rsidTr="000A17DA">
        <w:tc>
          <w:tcPr>
            <w:tcW w:w="1985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913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308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E2490B" w14:paraId="109169EC" w14:textId="77777777" w:rsidTr="000A17DA">
        <w:tc>
          <w:tcPr>
            <w:tcW w:w="1985" w:type="dxa"/>
          </w:tcPr>
          <w:p w14:paraId="503852D5" w14:textId="248922FC" w:rsidR="0098552A" w:rsidRDefault="00E2490B" w:rsidP="00F136D1">
            <w:pPr>
              <w:tabs>
                <w:tab w:val="left" w:pos="284"/>
              </w:tabs>
              <w:jc w:val="both"/>
            </w:pPr>
            <w:r>
              <w:t>Škoda Octavia Combi Selection, 2,0 TDI 85 kW MAN 6</w:t>
            </w:r>
          </w:p>
        </w:tc>
        <w:tc>
          <w:tcPr>
            <w:tcW w:w="1296" w:type="dxa"/>
          </w:tcPr>
          <w:p w14:paraId="1BCE887A" w14:textId="7982FEA8" w:rsidR="0098552A" w:rsidRDefault="00E2490B" w:rsidP="00F136D1">
            <w:pPr>
              <w:tabs>
                <w:tab w:val="left" w:pos="284"/>
              </w:tabs>
              <w:jc w:val="both"/>
            </w:pPr>
            <w:r>
              <w:t>478 562,81</w:t>
            </w:r>
          </w:p>
        </w:tc>
        <w:tc>
          <w:tcPr>
            <w:tcW w:w="1296" w:type="dxa"/>
          </w:tcPr>
          <w:p w14:paraId="5D5674A7" w14:textId="5B24D299" w:rsidR="0098552A" w:rsidRDefault="00E2490B" w:rsidP="00F136D1">
            <w:pPr>
              <w:tabs>
                <w:tab w:val="left" w:pos="284"/>
              </w:tabs>
              <w:jc w:val="both"/>
            </w:pPr>
            <w:r>
              <w:t>100 498,19</w:t>
            </w:r>
          </w:p>
        </w:tc>
        <w:tc>
          <w:tcPr>
            <w:tcW w:w="1296" w:type="dxa"/>
          </w:tcPr>
          <w:p w14:paraId="58C61DAF" w14:textId="441C4048" w:rsidR="0098552A" w:rsidRDefault="00E2490B" w:rsidP="00F136D1">
            <w:pPr>
              <w:tabs>
                <w:tab w:val="left" w:pos="284"/>
              </w:tabs>
              <w:jc w:val="both"/>
            </w:pPr>
            <w:r>
              <w:t>579 061,00</w:t>
            </w:r>
          </w:p>
        </w:tc>
        <w:tc>
          <w:tcPr>
            <w:tcW w:w="913" w:type="dxa"/>
          </w:tcPr>
          <w:p w14:paraId="436D9572" w14:textId="0ADAE533" w:rsidR="0098552A" w:rsidRDefault="00E2490B" w:rsidP="00C65AFB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296" w:type="dxa"/>
          </w:tcPr>
          <w:p w14:paraId="5E0B0C35" w14:textId="02CC84B0" w:rsidR="0098552A" w:rsidRDefault="00E2490B" w:rsidP="00F136D1">
            <w:pPr>
              <w:tabs>
                <w:tab w:val="left" w:pos="284"/>
              </w:tabs>
              <w:jc w:val="both"/>
            </w:pPr>
            <w:r>
              <w:t>478 562,81</w:t>
            </w:r>
          </w:p>
        </w:tc>
        <w:tc>
          <w:tcPr>
            <w:tcW w:w="1308" w:type="dxa"/>
          </w:tcPr>
          <w:p w14:paraId="68E02644" w14:textId="38FDBE24" w:rsidR="0098552A" w:rsidRDefault="00E2490B" w:rsidP="00F136D1">
            <w:pPr>
              <w:tabs>
                <w:tab w:val="left" w:pos="284"/>
              </w:tabs>
              <w:jc w:val="both"/>
            </w:pPr>
            <w:r>
              <w:t>579 061,00</w:t>
            </w:r>
          </w:p>
        </w:tc>
      </w:tr>
      <w:tr w:rsidR="00036338" w14:paraId="1F1BBF42" w14:textId="77777777" w:rsidTr="00E2490B">
        <w:tc>
          <w:tcPr>
            <w:tcW w:w="9390" w:type="dxa"/>
            <w:gridSpan w:val="7"/>
            <w:shd w:val="clear" w:color="auto" w:fill="FBE4D5" w:themeFill="accent2" w:themeFillTint="33"/>
          </w:tcPr>
          <w:p w14:paraId="5EA5F102" w14:textId="341ABD80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bez DPH                         </w:t>
            </w:r>
            <w:r w:rsidR="00E2490B">
              <w:rPr>
                <w:lang w:val="en-US"/>
              </w:rPr>
              <w:t xml:space="preserve">478 562,81 </w:t>
            </w:r>
            <w:r>
              <w:rPr>
                <w:lang w:val="en-US"/>
              </w:rPr>
              <w:t>K</w:t>
            </w:r>
            <w:r>
              <w:t xml:space="preserve">č </w:t>
            </w:r>
          </w:p>
        </w:tc>
      </w:tr>
      <w:tr w:rsidR="00036338" w14:paraId="308EC147" w14:textId="77777777" w:rsidTr="00E2490B">
        <w:tc>
          <w:tcPr>
            <w:tcW w:w="9390" w:type="dxa"/>
            <w:gridSpan w:val="7"/>
            <w:shd w:val="clear" w:color="auto" w:fill="FBE4D5" w:themeFill="accent2" w:themeFillTint="33"/>
          </w:tcPr>
          <w:p w14:paraId="1C3B789C" w14:textId="71ABD759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E2490B">
              <w:rPr>
                <w:lang w:val="en-US"/>
              </w:rPr>
              <w:t xml:space="preserve">579 061,00 </w:t>
            </w:r>
            <w:r>
              <w:rPr>
                <w:lang w:val="en-US"/>
              </w:rPr>
              <w:t>K</w:t>
            </w:r>
            <w: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Místem plnění je sídlo Kupujícího,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2322EE27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967504">
        <w:rPr>
          <w:lang w:val="en-US"/>
        </w:rPr>
        <w:t>150 dnů od účinnosti této smlouvy</w:t>
      </w:r>
      <w:r w:rsidR="00A94FF0">
        <w:t xml:space="preserve">,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5EBAAAB0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F7189D">
        <w:t>e</w:t>
      </w:r>
      <w:r>
        <w:t>l včetně Dokladů za Kupujícího je pověřený pracovník Kupujícího</w:t>
      </w:r>
      <w:r w:rsidR="00EF6CE1">
        <w:t xml:space="preserve">: Lucie Škardová, hospodářka soudu, tel. </w:t>
      </w:r>
      <w:r w:rsidR="006C724E">
        <w:t xml:space="preserve">+420 </w:t>
      </w:r>
      <w:r w:rsidR="006707FC">
        <w:t>xxx</w:t>
      </w:r>
      <w:r w:rsidR="00EF6CE1">
        <w:t xml:space="preserve">, </w:t>
      </w:r>
      <w:r w:rsidR="006C724E">
        <w:t>+420 </w:t>
      </w:r>
      <w:r w:rsidR="006707FC">
        <w:t>xxx</w:t>
      </w:r>
      <w:r w:rsidR="00EF6CE1">
        <w:t xml:space="preserve">, e-mail: </w:t>
      </w:r>
      <w:r w:rsidR="006707FC">
        <w:t>xxx</w:t>
      </w:r>
      <w:r>
        <w:t>.</w:t>
      </w:r>
    </w:p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5D5B3F7" w14:textId="5EF4B57B" w:rsidR="00761281" w:rsidRPr="006C724E" w:rsidRDefault="00DD090B" w:rsidP="00C42655">
      <w:pPr>
        <w:numPr>
          <w:ilvl w:val="0"/>
          <w:numId w:val="3"/>
        </w:numPr>
        <w:tabs>
          <w:tab w:val="clear" w:pos="720"/>
        </w:tabs>
        <w:spacing w:after="160" w:line="259" w:lineRule="auto"/>
        <w:ind w:left="567" w:hanging="567"/>
        <w:jc w:val="both"/>
        <w:rPr>
          <w:b/>
        </w:rPr>
      </w:pPr>
      <w:r w:rsidRPr="006C724E">
        <w:rPr>
          <w:color w:val="000000"/>
          <w:szCs w:val="20"/>
        </w:rPr>
        <w:t>Případné výhrady Kupujícího k dodaným Vozidlům</w:t>
      </w:r>
      <w:r w:rsidR="004E353E" w:rsidRPr="006C724E">
        <w:rPr>
          <w:color w:val="000000"/>
          <w:szCs w:val="20"/>
        </w:rPr>
        <w:t xml:space="preserve"> nebránící jejich řádnému užívání</w:t>
      </w:r>
      <w:r w:rsidRPr="006C724E"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077C8362" w14:textId="77777777" w:rsidR="006C724E" w:rsidRPr="006C724E" w:rsidRDefault="006C724E" w:rsidP="006C724E">
      <w:pPr>
        <w:spacing w:after="160" w:line="259" w:lineRule="auto"/>
        <w:jc w:val="both"/>
        <w:rPr>
          <w:b/>
        </w:rPr>
      </w:pP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625BA12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let)   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roky)   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4C7ACF64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 xml:space="preserve">u 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185EA6BF" w14:textId="0B66912A" w:rsidR="00967504" w:rsidRDefault="000D2E7A" w:rsidP="00553F1C">
      <w:pPr>
        <w:pStyle w:val="Bezmezer"/>
        <w:ind w:left="1428"/>
        <w:rPr>
          <w:rFonts w:ascii="Times New Roman" w:hAnsi="Times New Roman"/>
          <w:sz w:val="24"/>
        </w:rPr>
      </w:pPr>
      <w:r w:rsidRPr="000D2E7A">
        <w:rPr>
          <w:rFonts w:ascii="Times New Roman" w:hAnsi="Times New Roman"/>
          <w:sz w:val="24"/>
        </w:rPr>
        <w:t xml:space="preserve">Lucie Škardová, hospodářka soudu, tel. </w:t>
      </w:r>
      <w:r w:rsidR="00967504">
        <w:rPr>
          <w:rFonts w:ascii="Times New Roman" w:hAnsi="Times New Roman"/>
          <w:sz w:val="24"/>
        </w:rPr>
        <w:t xml:space="preserve">+420 </w:t>
      </w:r>
      <w:r w:rsidR="006707FC">
        <w:rPr>
          <w:rFonts w:ascii="Times New Roman" w:hAnsi="Times New Roman"/>
          <w:sz w:val="24"/>
        </w:rPr>
        <w:t>xxx</w:t>
      </w:r>
      <w:r w:rsidRPr="000D2E7A">
        <w:rPr>
          <w:rFonts w:ascii="Times New Roman" w:hAnsi="Times New Roman"/>
          <w:sz w:val="24"/>
        </w:rPr>
        <w:t xml:space="preserve">, </w:t>
      </w:r>
      <w:r w:rsidR="006707FC">
        <w:rPr>
          <w:rFonts w:ascii="Times New Roman" w:hAnsi="Times New Roman"/>
          <w:sz w:val="24"/>
        </w:rPr>
        <w:t>xxx</w:t>
      </w:r>
      <w:r w:rsidRPr="000D2E7A">
        <w:rPr>
          <w:rFonts w:ascii="Times New Roman" w:hAnsi="Times New Roman"/>
          <w:sz w:val="24"/>
        </w:rPr>
        <w:t xml:space="preserve">, </w:t>
      </w:r>
    </w:p>
    <w:p w14:paraId="51790E0E" w14:textId="036BD2B3" w:rsidR="00553F1C" w:rsidRPr="00DF75DE" w:rsidRDefault="000D2E7A" w:rsidP="00553F1C">
      <w:pPr>
        <w:pStyle w:val="Bezmezer"/>
        <w:ind w:left="1428"/>
        <w:rPr>
          <w:rFonts w:ascii="Times New Roman" w:hAnsi="Times New Roman"/>
          <w:sz w:val="24"/>
        </w:rPr>
      </w:pPr>
      <w:r w:rsidRPr="000D2E7A">
        <w:rPr>
          <w:rFonts w:ascii="Times New Roman" w:hAnsi="Times New Roman"/>
          <w:sz w:val="24"/>
        </w:rPr>
        <w:t xml:space="preserve">e-mail: </w:t>
      </w:r>
      <w:r w:rsidR="006707FC">
        <w:rPr>
          <w:rFonts w:ascii="Times New Roman" w:hAnsi="Times New Roman"/>
          <w:sz w:val="24"/>
        </w:rPr>
        <w:t>xxx</w:t>
      </w: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797D0178" w14:textId="683392E9" w:rsidR="00967504" w:rsidRDefault="00967504" w:rsidP="00967504">
      <w:pPr>
        <w:pStyle w:val="Bezmezer"/>
        <w:ind w:left="1416"/>
        <w:rPr>
          <w:rFonts w:ascii="Times New Roman" w:hAnsi="Times New Roman"/>
          <w:sz w:val="24"/>
        </w:rPr>
      </w:pPr>
      <w:r w:rsidRPr="00967504">
        <w:rPr>
          <w:rFonts w:ascii="Times New Roman" w:hAnsi="Times New Roman"/>
          <w:sz w:val="24"/>
        </w:rPr>
        <w:t xml:space="preserve">Ing. Karolína Kapounová, </w:t>
      </w:r>
      <w:r>
        <w:rPr>
          <w:rFonts w:ascii="Times New Roman" w:hAnsi="Times New Roman"/>
          <w:sz w:val="24"/>
        </w:rPr>
        <w:t xml:space="preserve">tel. </w:t>
      </w:r>
      <w:r w:rsidRPr="00967504">
        <w:rPr>
          <w:rFonts w:ascii="Times New Roman" w:hAnsi="Times New Roman"/>
          <w:sz w:val="24"/>
        </w:rPr>
        <w:t xml:space="preserve">+420 </w:t>
      </w:r>
      <w:r w:rsidR="006707FC">
        <w:rPr>
          <w:rFonts w:ascii="Times New Roman" w:hAnsi="Times New Roman"/>
          <w:sz w:val="24"/>
        </w:rPr>
        <w:t>xxx</w:t>
      </w:r>
      <w:r w:rsidRPr="0096750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78746BF6" w14:textId="74E10211" w:rsidR="00553F1C" w:rsidRPr="00D80877" w:rsidRDefault="00967504" w:rsidP="00967504">
      <w:pPr>
        <w:pStyle w:val="Bezmezer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Pr="00967504">
        <w:rPr>
          <w:rFonts w:ascii="Times New Roman" w:hAnsi="Times New Roman"/>
          <w:sz w:val="24"/>
        </w:rPr>
        <w:t xml:space="preserve"> </w:t>
      </w:r>
      <w:r w:rsidR="006707FC">
        <w:rPr>
          <w:rFonts w:ascii="Times New Roman" w:hAnsi="Times New Roman"/>
          <w:sz w:val="24"/>
        </w:rPr>
        <w:t>xxx</w:t>
      </w: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0A7914EA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2016/679 o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</w:t>
      </w:r>
      <w:r w:rsidRPr="009C21E2">
        <w:lastRenderedPageBreak/>
        <w:t xml:space="preserve">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oprávněn odstoupit bez jakýchkoliv sankcí, pokud nebude schválena částka ze státního rozpočtu následujícího </w:t>
      </w:r>
      <w:r>
        <w:rPr>
          <w:rFonts w:ascii="Times New Roman" w:hAnsi="Times New Roman"/>
          <w:sz w:val="24"/>
          <w:szCs w:val="20"/>
        </w:rPr>
        <w:lastRenderedPageBreak/>
        <w:t>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254BFC7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>
        <w:rPr>
          <w:szCs w:val="20"/>
        </w:rPr>
        <w:t xml:space="preserve"> 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 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4D008D67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a 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Kupní smlouva</w:t>
      </w:r>
      <w:r w:rsidR="00A5735A" w:rsidRPr="00B80F4A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lastRenderedPageBreak/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57A71BFF" w14:textId="77777777" w:rsidR="000D2E7A" w:rsidRDefault="00553F1C" w:rsidP="000D2E7A">
      <w:pPr>
        <w:tabs>
          <w:tab w:val="left" w:pos="2127"/>
        </w:tabs>
        <w:spacing w:after="0"/>
        <w:ind w:left="567" w:hanging="567"/>
        <w:jc w:val="both"/>
      </w:pPr>
      <w:r>
        <w:t xml:space="preserve">           </w:t>
      </w:r>
      <w:r w:rsidR="003A7867">
        <w:rPr>
          <w:rStyle w:val="Znakapoznpodarou"/>
        </w:rPr>
        <w:footnoteReference w:id="1"/>
      </w:r>
      <w:r w:rsidR="00DF75DE">
        <w:t>P</w:t>
      </w:r>
      <w:r>
        <w:t>říloha č. 1</w:t>
      </w:r>
      <w:r w:rsidR="003A7867">
        <w:t xml:space="preserve">:   </w:t>
      </w:r>
      <w:r>
        <w:t xml:space="preserve"> </w:t>
      </w:r>
      <w:r w:rsidR="00E97BCB">
        <w:t xml:space="preserve">1.4 Specifikace </w:t>
      </w:r>
      <w:r w:rsidR="008A7086">
        <w:t xml:space="preserve">požadovaného předmětu plnění - </w:t>
      </w:r>
      <w:r w:rsidR="00E97BCB">
        <w:t xml:space="preserve">Vozidel – kategorie 2D </w:t>
      </w:r>
    </w:p>
    <w:p w14:paraId="7311110C" w14:textId="075F558F" w:rsidR="00E97BCB" w:rsidRDefault="000D2E7A" w:rsidP="000D2E7A">
      <w:pPr>
        <w:tabs>
          <w:tab w:val="left" w:pos="2127"/>
        </w:tabs>
        <w:spacing w:after="0"/>
        <w:ind w:left="567" w:hanging="567"/>
        <w:jc w:val="both"/>
      </w:pPr>
      <w:r>
        <w:tab/>
      </w:r>
      <w:r>
        <w:tab/>
      </w:r>
      <w:r w:rsidR="00E97BCB">
        <w:t>– motorová nafta</w:t>
      </w: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1DADA527" w14:textId="77777777" w:rsidR="000D2E7A" w:rsidRDefault="000D2E7A" w:rsidP="00A5735A">
      <w:pPr>
        <w:spacing w:after="0"/>
        <w:ind w:left="567" w:hanging="567"/>
        <w:jc w:val="both"/>
      </w:pPr>
    </w:p>
    <w:p w14:paraId="4DE209A5" w14:textId="77777777" w:rsidR="000D2E7A" w:rsidRDefault="000D2E7A" w:rsidP="00A5735A">
      <w:pPr>
        <w:spacing w:after="0"/>
        <w:ind w:left="567" w:hanging="567"/>
        <w:jc w:val="both"/>
      </w:pPr>
    </w:p>
    <w:p w14:paraId="00822D24" w14:textId="6BF29994" w:rsidR="00553F1C" w:rsidRDefault="00553F1C" w:rsidP="00553F1C">
      <w:pPr>
        <w:spacing w:before="240" w:after="0"/>
      </w:pPr>
      <w:r>
        <w:t>V </w:t>
      </w:r>
      <w:r w:rsidR="000D2E7A">
        <w:t>Plzni</w:t>
      </w:r>
      <w:r>
        <w:t xml:space="preserve"> dne</w:t>
      </w:r>
      <w:r w:rsidR="00DF75DE">
        <w:t xml:space="preserve"> </w:t>
      </w:r>
      <w:r>
        <w:t>………………</w:t>
      </w:r>
      <w:r>
        <w:tab/>
      </w:r>
      <w:r>
        <w:tab/>
        <w:t xml:space="preserve">                     </w:t>
      </w:r>
      <w:r w:rsidR="00DF75DE">
        <w:tab/>
      </w:r>
      <w:r w:rsidR="00DF75DE">
        <w:tab/>
      </w:r>
      <w:r>
        <w:t>V Praze dne ………………….</w:t>
      </w:r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77777777" w:rsidR="00553F1C" w:rsidRDefault="00553F1C" w:rsidP="00553F1C"/>
    <w:p w14:paraId="4AA19E5E" w14:textId="26B6EF29" w:rsidR="00553F1C" w:rsidRDefault="00553F1C" w:rsidP="00553F1C">
      <w:r>
        <w:t>………………………</w:t>
      </w:r>
      <w:r w:rsidR="006C724E">
        <w:t>….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32856999" w14:textId="43E66D4F" w:rsidR="00967504" w:rsidRPr="00967504" w:rsidRDefault="000D2E7A" w:rsidP="00DF75DE">
      <w:pPr>
        <w:rPr>
          <w:i/>
        </w:rPr>
      </w:pPr>
      <w:r>
        <w:rPr>
          <w:i/>
          <w:lang w:val="en-US"/>
        </w:rPr>
        <w:t>Mgr. Ing. Marek Poláček</w:t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DF75DE">
        <w:rPr>
          <w:lang w:val="en-US"/>
        </w:rPr>
        <w:tab/>
      </w:r>
      <w:r w:rsidR="00967504">
        <w:rPr>
          <w:lang w:val="en-US"/>
        </w:rPr>
        <w:t xml:space="preserve">       </w:t>
      </w:r>
      <w:r w:rsidR="00967504" w:rsidRPr="00967504">
        <w:rPr>
          <w:i/>
        </w:rPr>
        <w:t>Ing. Tomáš Duchoň</w:t>
      </w:r>
    </w:p>
    <w:p w14:paraId="06FFAEE9" w14:textId="10554AB0" w:rsidR="00DF75DE" w:rsidRPr="00DF75DE" w:rsidRDefault="006C724E" w:rsidP="00967504">
      <w:pPr>
        <w:rPr>
          <w:i/>
          <w:lang w:val="en-US"/>
        </w:rPr>
      </w:pPr>
      <w:r>
        <w:rPr>
          <w:i/>
          <w:lang w:val="en-US"/>
        </w:rPr>
        <w:t xml:space="preserve">     </w:t>
      </w:r>
      <w:r w:rsidR="00967504" w:rsidRPr="00967504">
        <w:rPr>
          <w:i/>
          <w:lang w:val="en-US"/>
        </w:rPr>
        <w:t>předseda soudu</w:t>
      </w:r>
      <w:r w:rsidR="00967504" w:rsidRPr="00967504">
        <w:rPr>
          <w:i/>
          <w:lang w:val="en-US"/>
        </w:rPr>
        <w:tab/>
      </w:r>
      <w:r w:rsidR="00967504" w:rsidRPr="00967504">
        <w:rPr>
          <w:i/>
          <w:lang w:val="en-US"/>
        </w:rPr>
        <w:tab/>
      </w:r>
      <w:r w:rsidR="00967504" w:rsidRPr="00967504">
        <w:rPr>
          <w:i/>
          <w:lang w:val="en-US"/>
        </w:rPr>
        <w:tab/>
      </w:r>
      <w:r w:rsidR="00967504" w:rsidRPr="00967504">
        <w:rPr>
          <w:i/>
          <w:lang w:val="en-US"/>
        </w:rPr>
        <w:tab/>
      </w:r>
      <w:r w:rsidR="00967504" w:rsidRPr="00967504">
        <w:rPr>
          <w:i/>
          <w:lang w:val="en-US"/>
        </w:rPr>
        <w:tab/>
      </w:r>
      <w:r w:rsidR="00967504" w:rsidRPr="00967504">
        <w:rPr>
          <w:i/>
          <w:lang w:val="en-US"/>
        </w:rPr>
        <w:tab/>
      </w:r>
      <w:r w:rsidR="00967504">
        <w:rPr>
          <w:i/>
          <w:lang w:val="en-US"/>
        </w:rPr>
        <w:t xml:space="preserve">       </w:t>
      </w:r>
      <w:r w:rsidR="00967504" w:rsidRPr="00967504">
        <w:rPr>
          <w:i/>
        </w:rPr>
        <w:t>vedoucí prodeje ČR</w:t>
      </w: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0DBE5BBE" w14:textId="77777777" w:rsidR="00967504" w:rsidRDefault="00967504" w:rsidP="00967504">
      <w:pPr>
        <w:ind w:left="4956" w:firstLine="708"/>
      </w:pPr>
      <w:r>
        <w:t>………………………………</w:t>
      </w:r>
    </w:p>
    <w:p w14:paraId="5AD2532D" w14:textId="60FC8D7A" w:rsidR="00967504" w:rsidRPr="00967504" w:rsidRDefault="00967504" w:rsidP="00967504">
      <w:pPr>
        <w:rPr>
          <w:i/>
        </w:rPr>
      </w:pPr>
      <w:r>
        <w:rPr>
          <w:i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 w:rsidRPr="00967504">
        <w:rPr>
          <w:i/>
        </w:rPr>
        <w:t xml:space="preserve">Ing. Jan Pícha </w:t>
      </w:r>
    </w:p>
    <w:p w14:paraId="51CDC64E" w14:textId="25440E31" w:rsidR="00967504" w:rsidRPr="00DF75DE" w:rsidRDefault="00967504" w:rsidP="00967504">
      <w:pPr>
        <w:rPr>
          <w:i/>
          <w:lang w:val="en-US"/>
        </w:rPr>
      </w:pPr>
      <w:r>
        <w:rPr>
          <w:i/>
          <w:lang w:val="en-US"/>
        </w:rPr>
        <w:tab/>
      </w:r>
      <w:r w:rsidRPr="00967504">
        <w:rPr>
          <w:i/>
          <w:lang w:val="en-US"/>
        </w:rPr>
        <w:tab/>
      </w:r>
      <w:r w:rsidRPr="00967504">
        <w:rPr>
          <w:i/>
          <w:lang w:val="en-US"/>
        </w:rPr>
        <w:tab/>
      </w:r>
      <w:r w:rsidRPr="00967504">
        <w:rPr>
          <w:i/>
          <w:lang w:val="en-US"/>
        </w:rPr>
        <w:tab/>
      </w:r>
      <w:r w:rsidRPr="00967504">
        <w:rPr>
          <w:i/>
          <w:lang w:val="en-US"/>
        </w:rPr>
        <w:tab/>
      </w:r>
      <w:r w:rsidRPr="00967504">
        <w:rPr>
          <w:i/>
          <w:lang w:val="en-US"/>
        </w:rPr>
        <w:tab/>
      </w:r>
      <w:r w:rsidRPr="00967504"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</w:rPr>
        <w:t>v</w:t>
      </w:r>
      <w:r w:rsidRPr="00967504">
        <w:rPr>
          <w:i/>
        </w:rPr>
        <w:t>edoucí servisních služeb ČR</w:t>
      </w:r>
    </w:p>
    <w:bookmarkEnd w:id="0"/>
    <w:p w14:paraId="7BA1EAEC" w14:textId="77777777" w:rsidR="00967504" w:rsidRDefault="00967504" w:rsidP="00553F1C">
      <w:pPr>
        <w:rPr>
          <w:lang w:val="en-US"/>
        </w:rPr>
      </w:pPr>
    </w:p>
    <w:p w14:paraId="5A1F6264" w14:textId="77777777" w:rsidR="00591805" w:rsidRDefault="00591805" w:rsidP="00997264">
      <w:pPr>
        <w:rPr>
          <w:lang w:val="en-US"/>
        </w:rPr>
      </w:pPr>
    </w:p>
    <w:p w14:paraId="5101594B" w14:textId="77777777" w:rsidR="00B20D51" w:rsidRDefault="00B20D51" w:rsidP="00997264">
      <w:pPr>
        <w:rPr>
          <w:lang w:val="en-US"/>
        </w:rPr>
      </w:pPr>
    </w:p>
    <w:p w14:paraId="08E1186E" w14:textId="77777777" w:rsidR="00B20D51" w:rsidRPr="00B20D51" w:rsidRDefault="00B20D51" w:rsidP="00B20D51">
      <w:pPr>
        <w:rPr>
          <w:lang w:val="en-US"/>
        </w:rPr>
      </w:pPr>
    </w:p>
    <w:p w14:paraId="5B560C24" w14:textId="77777777" w:rsidR="00B20D51" w:rsidRPr="00B20D51" w:rsidRDefault="00B20D51" w:rsidP="00B20D51">
      <w:pPr>
        <w:rPr>
          <w:lang w:val="en-US"/>
        </w:rPr>
      </w:pPr>
    </w:p>
    <w:p w14:paraId="57AC5853" w14:textId="77777777" w:rsidR="00B20D51" w:rsidRPr="00B20D51" w:rsidRDefault="00B20D51" w:rsidP="00B20D51">
      <w:pPr>
        <w:rPr>
          <w:lang w:val="en-US"/>
        </w:rPr>
      </w:pPr>
    </w:p>
    <w:p w14:paraId="73B76E72" w14:textId="77777777" w:rsidR="00B20D51" w:rsidRPr="00B20D51" w:rsidRDefault="00B20D51" w:rsidP="00B20D51">
      <w:pPr>
        <w:rPr>
          <w:lang w:val="en-US"/>
        </w:rPr>
      </w:pPr>
    </w:p>
    <w:p w14:paraId="43B97199" w14:textId="77777777" w:rsidR="00B20D51" w:rsidRPr="00B20D51" w:rsidRDefault="00B20D51" w:rsidP="00B20D51">
      <w:pPr>
        <w:rPr>
          <w:lang w:val="en-US"/>
        </w:rPr>
      </w:pPr>
    </w:p>
    <w:p w14:paraId="2BE09712" w14:textId="77777777" w:rsidR="00B20D51" w:rsidRPr="00B20D51" w:rsidRDefault="00B20D51" w:rsidP="00B20D51">
      <w:pPr>
        <w:rPr>
          <w:lang w:val="en-US"/>
        </w:rPr>
      </w:pPr>
    </w:p>
    <w:p w14:paraId="27724768" w14:textId="77777777" w:rsidR="00B20D51" w:rsidRPr="00B20D51" w:rsidRDefault="00B20D51" w:rsidP="00B20D51">
      <w:pPr>
        <w:rPr>
          <w:lang w:val="en-US"/>
        </w:rPr>
      </w:pPr>
    </w:p>
    <w:p w14:paraId="7C00E3FA" w14:textId="77777777" w:rsidR="00B20D51" w:rsidRPr="00B20D51" w:rsidRDefault="00B20D51" w:rsidP="00B20D51">
      <w:pPr>
        <w:rPr>
          <w:lang w:val="en-US"/>
        </w:rPr>
      </w:pPr>
    </w:p>
    <w:p w14:paraId="57EF3509" w14:textId="77777777" w:rsidR="00B20D51" w:rsidRPr="00B20D51" w:rsidRDefault="00B20D51" w:rsidP="00B20D51">
      <w:pPr>
        <w:rPr>
          <w:lang w:val="en-US"/>
        </w:rPr>
      </w:pPr>
    </w:p>
    <w:p w14:paraId="3DD3A448" w14:textId="77777777" w:rsidR="00B20D51" w:rsidRDefault="00B20D51" w:rsidP="00B20D51">
      <w:pPr>
        <w:rPr>
          <w:lang w:val="en-US"/>
        </w:rPr>
      </w:pPr>
    </w:p>
    <w:p w14:paraId="447C12F4" w14:textId="77777777" w:rsidR="00B20D51" w:rsidRDefault="00B20D51" w:rsidP="00B20D51">
      <w:pPr>
        <w:tabs>
          <w:tab w:val="left" w:pos="899"/>
        </w:tabs>
        <w:rPr>
          <w:lang w:val="en-US"/>
        </w:rPr>
      </w:pPr>
    </w:p>
    <w:p w14:paraId="44CDFFC9" w14:textId="66028909" w:rsidR="006C724E" w:rsidRDefault="006C724E" w:rsidP="00B20D51">
      <w:pPr>
        <w:tabs>
          <w:tab w:val="left" w:pos="899"/>
        </w:tabs>
        <w:rPr>
          <w:lang w:val="en-US"/>
        </w:rPr>
      </w:pPr>
      <w:r>
        <w:rPr>
          <w:lang w:val="en-US"/>
        </w:rPr>
        <w:lastRenderedPageBreak/>
        <w:t>Příloha č. 1:</w:t>
      </w:r>
    </w:p>
    <w:p w14:paraId="3B2D01FB" w14:textId="77777777" w:rsidR="006C724E" w:rsidRDefault="006C724E" w:rsidP="00B20D51">
      <w:pPr>
        <w:tabs>
          <w:tab w:val="left" w:pos="899"/>
        </w:tabs>
        <w:rPr>
          <w:lang w:val="en-US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871"/>
        <w:gridCol w:w="1701"/>
        <w:gridCol w:w="1820"/>
      </w:tblGrid>
      <w:tr w:rsidR="00B20D51" w:rsidRPr="008E7B98" w14:paraId="69CEF9E1" w14:textId="77777777" w:rsidTr="00B20D51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9D6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Podkategorie vozidla: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BAD" w14:textId="77777777" w:rsidR="00B20D51" w:rsidRPr="008E7B98" w:rsidRDefault="00B20D51" w:rsidP="00C4541B">
            <w:pPr>
              <w:spacing w:after="0"/>
              <w:ind w:left="-469" w:firstLine="425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2D – nafta, manuál</w:t>
            </w:r>
          </w:p>
        </w:tc>
      </w:tr>
      <w:tr w:rsidR="00B20D51" w:rsidRPr="008E7B98" w14:paraId="79A20F14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B5E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Tovární značka: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8DF1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  <w:r w:rsidRPr="008E7B98">
              <w:rPr>
                <w:sz w:val="20"/>
                <w:szCs w:val="20"/>
              </w:rPr>
              <w:t>Škoda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B1365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3D00D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BB4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B20D51" w:rsidRPr="008E7B98" w14:paraId="06B63986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889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Obchodní označení modelu: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CCB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  <w:r w:rsidRPr="008E7B98">
              <w:rPr>
                <w:sz w:val="20"/>
                <w:szCs w:val="20"/>
              </w:rPr>
              <w:t xml:space="preserve">OCTAVIA COMBI </w:t>
            </w:r>
            <w:r>
              <w:rPr>
                <w:sz w:val="20"/>
                <w:szCs w:val="20"/>
              </w:rPr>
              <w:t>Selection</w:t>
            </w:r>
            <w:r w:rsidRPr="008E7B98">
              <w:rPr>
                <w:sz w:val="20"/>
                <w:szCs w:val="20"/>
              </w:rPr>
              <w:t xml:space="preserve"> 2,0 TDI 85 kW MAN 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863D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7985D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F8D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B20D51" w:rsidRPr="008E7B98" w14:paraId="71142168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28E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Barva vozidel: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FE5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Černá</w:t>
            </w:r>
          </w:p>
        </w:tc>
      </w:tr>
      <w:tr w:rsidR="00B20D51" w:rsidRPr="008E7B98" w14:paraId="70C1044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BFB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Namontované pneumatiky: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6EB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letní</w:t>
            </w:r>
          </w:p>
        </w:tc>
      </w:tr>
      <w:tr w:rsidR="00B20D51" w:rsidRPr="008E7B98" w14:paraId="76F48FA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C6C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Počet vozidel: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BF8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</w:t>
            </w:r>
          </w:p>
        </w:tc>
      </w:tr>
      <w:tr w:rsidR="00B20D51" w:rsidRPr="008E7B98" w14:paraId="1F12F122" w14:textId="77777777" w:rsidTr="00B20D51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DBC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9FB3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7E06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0E1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596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</w:tr>
      <w:tr w:rsidR="00B20D51" w:rsidRPr="008E7B98" w14:paraId="776ED6FC" w14:textId="77777777" w:rsidTr="00B20D51">
        <w:trPr>
          <w:trHeight w:val="58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5F92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30C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97D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Výše DPH v Kč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9FD" w14:textId="77777777" w:rsidR="00B20D51" w:rsidRPr="008E7B98" w:rsidRDefault="00B20D51" w:rsidP="00B20D51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Cena v Kč včetně DPH</w:t>
            </w:r>
          </w:p>
        </w:tc>
      </w:tr>
      <w:tr w:rsidR="00B20D51" w:rsidRPr="008E7B98" w14:paraId="30F20871" w14:textId="77777777" w:rsidTr="00B20D51">
        <w:trPr>
          <w:trHeight w:val="7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66EC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Cena za vozidlo v základní výbavě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2CC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455 699,18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7B7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95 696,8</w:t>
            </w:r>
            <w:r>
              <w:rPr>
                <w:rFonts w:cs="Calibri"/>
                <w:b/>
                <w:bCs/>
              </w:rPr>
              <w:t>2</w:t>
            </w:r>
            <w:r w:rsidRPr="008E7B98">
              <w:rPr>
                <w:rFonts w:cs="Calibri"/>
                <w:b/>
                <w:bCs/>
              </w:rPr>
              <w:t xml:space="preserve">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E586" w14:textId="77777777" w:rsidR="00B20D51" w:rsidRPr="008E7B98" w:rsidRDefault="00B20D51" w:rsidP="00B20D51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551 396,00 Kč</w:t>
            </w:r>
          </w:p>
        </w:tc>
      </w:tr>
      <w:tr w:rsidR="00B20D51" w:rsidRPr="008E7B98" w14:paraId="7435FCA8" w14:textId="77777777" w:rsidTr="00B20D51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AD2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6F9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42BF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FA1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4FF4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</w:tr>
      <w:tr w:rsidR="00B20D51" w:rsidRPr="008E7B98" w14:paraId="3C76159B" w14:textId="77777777" w:rsidTr="00B20D51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200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556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Požadavek ANO/NE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E31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17E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Výše DPH v Kč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1ADC" w14:textId="77777777" w:rsidR="00B20D51" w:rsidRPr="008E7B98" w:rsidRDefault="00B20D51" w:rsidP="00B20D51">
            <w:pPr>
              <w:spacing w:after="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E7B98">
              <w:rPr>
                <w:rFonts w:cs="Calibri"/>
                <w:i/>
                <w:iCs/>
                <w:sz w:val="20"/>
                <w:szCs w:val="20"/>
              </w:rPr>
              <w:t>Cena v Kč včetně DPH</w:t>
            </w:r>
          </w:p>
        </w:tc>
      </w:tr>
      <w:tr w:rsidR="00B20D51" w:rsidRPr="008E7B98" w14:paraId="22C4EB55" w14:textId="77777777" w:rsidTr="00B20D51">
        <w:trPr>
          <w:trHeight w:val="3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B12E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8E7B98">
              <w:rPr>
                <w:rFonts w:cs="Calibri"/>
                <w:b/>
                <w:bCs/>
                <w:sz w:val="20"/>
                <w:szCs w:val="20"/>
              </w:rPr>
              <w:t>Položky nadstandardní výbavy a příslušenství</w:t>
            </w:r>
          </w:p>
        </w:tc>
      </w:tr>
      <w:tr w:rsidR="00B20D51" w:rsidRPr="008E7B98" w14:paraId="4D2646CD" w14:textId="77777777" w:rsidTr="00B20D5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980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Hasicí přístroj pevně uchycený k vozidlu (práškový 1 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DA99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63E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1 347,93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9704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283,07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AA9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1 631,00 Kč</w:t>
            </w:r>
          </w:p>
        </w:tc>
      </w:tr>
      <w:tr w:rsidR="00B20D51" w:rsidRPr="008E7B98" w14:paraId="030670CB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568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Tažné zařízení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5F2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C40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12 119,01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AF4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2 544,99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00A5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14 664,00 Kč</w:t>
            </w:r>
          </w:p>
        </w:tc>
      </w:tr>
      <w:tr w:rsidR="00B20D51" w:rsidRPr="008E7B98" w14:paraId="641B9CE5" w14:textId="77777777" w:rsidTr="00B20D5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DBA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Bezpečnostní šrouby kol (není-li vozidlo vybaveno pneumatikami na litých discích)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1F9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6D2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03F4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9449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</w:tr>
      <w:tr w:rsidR="00B20D51" w:rsidRPr="008E7B98" w14:paraId="61B72D10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802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Sněhové řetězy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DE5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AB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1 521,49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165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319,51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041A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1 841,00 Kč</w:t>
            </w:r>
          </w:p>
        </w:tc>
      </w:tr>
      <w:tr w:rsidR="00B20D51" w:rsidRPr="008E7B98" w14:paraId="79950D8D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3ED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Reflexní vesty pro všechny cestující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6144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331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178,51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8A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37,49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5A5A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216,00 Kč</w:t>
            </w:r>
          </w:p>
        </w:tc>
      </w:tr>
      <w:tr w:rsidR="00B20D51" w:rsidRPr="008E7B98" w14:paraId="7A8F2F36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8C6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Vyhřívaná zpětná zrcátka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C31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BB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D29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AD8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</w:tr>
      <w:tr w:rsidR="00B20D51" w:rsidRPr="008E7B98" w14:paraId="4342923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670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Palubní počítač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AF37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35E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5471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DFA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</w:tr>
      <w:tr w:rsidR="00B20D51" w:rsidRPr="008E7B98" w14:paraId="56D9C81D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FA5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Středová loketní opěrka vpředu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3B5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67D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193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5A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</w:tr>
      <w:tr w:rsidR="00B20D51" w:rsidRPr="008E7B98" w14:paraId="6705B22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186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Středová loketní opěrka vzadu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E96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B28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2E00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5F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0,00 Kč</w:t>
            </w:r>
          </w:p>
        </w:tc>
      </w:tr>
      <w:tr w:rsidR="00B20D51" w:rsidRPr="008E7B98" w14:paraId="554BB6B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2B7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Zámek řadící páky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36D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A7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6 509,92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161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1 367,08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0E8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7 877,00 Kč</w:t>
            </w:r>
          </w:p>
        </w:tc>
      </w:tr>
      <w:tr w:rsidR="00B20D51" w:rsidRPr="008E7B98" w14:paraId="721D8B1C" w14:textId="77777777" w:rsidTr="00B20D51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E0F" w14:textId="77777777" w:rsidR="00B20D51" w:rsidRPr="008E7B98" w:rsidRDefault="00B20D51" w:rsidP="00C4541B">
            <w:pPr>
              <w:spacing w:after="0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Vestavěná GPS navigace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7A4" w14:textId="77777777" w:rsidR="00B20D51" w:rsidRPr="008E7B98" w:rsidRDefault="00B20D51" w:rsidP="00C454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187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21 337,19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E70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4 480,81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F9F2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8E7B98">
              <w:rPr>
                <w:rFonts w:cs="Calibri"/>
                <w:sz w:val="20"/>
                <w:szCs w:val="20"/>
              </w:rPr>
              <w:t>25 818,00 Kč</w:t>
            </w:r>
          </w:p>
        </w:tc>
      </w:tr>
      <w:tr w:rsidR="00B20D51" w:rsidRPr="008E7B98" w14:paraId="5B3FED8A" w14:textId="77777777" w:rsidTr="00B20D51">
        <w:trPr>
          <w:trHeight w:val="7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94F9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290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ECC3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57F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F1E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</w:tr>
      <w:tr w:rsidR="00B20D51" w:rsidRPr="008E7B98" w14:paraId="5EC04BAE" w14:textId="77777777" w:rsidTr="00B20D51">
        <w:trPr>
          <w:trHeight w:val="40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8B773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Celková cena za nadstandardní výbavu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B55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22 863,63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C93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4 801,37 Kč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54C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27 665,00 Kč</w:t>
            </w:r>
          </w:p>
        </w:tc>
      </w:tr>
      <w:tr w:rsidR="00B20D51" w:rsidRPr="008E7B98" w14:paraId="2965FFE8" w14:textId="77777777" w:rsidTr="00B20D51">
        <w:trPr>
          <w:trHeight w:val="7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F76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5E8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60E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0CD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9347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</w:tr>
      <w:tr w:rsidR="00B20D51" w:rsidRPr="008E7B98" w14:paraId="7E1AB8FF" w14:textId="77777777" w:rsidTr="00B20D51">
        <w:trPr>
          <w:trHeight w:val="64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D73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Jednotková cena za 1 vozidlo včetně nadstandardní výbavy a příslušenství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3A46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478 562,81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C91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100 498,19 Kč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F45" w14:textId="77777777" w:rsidR="00B20D51" w:rsidRPr="008E7B98" w:rsidRDefault="00B20D51" w:rsidP="00B20D51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579 06</w:t>
            </w:r>
            <w:r>
              <w:rPr>
                <w:rFonts w:cs="Calibri"/>
                <w:b/>
                <w:bCs/>
              </w:rPr>
              <w:t>1</w:t>
            </w:r>
            <w:r w:rsidRPr="008E7B98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00</w:t>
            </w:r>
            <w:r w:rsidRPr="008E7B98">
              <w:rPr>
                <w:rFonts w:cs="Calibri"/>
                <w:b/>
                <w:bCs/>
              </w:rPr>
              <w:t xml:space="preserve"> Kč</w:t>
            </w:r>
          </w:p>
        </w:tc>
      </w:tr>
      <w:tr w:rsidR="00B20D51" w:rsidRPr="008E7B98" w14:paraId="06AD3EAF" w14:textId="77777777" w:rsidTr="00B20D51">
        <w:trPr>
          <w:trHeight w:val="2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143B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168B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96AF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764A" w14:textId="77777777" w:rsidR="00B20D51" w:rsidRPr="008E7B98" w:rsidRDefault="00B20D51" w:rsidP="00C4541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CFFF" w14:textId="77777777" w:rsidR="00B20D51" w:rsidRPr="008E7B98" w:rsidRDefault="00B20D51" w:rsidP="00B20D5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B20D51" w:rsidRPr="008E7B98" w14:paraId="06AC4AF1" w14:textId="77777777" w:rsidTr="00B20D51">
        <w:trPr>
          <w:trHeight w:val="6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4A7945" w14:textId="77777777" w:rsidR="00B20D51" w:rsidRPr="008E7B98" w:rsidRDefault="00B20D51" w:rsidP="00C4541B">
            <w:pPr>
              <w:spacing w:after="0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Cena za požadovaný počet vozidel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B20AA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478 562,81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0D001" w14:textId="77777777" w:rsidR="00B20D51" w:rsidRPr="008E7B98" w:rsidRDefault="00B20D51" w:rsidP="00C4541B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100 498,19 Kč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8A3AF" w14:textId="77777777" w:rsidR="00B20D51" w:rsidRPr="008E7B98" w:rsidRDefault="00B20D51" w:rsidP="00B20D51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8E7B98">
              <w:rPr>
                <w:rFonts w:cs="Calibri"/>
                <w:b/>
                <w:bCs/>
              </w:rPr>
              <w:t>579 06</w:t>
            </w:r>
            <w:r>
              <w:rPr>
                <w:rFonts w:cs="Calibri"/>
                <w:b/>
                <w:bCs/>
              </w:rPr>
              <w:t>1</w:t>
            </w:r>
            <w:r w:rsidRPr="008E7B98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>00</w:t>
            </w:r>
            <w:r w:rsidRPr="008E7B98">
              <w:rPr>
                <w:rFonts w:cs="Calibri"/>
                <w:b/>
                <w:bCs/>
              </w:rPr>
              <w:t xml:space="preserve"> Kč</w:t>
            </w:r>
          </w:p>
        </w:tc>
      </w:tr>
    </w:tbl>
    <w:p w14:paraId="64D3F358" w14:textId="77777777" w:rsidR="00B20D51" w:rsidRPr="00B20D51" w:rsidRDefault="00B20D51" w:rsidP="00B20D51">
      <w:pPr>
        <w:tabs>
          <w:tab w:val="left" w:pos="899"/>
        </w:tabs>
        <w:rPr>
          <w:lang w:val="en-US"/>
        </w:rPr>
      </w:pPr>
    </w:p>
    <w:sectPr w:rsidR="00B20D51" w:rsidRPr="00B2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E4FB" w14:textId="77777777" w:rsidR="003100D6" w:rsidRDefault="003100D6" w:rsidP="00901E6B">
      <w:pPr>
        <w:spacing w:after="0"/>
      </w:pPr>
      <w:r>
        <w:separator/>
      </w:r>
    </w:p>
  </w:endnote>
  <w:endnote w:type="continuationSeparator" w:id="0">
    <w:p w14:paraId="1FD6C709" w14:textId="77777777" w:rsidR="003100D6" w:rsidRDefault="003100D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1D3B" w14:textId="77777777" w:rsidR="003100D6" w:rsidRDefault="003100D6" w:rsidP="00901E6B">
      <w:pPr>
        <w:spacing w:after="0"/>
      </w:pPr>
      <w:r>
        <w:separator/>
      </w:r>
    </w:p>
  </w:footnote>
  <w:footnote w:type="continuationSeparator" w:id="0">
    <w:p w14:paraId="25BA7A13" w14:textId="77777777" w:rsidR="003100D6" w:rsidRDefault="003100D6" w:rsidP="00901E6B">
      <w:pPr>
        <w:spacing w:after="0"/>
      </w:pPr>
      <w:r>
        <w:continuationSeparator/>
      </w:r>
    </w:p>
  </w:footnote>
  <w:footnote w:id="1">
    <w:p w14:paraId="6C20DE1C" w14:textId="34CC1FD3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 xml:space="preserve">odpovídající konkrétní kategorii a 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3B5CB333" w14:textId="155B56E2" w:rsidR="008A7086" w:rsidRDefault="008A708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8FA67D2E"/>
    <w:lvl w:ilvl="0" w:tplc="EEE0D1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9357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521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112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1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459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7693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11653">
    <w:abstractNumId w:val="14"/>
  </w:num>
  <w:num w:numId="8" w16cid:durableId="2117098312">
    <w:abstractNumId w:val="3"/>
  </w:num>
  <w:num w:numId="9" w16cid:durableId="184296945">
    <w:abstractNumId w:val="6"/>
  </w:num>
  <w:num w:numId="10" w16cid:durableId="3853786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769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6366543">
    <w:abstractNumId w:val="0"/>
  </w:num>
  <w:num w:numId="13" w16cid:durableId="764617508">
    <w:abstractNumId w:val="9"/>
  </w:num>
  <w:num w:numId="14" w16cid:durableId="1524438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2692290">
    <w:abstractNumId w:val="2"/>
  </w:num>
  <w:num w:numId="16" w16cid:durableId="53963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440A7"/>
    <w:rsid w:val="00046C6D"/>
    <w:rsid w:val="000A17DA"/>
    <w:rsid w:val="000D2E7A"/>
    <w:rsid w:val="0013624D"/>
    <w:rsid w:val="001733ED"/>
    <w:rsid w:val="001C3584"/>
    <w:rsid w:val="002934A4"/>
    <w:rsid w:val="002A2891"/>
    <w:rsid w:val="002C3EB6"/>
    <w:rsid w:val="002E1DA5"/>
    <w:rsid w:val="002E22CB"/>
    <w:rsid w:val="003100D6"/>
    <w:rsid w:val="00317F42"/>
    <w:rsid w:val="00344ABE"/>
    <w:rsid w:val="003918AC"/>
    <w:rsid w:val="003A7867"/>
    <w:rsid w:val="003F66CE"/>
    <w:rsid w:val="004010E8"/>
    <w:rsid w:val="004170D7"/>
    <w:rsid w:val="00424B01"/>
    <w:rsid w:val="0048531A"/>
    <w:rsid w:val="004916B2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601133"/>
    <w:rsid w:val="006438E9"/>
    <w:rsid w:val="0064486F"/>
    <w:rsid w:val="00661BDB"/>
    <w:rsid w:val="006627B8"/>
    <w:rsid w:val="006707FC"/>
    <w:rsid w:val="00683A7E"/>
    <w:rsid w:val="006B24D7"/>
    <w:rsid w:val="006C724E"/>
    <w:rsid w:val="006D54FA"/>
    <w:rsid w:val="006E0016"/>
    <w:rsid w:val="0070574D"/>
    <w:rsid w:val="007402DA"/>
    <w:rsid w:val="007539D1"/>
    <w:rsid w:val="00761281"/>
    <w:rsid w:val="007612BF"/>
    <w:rsid w:val="007A49BE"/>
    <w:rsid w:val="007D30C6"/>
    <w:rsid w:val="00812B18"/>
    <w:rsid w:val="00867E3D"/>
    <w:rsid w:val="008A7086"/>
    <w:rsid w:val="00901E6B"/>
    <w:rsid w:val="00906910"/>
    <w:rsid w:val="0092231B"/>
    <w:rsid w:val="009443A7"/>
    <w:rsid w:val="00967504"/>
    <w:rsid w:val="0098552A"/>
    <w:rsid w:val="00997264"/>
    <w:rsid w:val="00A15922"/>
    <w:rsid w:val="00A5566A"/>
    <w:rsid w:val="00A5735A"/>
    <w:rsid w:val="00A724AD"/>
    <w:rsid w:val="00A94FF0"/>
    <w:rsid w:val="00AD705C"/>
    <w:rsid w:val="00AD73F0"/>
    <w:rsid w:val="00B1106E"/>
    <w:rsid w:val="00B20D51"/>
    <w:rsid w:val="00B2779A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D45FF"/>
    <w:rsid w:val="00BE7F6A"/>
    <w:rsid w:val="00C230AA"/>
    <w:rsid w:val="00C65AFB"/>
    <w:rsid w:val="00C77357"/>
    <w:rsid w:val="00CD6C13"/>
    <w:rsid w:val="00CF4B09"/>
    <w:rsid w:val="00D12FD6"/>
    <w:rsid w:val="00D80877"/>
    <w:rsid w:val="00D84633"/>
    <w:rsid w:val="00DB1080"/>
    <w:rsid w:val="00DD090B"/>
    <w:rsid w:val="00DD15C1"/>
    <w:rsid w:val="00DF75DE"/>
    <w:rsid w:val="00E2490B"/>
    <w:rsid w:val="00E650DE"/>
    <w:rsid w:val="00E71FDA"/>
    <w:rsid w:val="00E81B61"/>
    <w:rsid w:val="00E97BCB"/>
    <w:rsid w:val="00ED6C33"/>
    <w:rsid w:val="00EF6CE1"/>
    <w:rsid w:val="00F1090B"/>
    <w:rsid w:val="00F136D1"/>
    <w:rsid w:val="00F51C10"/>
    <w:rsid w:val="00F7189D"/>
    <w:rsid w:val="00F8104C"/>
    <w:rsid w:val="00F82D07"/>
    <w:rsid w:val="00FA75C9"/>
    <w:rsid w:val="00FC6487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6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2968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Škardová Lucie</cp:lastModifiedBy>
  <cp:revision>14</cp:revision>
  <cp:lastPrinted>2021-02-17T11:42:00Z</cp:lastPrinted>
  <dcterms:created xsi:type="dcterms:W3CDTF">2021-06-28T09:27:00Z</dcterms:created>
  <dcterms:modified xsi:type="dcterms:W3CDTF">2025-04-23T11:07:00Z</dcterms:modified>
</cp:coreProperties>
</file>