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AD" w:rsidRDefault="00E54004">
      <w:pPr>
        <w:spacing w:after="0" w:line="216" w:lineRule="auto"/>
        <w:ind w:left="329" w:right="0" w:hanging="10"/>
        <w:jc w:val="center"/>
      </w:pPr>
      <w:r>
        <w:rPr>
          <w:sz w:val="32"/>
        </w:rPr>
        <w:t>Rámcová smlouva o poskytování služeb oprav a revizí elektrických zařízení a hromosvodů</w:t>
      </w:r>
    </w:p>
    <w:p w:rsidR="00B367AD" w:rsidRDefault="00E54004">
      <w:pPr>
        <w:pStyle w:val="Nadpis1"/>
      </w:pPr>
      <w:r>
        <w:t>č. 1/2025</w:t>
      </w:r>
    </w:p>
    <w:p w:rsidR="00B367AD" w:rsidRPr="002264D6" w:rsidRDefault="00E54004">
      <w:pPr>
        <w:spacing w:after="262" w:line="259" w:lineRule="auto"/>
        <w:ind w:left="0" w:firstLine="0"/>
        <w:jc w:val="right"/>
        <w:rPr>
          <w:i/>
          <w:sz w:val="20"/>
        </w:rPr>
      </w:pPr>
      <w:r w:rsidRPr="002264D6">
        <w:rPr>
          <w:i/>
          <w:sz w:val="20"/>
        </w:rPr>
        <w:t>uzavřená ve smyslu ś 1746 odst. 2 a násl. zákona č. 89/2012 Sb., občanského zákoníku, v platném znění</w:t>
      </w:r>
    </w:p>
    <w:p w:rsidR="00B367AD" w:rsidRDefault="00E54004">
      <w:pPr>
        <w:spacing w:after="322" w:line="259" w:lineRule="auto"/>
        <w:ind w:left="437" w:right="336" w:hanging="10"/>
        <w:jc w:val="center"/>
      </w:pPr>
      <w:r>
        <w:t>Smluvní strany</w:t>
      </w:r>
    </w:p>
    <w:p w:rsidR="00B367AD" w:rsidRDefault="00E54004">
      <w:pPr>
        <w:tabs>
          <w:tab w:val="center" w:pos="1706"/>
        </w:tabs>
        <w:spacing w:after="0" w:line="259" w:lineRule="auto"/>
        <w:ind w:left="0" w:right="0" w:firstLine="0"/>
        <w:jc w:val="left"/>
      </w:pPr>
      <w:r>
        <w:rPr>
          <w:sz w:val="24"/>
        </w:rPr>
        <w:t>1.</w:t>
      </w:r>
      <w:r>
        <w:rPr>
          <w:sz w:val="24"/>
        </w:rPr>
        <w:tab/>
      </w:r>
      <w:r>
        <w:rPr>
          <w:sz w:val="24"/>
        </w:rPr>
        <w:t>Dům dětí a mládeže ALFA</w:t>
      </w:r>
    </w:p>
    <w:p w:rsidR="00B367AD" w:rsidRDefault="00E54004" w:rsidP="005E64CC">
      <w:pPr>
        <w:ind w:left="514" w:right="14"/>
      </w:pPr>
      <w:r>
        <w:t xml:space="preserve">Sídlo: Družby 334, Polabiny </w:t>
      </w:r>
      <w:proofErr w:type="spellStart"/>
      <w:r>
        <w:t>Ill</w:t>
      </w:r>
      <w:proofErr w:type="spellEnd"/>
      <w:r>
        <w:t>, 530 09 Pardubice</w:t>
      </w:r>
    </w:p>
    <w:p w:rsidR="005E64CC" w:rsidRDefault="00E54004" w:rsidP="005E64CC">
      <w:pPr>
        <w:ind w:left="514" w:right="14"/>
      </w:pPr>
      <w:r>
        <w:t>Zastoupená: Mgr. Milošem</w:t>
      </w:r>
      <w:r w:rsidR="00B2740A">
        <w:t xml:space="preserve"> </w:t>
      </w:r>
      <w:r>
        <w:t>Adamů, MBA — ředitelem organizace Bankovní spojení: ČSOB</w:t>
      </w:r>
    </w:p>
    <w:p w:rsidR="00B367AD" w:rsidRDefault="00E54004" w:rsidP="005E64CC">
      <w:pPr>
        <w:ind w:left="514" w:right="14"/>
      </w:pPr>
      <w:r>
        <w:t xml:space="preserve"> Pardubice číslo účtu: 2722197/0300</w:t>
      </w:r>
    </w:p>
    <w:p w:rsidR="00BF7A74" w:rsidRDefault="00BF7A74" w:rsidP="005E64CC">
      <w:pPr>
        <w:ind w:left="519" w:right="14"/>
      </w:pPr>
      <w:proofErr w:type="spellStart"/>
      <w:r>
        <w:t>Ič</w:t>
      </w:r>
      <w:proofErr w:type="spellEnd"/>
      <w:r>
        <w:t>:</w:t>
      </w:r>
      <w:r w:rsidR="005E64CC">
        <w:t xml:space="preserve"> 4</w:t>
      </w:r>
      <w:r w:rsidR="00E54004">
        <w:t xml:space="preserve">8161233 </w:t>
      </w:r>
    </w:p>
    <w:p w:rsidR="00B367AD" w:rsidRDefault="00E54004" w:rsidP="005E64CC">
      <w:pPr>
        <w:ind w:left="519" w:right="14"/>
      </w:pPr>
      <w:r>
        <w:t>DIČ: CZ48161233</w:t>
      </w:r>
    </w:p>
    <w:p w:rsidR="00B2740A" w:rsidRDefault="00E54004" w:rsidP="005E64CC">
      <w:pPr>
        <w:ind w:left="504" w:right="14"/>
      </w:pPr>
      <w:r>
        <w:t>Zapsaná v obchodním rejstříku vedeném u Krajského soudu v Hrad</w:t>
      </w:r>
      <w:r>
        <w:t xml:space="preserve">ci Králové, </w:t>
      </w:r>
      <w:proofErr w:type="spellStart"/>
      <w:r>
        <w:t>vl</w:t>
      </w:r>
      <w:proofErr w:type="spellEnd"/>
      <w:r>
        <w:t xml:space="preserve">. číslo </w:t>
      </w:r>
      <w:proofErr w:type="spellStart"/>
      <w:r>
        <w:t>Pr</w:t>
      </w:r>
      <w:proofErr w:type="spellEnd"/>
      <w:r>
        <w:t xml:space="preserve"> 1340 Kontaktní osoba ve věcech technických: Mgr. Milošem</w:t>
      </w:r>
      <w:r w:rsidR="00B2740A">
        <w:t xml:space="preserve"> </w:t>
      </w:r>
      <w:r>
        <w:t xml:space="preserve">Adamů, MBA </w:t>
      </w:r>
    </w:p>
    <w:p w:rsidR="00B367AD" w:rsidRDefault="00E54004" w:rsidP="005E64CC">
      <w:pPr>
        <w:ind w:left="504" w:right="14"/>
      </w:pPr>
      <w:r>
        <w:t>Tel.: 606 752 894</w:t>
      </w:r>
    </w:p>
    <w:p w:rsidR="00B367AD" w:rsidRDefault="00E54004" w:rsidP="005E64CC">
      <w:pPr>
        <w:ind w:left="514" w:right="14"/>
      </w:pPr>
      <w:r>
        <w:t>E-mail: milos.adamu@ddmalfa.cz</w:t>
      </w:r>
    </w:p>
    <w:p w:rsidR="00B367AD" w:rsidRDefault="00E54004" w:rsidP="005E64CC">
      <w:pPr>
        <w:ind w:left="514" w:right="14"/>
      </w:pPr>
      <w:r>
        <w:t>Datová schránka: b9qhun4</w:t>
      </w:r>
    </w:p>
    <w:p w:rsidR="00B367AD" w:rsidRDefault="00E54004" w:rsidP="005E64CC">
      <w:pPr>
        <w:spacing w:after="338"/>
        <w:ind w:left="519" w:right="14"/>
      </w:pPr>
      <w:r>
        <w:t>(dále jen „objednatel”) na straně jedné</w:t>
      </w:r>
    </w:p>
    <w:p w:rsidR="00B367AD" w:rsidRDefault="00E54004">
      <w:pPr>
        <w:spacing w:after="295" w:line="259" w:lineRule="auto"/>
        <w:ind w:left="480" w:righ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853440</wp:posOffset>
                </wp:positionH>
                <wp:positionV relativeFrom="page">
                  <wp:posOffset>9841750</wp:posOffset>
                </wp:positionV>
                <wp:extent cx="5833873" cy="9146"/>
                <wp:effectExtent l="0" t="0" r="0" b="0"/>
                <wp:wrapTopAndBottom/>
                <wp:docPr id="35423" name="Group 35423"/>
                <wp:cNvGraphicFramePr/>
                <a:graphic xmlns:a="http://schemas.openxmlformats.org/drawingml/2006/main">
                  <a:graphicData uri="http://schemas.microsoft.com/office/word/2010/wordprocessingGroup">
                    <wpg:wgp>
                      <wpg:cNvGrpSpPr/>
                      <wpg:grpSpPr>
                        <a:xfrm>
                          <a:off x="0" y="0"/>
                          <a:ext cx="5833873" cy="9146"/>
                          <a:chOff x="0" y="0"/>
                          <a:chExt cx="5833873" cy="9146"/>
                        </a:xfrm>
                      </wpg:grpSpPr>
                      <wps:wsp>
                        <wps:cNvPr id="35422" name="Shape 35422"/>
                        <wps:cNvSpPr/>
                        <wps:spPr>
                          <a:xfrm>
                            <a:off x="0" y="0"/>
                            <a:ext cx="5833873" cy="9146"/>
                          </a:xfrm>
                          <a:custGeom>
                            <a:avLst/>
                            <a:gdLst/>
                            <a:ahLst/>
                            <a:cxnLst/>
                            <a:rect l="0" t="0" r="0" b="0"/>
                            <a:pathLst>
                              <a:path w="5833873" h="9146">
                                <a:moveTo>
                                  <a:pt x="0" y="4573"/>
                                </a:moveTo>
                                <a:lnTo>
                                  <a:pt x="5833873"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423" style="width:459.36pt;height:0.720154pt;position:absolute;mso-position-horizontal-relative:page;mso-position-horizontal:absolute;margin-left:67.2pt;mso-position-vertical-relative:page;margin-top:774.941pt;" coordsize="58338,91">
                <v:shape id="Shape 35422" style="position:absolute;width:58338;height:91;left:0;top:0;" coordsize="5833873,9146" path="m0,4573l5833873,4573">
                  <v:stroke weight="0.720154pt" endcap="flat" joinstyle="miter" miterlimit="1" on="true" color="#000000"/>
                  <v:fill on="false" color="#000000"/>
                </v:shape>
                <w10:wrap type="topAndBottom"/>
              </v:group>
            </w:pict>
          </mc:Fallback>
        </mc:AlternateContent>
      </w:r>
      <w:r>
        <w:rPr>
          <w:noProof/>
        </w:rPr>
        <w:drawing>
          <wp:inline distT="0" distB="0" distL="0" distR="0">
            <wp:extent cx="3048" cy="3049"/>
            <wp:effectExtent l="0" t="0" r="0" b="0"/>
            <wp:docPr id="1130" name="Picture 1130"/>
            <wp:cNvGraphicFramePr/>
            <a:graphic xmlns:a="http://schemas.openxmlformats.org/drawingml/2006/main">
              <a:graphicData uri="http://schemas.openxmlformats.org/drawingml/2006/picture">
                <pic:pic xmlns:pic="http://schemas.openxmlformats.org/drawingml/2006/picture">
                  <pic:nvPicPr>
                    <pic:cNvPr id="1130" name="Picture 1130"/>
                    <pic:cNvPicPr/>
                  </pic:nvPicPr>
                  <pic:blipFill>
                    <a:blip r:embed="rId7"/>
                    <a:stretch>
                      <a:fillRect/>
                    </a:stretch>
                  </pic:blipFill>
                  <pic:spPr>
                    <a:xfrm>
                      <a:off x="0" y="0"/>
                      <a:ext cx="3048" cy="3049"/>
                    </a:xfrm>
                    <a:prstGeom prst="rect">
                      <a:avLst/>
                    </a:prstGeom>
                  </pic:spPr>
                </pic:pic>
              </a:graphicData>
            </a:graphic>
          </wp:inline>
        </w:drawing>
      </w:r>
      <w:r>
        <w:rPr>
          <w:sz w:val="18"/>
        </w:rPr>
        <w:t>a</w:t>
      </w:r>
      <w:r>
        <w:rPr>
          <w:noProof/>
        </w:rPr>
        <w:drawing>
          <wp:inline distT="0" distB="0" distL="0" distR="0">
            <wp:extent cx="15240" cy="18293"/>
            <wp:effectExtent l="0" t="0" r="0" b="0"/>
            <wp:docPr id="35420" name="Picture 35420"/>
            <wp:cNvGraphicFramePr/>
            <a:graphic xmlns:a="http://schemas.openxmlformats.org/drawingml/2006/main">
              <a:graphicData uri="http://schemas.openxmlformats.org/drawingml/2006/picture">
                <pic:pic xmlns:pic="http://schemas.openxmlformats.org/drawingml/2006/picture">
                  <pic:nvPicPr>
                    <pic:cNvPr id="35420" name="Picture 35420"/>
                    <pic:cNvPicPr/>
                  </pic:nvPicPr>
                  <pic:blipFill>
                    <a:blip r:embed="rId8"/>
                    <a:stretch>
                      <a:fillRect/>
                    </a:stretch>
                  </pic:blipFill>
                  <pic:spPr>
                    <a:xfrm>
                      <a:off x="0" y="0"/>
                      <a:ext cx="15240" cy="18293"/>
                    </a:xfrm>
                    <a:prstGeom prst="rect">
                      <a:avLst/>
                    </a:prstGeom>
                  </pic:spPr>
                </pic:pic>
              </a:graphicData>
            </a:graphic>
          </wp:inline>
        </w:drawing>
      </w:r>
    </w:p>
    <w:p w:rsidR="00B367AD" w:rsidRDefault="00E54004">
      <w:pPr>
        <w:ind w:left="96" w:right="14"/>
      </w:pPr>
      <w:r>
        <w:t xml:space="preserve">2. </w:t>
      </w:r>
      <w:r>
        <w:t>MAXIMUM s.r.o.</w:t>
      </w:r>
    </w:p>
    <w:p w:rsidR="005E64CC" w:rsidRDefault="00E54004" w:rsidP="005E64CC">
      <w:pPr>
        <w:ind w:left="499" w:right="195"/>
      </w:pPr>
      <w:r>
        <w:t>Sídlo: Zahradní 102, Spojil, 530 02 Pardubice</w:t>
      </w:r>
    </w:p>
    <w:p w:rsidR="005E64CC" w:rsidRDefault="00E54004" w:rsidP="005E64CC">
      <w:pPr>
        <w:ind w:left="499" w:right="195"/>
      </w:pPr>
      <w:r>
        <w:t xml:space="preserve">Zastoupená: Janem Matějem </w:t>
      </w:r>
      <w:r w:rsidR="005E64CC">
        <w:t>–</w:t>
      </w:r>
      <w:r>
        <w:t xml:space="preserve"> jednatelem</w:t>
      </w:r>
    </w:p>
    <w:p w:rsidR="00B2740A" w:rsidRDefault="00E54004" w:rsidP="005E64CC">
      <w:pPr>
        <w:ind w:left="499" w:right="195"/>
      </w:pPr>
      <w:r>
        <w:t xml:space="preserve">bankovní spojení: ČSOB Pardubice 174291039/0300 </w:t>
      </w:r>
    </w:p>
    <w:p w:rsidR="00B367AD" w:rsidRDefault="00E54004" w:rsidP="005E64CC">
      <w:pPr>
        <w:ind w:left="499" w:right="195"/>
      </w:pPr>
      <w:r>
        <w:t>číslo účtu: 174291039/0300</w:t>
      </w:r>
    </w:p>
    <w:p w:rsidR="00BF7A74" w:rsidRDefault="00BF7A74" w:rsidP="005E64CC">
      <w:pPr>
        <w:ind w:left="509" w:right="4731"/>
      </w:pPr>
      <w:proofErr w:type="spellStart"/>
      <w:r>
        <w:t>Ič</w:t>
      </w:r>
      <w:proofErr w:type="spellEnd"/>
      <w:r>
        <w:t>:</w:t>
      </w:r>
      <w:r w:rsidR="00E54004">
        <w:t xml:space="preserve"> 25964984</w:t>
      </w:r>
    </w:p>
    <w:p w:rsidR="00B367AD" w:rsidRDefault="00E54004" w:rsidP="005E64CC">
      <w:pPr>
        <w:ind w:left="509" w:right="4731"/>
      </w:pPr>
      <w:r>
        <w:t>DIČ: CZ25964984</w:t>
      </w:r>
    </w:p>
    <w:p w:rsidR="00B367AD" w:rsidRDefault="00E54004">
      <w:pPr>
        <w:ind w:left="499" w:right="14"/>
      </w:pPr>
      <w:r>
        <w:t>Zapsaná v obchodním rejstříku vedeném u soudu v Hradci Králové, oddí</w:t>
      </w:r>
      <w:r>
        <w:t>l C, vložka 17845</w:t>
      </w:r>
    </w:p>
    <w:p w:rsidR="00B367AD" w:rsidRDefault="00E54004">
      <w:pPr>
        <w:ind w:left="509" w:right="14"/>
      </w:pPr>
      <w:r>
        <w:t>Kontaktní osoba: Jan Matěj</w:t>
      </w:r>
    </w:p>
    <w:p w:rsidR="00B367AD" w:rsidRDefault="00E54004">
      <w:pPr>
        <w:ind w:left="495" w:right="14"/>
      </w:pPr>
      <w:r>
        <w:t>Tel.: 603 482 867</w:t>
      </w:r>
    </w:p>
    <w:p w:rsidR="00B367AD" w:rsidRDefault="00E54004">
      <w:pPr>
        <w:ind w:left="504" w:right="14"/>
      </w:pPr>
      <w:r>
        <w:t>E-mail: matej@maximumcz.cz</w:t>
      </w:r>
    </w:p>
    <w:p w:rsidR="00B367AD" w:rsidRDefault="00E54004">
      <w:pPr>
        <w:ind w:left="504" w:right="14"/>
      </w:pPr>
      <w:r>
        <w:t>Datová schránka: 4fskni6</w:t>
      </w:r>
    </w:p>
    <w:p w:rsidR="00B367AD" w:rsidRDefault="00E54004" w:rsidP="00BF7A74">
      <w:pPr>
        <w:spacing w:after="483"/>
        <w:ind w:left="523" w:right="14"/>
        <w:jc w:val="left"/>
      </w:pPr>
      <w:r>
        <w:t>(dále jen „poskytovatel”) na straně druhé</w:t>
      </w:r>
    </w:p>
    <w:p w:rsidR="00BF7A74" w:rsidRDefault="00E54004" w:rsidP="00BF7A74">
      <w:pPr>
        <w:spacing w:after="63"/>
        <w:ind w:left="3163" w:right="2928" w:hanging="895"/>
        <w:jc w:val="center"/>
      </w:pPr>
      <w:r>
        <w:t>(společně též dále jen „smluvní strany”)</w:t>
      </w:r>
    </w:p>
    <w:p w:rsidR="00B2740A" w:rsidRDefault="00E54004" w:rsidP="00BF7A74">
      <w:pPr>
        <w:spacing w:after="63"/>
        <w:ind w:left="3163" w:right="2928" w:hanging="895"/>
        <w:jc w:val="center"/>
      </w:pPr>
      <w:r>
        <w:t>uzavírají</w:t>
      </w:r>
    </w:p>
    <w:p w:rsidR="00B367AD" w:rsidRDefault="00E54004" w:rsidP="00BF7A74">
      <w:pPr>
        <w:spacing w:after="63"/>
        <w:ind w:left="3163" w:right="1959" w:hanging="1887"/>
        <w:jc w:val="center"/>
      </w:pPr>
      <w:r>
        <w:t>níže uvedeného dne, měsíce a roku tuto rámcovou</w:t>
      </w:r>
      <w:r w:rsidR="00BF7A74">
        <w:t xml:space="preserve"> </w:t>
      </w:r>
      <w:r>
        <w:t>smlouvu</w:t>
      </w:r>
    </w:p>
    <w:p w:rsidR="00B367AD" w:rsidRDefault="00E54004">
      <w:pPr>
        <w:spacing w:after="108" w:line="259" w:lineRule="auto"/>
        <w:ind w:left="437" w:right="379" w:hanging="10"/>
        <w:jc w:val="center"/>
      </w:pPr>
      <w:r>
        <w:t>(dále jen „smlouva”)</w:t>
      </w:r>
    </w:p>
    <w:p w:rsidR="00BF7A74" w:rsidRDefault="00BF7A74">
      <w:pPr>
        <w:spacing w:after="58" w:line="216" w:lineRule="auto"/>
        <w:ind w:left="329" w:right="7" w:hanging="10"/>
        <w:jc w:val="center"/>
        <w:rPr>
          <w:sz w:val="32"/>
        </w:rPr>
      </w:pPr>
    </w:p>
    <w:p w:rsidR="00BF7A74" w:rsidRDefault="00BF7A74">
      <w:pPr>
        <w:spacing w:after="58" w:line="216" w:lineRule="auto"/>
        <w:ind w:left="329" w:right="7" w:hanging="10"/>
        <w:jc w:val="center"/>
        <w:rPr>
          <w:sz w:val="32"/>
        </w:rPr>
      </w:pPr>
    </w:p>
    <w:p w:rsidR="00B367AD" w:rsidRPr="002264D6" w:rsidRDefault="00E54004">
      <w:pPr>
        <w:spacing w:after="58" w:line="216" w:lineRule="auto"/>
        <w:ind w:left="329" w:right="7" w:hanging="10"/>
        <w:jc w:val="center"/>
        <w:rPr>
          <w:b/>
        </w:rPr>
      </w:pPr>
      <w:r w:rsidRPr="002264D6">
        <w:rPr>
          <w:b/>
          <w:sz w:val="32"/>
        </w:rPr>
        <w:t>l.</w:t>
      </w:r>
    </w:p>
    <w:p w:rsidR="00B367AD" w:rsidRPr="002264D6" w:rsidRDefault="00E54004">
      <w:pPr>
        <w:spacing w:after="108" w:line="259" w:lineRule="auto"/>
        <w:ind w:left="437" w:right="58" w:hanging="10"/>
        <w:jc w:val="center"/>
        <w:rPr>
          <w:b/>
        </w:rPr>
      </w:pPr>
      <w:r w:rsidRPr="002264D6">
        <w:rPr>
          <w:b/>
        </w:rPr>
        <w:lastRenderedPageBreak/>
        <w:t>Předmět smlouvy</w:t>
      </w:r>
    </w:p>
    <w:p w:rsidR="00B367AD" w:rsidRDefault="00E54004" w:rsidP="005E64CC">
      <w:pPr>
        <w:numPr>
          <w:ilvl w:val="0"/>
          <w:numId w:val="1"/>
        </w:numPr>
        <w:ind w:left="426" w:right="122" w:hanging="336"/>
      </w:pPr>
      <w:r>
        <w:t>Předmětem smlouvy je úprava práv a povinností smluvních stran při plnění závazku poskytovatele poskytnout na svůj náklad a nebezpečí pro objednatele služby k zařízení objednatele, jehož bližší rozsah tvoří přílohu č. 1 smlouvy. Objednatel se zavazuje výsle</w:t>
      </w:r>
      <w:r>
        <w:t>dek, řádně a včas poskytnutých služeb převzít a zaplatit za něj poskytovateli cenu dle čl. 7 smlouvy.</w:t>
      </w:r>
    </w:p>
    <w:p w:rsidR="00B367AD" w:rsidRDefault="00E54004" w:rsidP="005E64CC">
      <w:pPr>
        <w:numPr>
          <w:ilvl w:val="0"/>
          <w:numId w:val="1"/>
        </w:numPr>
        <w:spacing w:after="40"/>
        <w:ind w:left="426" w:right="122" w:hanging="336"/>
      </w:pPr>
      <w:r>
        <w:t>Účelem smlouvy je zajištění provádění servisu a oprav elektroinstalací a hromosvodů, periodických revizí elektrických instalací, elektrických spotřebičů p</w:t>
      </w:r>
      <w:r>
        <w:t>evně připojených a hromosvodů prováděné v rozsahu a termínech především dle ČSN 33 1500, ČSN 33 2000-6 ed.2, včetně předání</w:t>
      </w:r>
      <w:r w:rsidR="00BF7A74">
        <w:t xml:space="preserve"> </w:t>
      </w:r>
      <w:r>
        <w:t xml:space="preserve">digitální podoby revizní zprávy v archivním formátu </w:t>
      </w:r>
      <w:proofErr w:type="spellStart"/>
      <w:r>
        <w:t>pdf</w:t>
      </w:r>
      <w:proofErr w:type="spellEnd"/>
      <w:r>
        <w:t>.</w:t>
      </w:r>
    </w:p>
    <w:p w:rsidR="00BF7A74" w:rsidRDefault="00BF7A74" w:rsidP="005E64CC">
      <w:pPr>
        <w:pStyle w:val="Odstavecseseznamem"/>
        <w:ind w:left="426" w:right="2605" w:firstLine="0"/>
      </w:pPr>
      <w:r>
        <w:t>3.</w:t>
      </w:r>
      <w:r w:rsidR="00E54004">
        <w:t xml:space="preserve"> </w:t>
      </w:r>
      <w:r w:rsidR="00E54004">
        <w:t>Seznam revidovaných předmětů je přílohou této výzvy.</w:t>
      </w:r>
    </w:p>
    <w:p w:rsidR="00B367AD" w:rsidRDefault="002264D6" w:rsidP="005E64CC">
      <w:pPr>
        <w:ind w:left="426" w:right="3514" w:hanging="336"/>
      </w:pPr>
      <w:r>
        <w:t xml:space="preserve">     </w:t>
      </w:r>
      <w:r w:rsidR="00E54004">
        <w:t xml:space="preserve"> </w:t>
      </w:r>
      <w:r w:rsidR="00E54004">
        <w:t>Popis požadovaných ú</w:t>
      </w:r>
      <w:r w:rsidR="00E54004">
        <w:t>konů:</w:t>
      </w:r>
    </w:p>
    <w:p w:rsidR="00B367AD" w:rsidRDefault="00E54004" w:rsidP="005E64CC">
      <w:pPr>
        <w:numPr>
          <w:ilvl w:val="1"/>
          <w:numId w:val="1"/>
        </w:numPr>
        <w:ind w:left="709" w:right="14" w:hanging="283"/>
      </w:pPr>
      <w:r>
        <w:t>Opravy elektroinstalace a hromosvodů dle požadavku a pokynů objednatele.</w:t>
      </w:r>
    </w:p>
    <w:p w:rsidR="00B367AD" w:rsidRDefault="00E54004" w:rsidP="005E64CC">
      <w:pPr>
        <w:numPr>
          <w:ilvl w:val="1"/>
          <w:numId w:val="1"/>
        </w:numPr>
        <w:spacing w:after="53"/>
        <w:ind w:left="709" w:right="14" w:hanging="283"/>
      </w:pPr>
      <w:r>
        <w:t>Periodické revize elektrických zařízení včetně hromosvodů. Revizní zprávy budou</w:t>
      </w:r>
      <w:r w:rsidR="00BF7A74">
        <w:t xml:space="preserve"> </w:t>
      </w:r>
      <w:r>
        <w:t>vyhotoveny v elektronické podobě a 1 x v písemné formě a budou obsahovat všechny zákonem požadova</w:t>
      </w:r>
      <w:r>
        <w:t xml:space="preserve">né </w:t>
      </w:r>
      <w:r>
        <w:t>náležitosti.</w:t>
      </w:r>
    </w:p>
    <w:p w:rsidR="00B367AD" w:rsidRDefault="00E54004" w:rsidP="005E64CC">
      <w:pPr>
        <w:numPr>
          <w:ilvl w:val="1"/>
          <w:numId w:val="1"/>
        </w:numPr>
        <w:ind w:left="709" w:right="14" w:hanging="283"/>
      </w:pPr>
      <w:r>
        <w:t xml:space="preserve">Poradenská činnost a účast na jednání </w:t>
      </w:r>
      <w:r w:rsidR="00BF7A74">
        <w:t>komise při určování vnějších vli</w:t>
      </w:r>
      <w:r>
        <w:t>vů prostředí.</w:t>
      </w:r>
    </w:p>
    <w:p w:rsidR="00B367AD" w:rsidRDefault="00E54004" w:rsidP="005E64CC">
      <w:pPr>
        <w:numPr>
          <w:ilvl w:val="0"/>
          <w:numId w:val="2"/>
        </w:numPr>
        <w:spacing w:after="41"/>
        <w:ind w:left="426" w:right="74" w:hanging="350"/>
      </w:pPr>
      <w:r>
        <w:t>Minimální objem služeb poskytovaných poskytovatelem objednateli stanoven není. Objednatel je oprávněn určovat a objednávat služby podle svých okamžitých, re</w:t>
      </w:r>
      <w:r>
        <w:t>sp. aktuálních potřeb bez penalizace či jiného postihu ze strany poskytovatele.</w:t>
      </w:r>
    </w:p>
    <w:p w:rsidR="00B367AD" w:rsidRDefault="00E54004" w:rsidP="005E64CC">
      <w:pPr>
        <w:numPr>
          <w:ilvl w:val="0"/>
          <w:numId w:val="2"/>
        </w:numPr>
        <w:spacing w:after="398"/>
        <w:ind w:left="426" w:right="74" w:hanging="350"/>
      </w:pPr>
      <w:r>
        <w:rPr>
          <w:noProof/>
        </w:rPr>
        <mc:AlternateContent>
          <mc:Choice Requires="wpg">
            <w:drawing>
              <wp:anchor distT="0" distB="0" distL="114300" distR="114300" simplePos="0" relativeHeight="251659264" behindDoc="0" locked="0" layoutInCell="1" allowOverlap="1">
                <wp:simplePos x="0" y="0"/>
                <wp:positionH relativeFrom="page">
                  <wp:posOffset>798576</wp:posOffset>
                </wp:positionH>
                <wp:positionV relativeFrom="page">
                  <wp:posOffset>9820408</wp:posOffset>
                </wp:positionV>
                <wp:extent cx="5827776" cy="6097"/>
                <wp:effectExtent l="0" t="0" r="0" b="0"/>
                <wp:wrapTopAndBottom/>
                <wp:docPr id="35425" name="Group 35425"/>
                <wp:cNvGraphicFramePr/>
                <a:graphic xmlns:a="http://schemas.openxmlformats.org/drawingml/2006/main">
                  <a:graphicData uri="http://schemas.microsoft.com/office/word/2010/wordprocessingGroup">
                    <wpg:wgp>
                      <wpg:cNvGrpSpPr/>
                      <wpg:grpSpPr>
                        <a:xfrm>
                          <a:off x="0" y="0"/>
                          <a:ext cx="5827776" cy="6097"/>
                          <a:chOff x="0" y="0"/>
                          <a:chExt cx="5827776" cy="6097"/>
                        </a:xfrm>
                      </wpg:grpSpPr>
                      <wps:wsp>
                        <wps:cNvPr id="35424" name="Shape 35424"/>
                        <wps:cNvSpPr/>
                        <wps:spPr>
                          <a:xfrm>
                            <a:off x="0" y="0"/>
                            <a:ext cx="5827776" cy="6097"/>
                          </a:xfrm>
                          <a:custGeom>
                            <a:avLst/>
                            <a:gdLst/>
                            <a:ahLst/>
                            <a:cxnLst/>
                            <a:rect l="0" t="0" r="0" b="0"/>
                            <a:pathLst>
                              <a:path w="5827776" h="6097">
                                <a:moveTo>
                                  <a:pt x="0" y="3049"/>
                                </a:moveTo>
                                <a:lnTo>
                                  <a:pt x="5827776"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425" style="width:458.88pt;height:0.480103pt;position:absolute;mso-position-horizontal-relative:page;mso-position-horizontal:absolute;margin-left:62.88pt;mso-position-vertical-relative:page;margin-top:773.26pt;" coordsize="58277,60">
                <v:shape id="Shape 35424" style="position:absolute;width:58277;height:60;left:0;top:0;" coordsize="5827776,6097" path="m0,3049l5827776,3049">
                  <v:stroke weight="0.480103pt" endcap="flat" joinstyle="miter" miterlimit="1" on="true" color="#000000"/>
                  <v:fill on="false" color="#000000"/>
                </v:shape>
                <w10:wrap type="topAndBottom"/>
              </v:group>
            </w:pict>
          </mc:Fallback>
        </mc:AlternateContent>
      </w:r>
      <w:r>
        <w:t xml:space="preserve">Revizní činnost dodavatele se naváže na </w:t>
      </w:r>
      <w:proofErr w:type="gramStart"/>
      <w:r>
        <w:t>stávající lhůtník</w:t>
      </w:r>
      <w:proofErr w:type="gramEnd"/>
      <w:r>
        <w:t xml:space="preserve"> revizí tak, aby byli zajištěné požadavky platných legislativních předpisů.</w:t>
      </w:r>
    </w:p>
    <w:p w:rsidR="00B367AD" w:rsidRPr="005E64CC" w:rsidRDefault="00E54004">
      <w:pPr>
        <w:spacing w:after="0" w:line="259" w:lineRule="auto"/>
        <w:ind w:left="423" w:right="538" w:hanging="10"/>
        <w:jc w:val="center"/>
        <w:rPr>
          <w:b/>
        </w:rPr>
      </w:pPr>
      <w:proofErr w:type="spellStart"/>
      <w:r w:rsidRPr="005E64CC">
        <w:rPr>
          <w:b/>
          <w:sz w:val="28"/>
        </w:rPr>
        <w:t>Il</w:t>
      </w:r>
      <w:proofErr w:type="spellEnd"/>
      <w:r w:rsidRPr="005E64CC">
        <w:rPr>
          <w:b/>
          <w:sz w:val="28"/>
        </w:rPr>
        <w:t>.</w:t>
      </w:r>
    </w:p>
    <w:p w:rsidR="00B367AD" w:rsidRPr="005E64CC" w:rsidRDefault="00E54004">
      <w:pPr>
        <w:spacing w:after="7" w:line="259" w:lineRule="auto"/>
        <w:ind w:left="437" w:right="528" w:hanging="10"/>
        <w:jc w:val="center"/>
        <w:rPr>
          <w:b/>
        </w:rPr>
      </w:pPr>
      <w:r w:rsidRPr="005E64CC">
        <w:rPr>
          <w:b/>
        </w:rPr>
        <w:t>Rozsah služeb a místo plnění</w:t>
      </w:r>
    </w:p>
    <w:p w:rsidR="00B367AD" w:rsidRDefault="00E54004" w:rsidP="005E64CC">
      <w:pPr>
        <w:numPr>
          <w:ilvl w:val="0"/>
          <w:numId w:val="3"/>
        </w:numPr>
        <w:spacing w:after="37"/>
        <w:ind w:left="426" w:right="77" w:hanging="403"/>
      </w:pPr>
      <w:r>
        <w:t>Poskytovatel je povinen poskytovat služby v rozsahu specifikovaném v příloze č. 1 a dále ve smlouvě. Poskytovatel je povinen provádět i veškeré další činnosti, jichž je za účelem dosažení účelu smlouvy zapotřebí. Poskytovatel podpisem smlouvy prohlašuje, ž</w:t>
      </w:r>
      <w:r>
        <w:t>e je zcela schopen provádět služby za podmínek stanovených touto smlouvou.</w:t>
      </w:r>
    </w:p>
    <w:p w:rsidR="00B367AD" w:rsidRDefault="00E54004" w:rsidP="005E64CC">
      <w:pPr>
        <w:numPr>
          <w:ilvl w:val="0"/>
          <w:numId w:val="3"/>
        </w:numPr>
        <w:spacing w:after="51"/>
        <w:ind w:left="426" w:right="77" w:hanging="403"/>
      </w:pPr>
      <w:r>
        <w:t>Místem poskytování služeb jsou objekty objednatele, kde se zařízení nachází, nedohodnou-li se smluvní strany jinak.</w:t>
      </w:r>
    </w:p>
    <w:p w:rsidR="00B367AD" w:rsidRDefault="00E54004" w:rsidP="005E64CC">
      <w:pPr>
        <w:numPr>
          <w:ilvl w:val="0"/>
          <w:numId w:val="3"/>
        </w:numPr>
        <w:ind w:left="426" w:right="77" w:hanging="403"/>
      </w:pPr>
      <w:r>
        <w:t>Dodavatel poskytne služby v rozsahu této smlouvy především na níž</w:t>
      </w:r>
      <w:r>
        <w:t>e uvedených objektech objednatele:</w:t>
      </w:r>
    </w:p>
    <w:p w:rsidR="00B367AD" w:rsidRDefault="00E54004" w:rsidP="005E64CC">
      <w:pPr>
        <w:numPr>
          <w:ilvl w:val="1"/>
          <w:numId w:val="3"/>
        </w:numPr>
        <w:ind w:left="709" w:right="14" w:hanging="221"/>
      </w:pPr>
      <w:r>
        <w:t>DDM Alfa, Družby 334, Pardubice</w:t>
      </w:r>
    </w:p>
    <w:p w:rsidR="00B367AD" w:rsidRDefault="00E54004" w:rsidP="005E64CC">
      <w:pPr>
        <w:numPr>
          <w:ilvl w:val="1"/>
          <w:numId w:val="3"/>
        </w:numPr>
        <w:ind w:left="709" w:right="14" w:hanging="221"/>
      </w:pPr>
      <w:r>
        <w:t>DDM Delta, Gorkého 2658, Pardubice</w:t>
      </w:r>
    </w:p>
    <w:p w:rsidR="00B367AD" w:rsidRDefault="00E54004" w:rsidP="005E64CC">
      <w:pPr>
        <w:numPr>
          <w:ilvl w:val="1"/>
          <w:numId w:val="3"/>
        </w:numPr>
        <w:spacing w:after="44"/>
        <w:ind w:left="709" w:right="14" w:hanging="221"/>
      </w:pPr>
      <w:r>
        <w:t>Kulturní dům Hronovická, Hronovická 406, Pardubice</w:t>
      </w:r>
    </w:p>
    <w:p w:rsidR="00B367AD" w:rsidRDefault="00E54004" w:rsidP="005E64CC">
      <w:pPr>
        <w:numPr>
          <w:ilvl w:val="0"/>
          <w:numId w:val="3"/>
        </w:numPr>
        <w:ind w:left="426" w:right="77" w:hanging="403"/>
      </w:pPr>
      <w:r>
        <w:t xml:space="preserve">Poskytovatel prohlašuje, že </w:t>
      </w:r>
      <w:proofErr w:type="gramStart"/>
      <w:r>
        <w:t>služby ( je</w:t>
      </w:r>
      <w:proofErr w:type="gramEnd"/>
      <w:r>
        <w:t>-li to vyžadováno platnými právními předpisy či výrobcem zařízen</w:t>
      </w:r>
      <w:r>
        <w:t>í), budou provádět pouze zaměstnanci nebo kvalifikované osoby (dá</w:t>
      </w:r>
      <w:r w:rsidR="006F1583">
        <w:t>le jen „pracovníci”) s příslušný</w:t>
      </w:r>
      <w:r>
        <w:t>m oprávněním dle platné legislativy. Zároveň poskytovatel prohlašuje, že se tito pracovníci podrobí školení bezpečnosti a ochrany zdraví při práci u objednatel</w:t>
      </w:r>
      <w:r>
        <w:t>e, a to před zahájením poskytování služeb, a následně v pravidelných ročních intervalech, popř. před nasazením nového pracovníka na poskytování služeb.</w:t>
      </w:r>
    </w:p>
    <w:p w:rsidR="00BF7A74" w:rsidRDefault="00BF7A74">
      <w:pPr>
        <w:spacing w:after="0" w:line="259" w:lineRule="auto"/>
        <w:ind w:left="423" w:right="466" w:hanging="10"/>
        <w:jc w:val="center"/>
        <w:rPr>
          <w:sz w:val="28"/>
        </w:rPr>
      </w:pPr>
    </w:p>
    <w:p w:rsidR="00E54004" w:rsidRDefault="00E54004">
      <w:pPr>
        <w:spacing w:after="0" w:line="259" w:lineRule="auto"/>
        <w:ind w:left="423" w:right="466" w:hanging="10"/>
        <w:jc w:val="center"/>
        <w:rPr>
          <w:sz w:val="28"/>
        </w:rPr>
      </w:pPr>
    </w:p>
    <w:p w:rsidR="00B367AD" w:rsidRPr="002264D6" w:rsidRDefault="00E54004">
      <w:pPr>
        <w:spacing w:after="0" w:line="259" w:lineRule="auto"/>
        <w:ind w:left="423" w:right="466" w:hanging="10"/>
        <w:jc w:val="center"/>
        <w:rPr>
          <w:b/>
        </w:rPr>
      </w:pPr>
      <w:proofErr w:type="spellStart"/>
      <w:r w:rsidRPr="002264D6">
        <w:rPr>
          <w:b/>
          <w:sz w:val="28"/>
        </w:rPr>
        <w:lastRenderedPageBreak/>
        <w:t>Ill</w:t>
      </w:r>
      <w:proofErr w:type="spellEnd"/>
      <w:r w:rsidRPr="002264D6">
        <w:rPr>
          <w:b/>
          <w:sz w:val="28"/>
        </w:rPr>
        <w:t>.</w:t>
      </w:r>
    </w:p>
    <w:p w:rsidR="00B367AD" w:rsidRPr="002264D6" w:rsidRDefault="00E54004">
      <w:pPr>
        <w:spacing w:after="157" w:line="259" w:lineRule="auto"/>
        <w:ind w:left="437" w:right="466" w:hanging="10"/>
        <w:jc w:val="center"/>
        <w:rPr>
          <w:b/>
        </w:rPr>
      </w:pPr>
      <w:r w:rsidRPr="002264D6">
        <w:rPr>
          <w:b/>
        </w:rPr>
        <w:t>Poskytování služeb</w:t>
      </w:r>
    </w:p>
    <w:p w:rsidR="00B367AD" w:rsidRDefault="00BF7A74">
      <w:pPr>
        <w:spacing w:after="118"/>
        <w:ind w:left="715" w:right="14" w:hanging="379"/>
      </w:pPr>
      <w:r>
        <w:t>l</w:t>
      </w:r>
      <w:r w:rsidR="00E54004">
        <w:t xml:space="preserve">. </w:t>
      </w:r>
      <w:r w:rsidR="002264D6">
        <w:t xml:space="preserve"> </w:t>
      </w:r>
      <w:r w:rsidR="00E54004">
        <w:t>Požadavky objednatele na poskytování služeb opravy elektroinstalace a hrom</w:t>
      </w:r>
      <w:r>
        <w:t>o</w:t>
      </w:r>
      <w:r w:rsidR="00E54004">
        <w:t>svodů, budou vznášeny prostřednictvím telefonických a písemných objednávek zasílaných poskytovateli.</w:t>
      </w:r>
    </w:p>
    <w:p w:rsidR="00B367AD" w:rsidRDefault="00E54004">
      <w:pPr>
        <w:tabs>
          <w:tab w:val="center" w:pos="379"/>
          <w:tab w:val="center" w:pos="3055"/>
        </w:tabs>
        <w:spacing w:after="25"/>
        <w:ind w:left="0" w:right="0" w:firstLine="0"/>
        <w:jc w:val="left"/>
      </w:pPr>
      <w:r>
        <w:tab/>
      </w:r>
      <w:r>
        <w:t>2.</w:t>
      </w:r>
      <w:r>
        <w:tab/>
      </w:r>
      <w:r>
        <w:t>Objednávka musí obsahovat minimálně tyto náležitosti:</w:t>
      </w:r>
    </w:p>
    <w:p w:rsidR="00B367AD" w:rsidRDefault="00E54004">
      <w:pPr>
        <w:numPr>
          <w:ilvl w:val="2"/>
          <w:numId w:val="3"/>
        </w:numPr>
        <w:ind w:right="14" w:hanging="274"/>
      </w:pPr>
      <w:r>
        <w:t>určení požadovaného pln</w:t>
      </w:r>
      <w:r>
        <w:t>ění a rozsah služeb konkrétně, včetně případných pokynů objednatele k provedení služeb,</w:t>
      </w:r>
    </w:p>
    <w:p w:rsidR="00B367AD" w:rsidRDefault="00E54004">
      <w:pPr>
        <w:numPr>
          <w:ilvl w:val="2"/>
          <w:numId w:val="3"/>
        </w:numPr>
        <w:ind w:right="14" w:hanging="274"/>
      </w:pPr>
      <w:r>
        <w:t>určení nejzazšího požadovaného termínu provedení služeb,</w:t>
      </w:r>
    </w:p>
    <w:p w:rsidR="00B367AD" w:rsidRDefault="00E54004">
      <w:pPr>
        <w:numPr>
          <w:ilvl w:val="2"/>
          <w:numId w:val="3"/>
        </w:numPr>
        <w:spacing w:after="50" w:line="259" w:lineRule="auto"/>
        <w:ind w:right="14" w:hanging="274"/>
      </w:pPr>
      <w:r>
        <w:t>kontaktní osoba objednatele na předmětném pracovišti včetně kontaktu (mobil)</w:t>
      </w:r>
    </w:p>
    <w:p w:rsidR="00B367AD" w:rsidRDefault="00E54004">
      <w:pPr>
        <w:numPr>
          <w:ilvl w:val="2"/>
          <w:numId w:val="3"/>
        </w:numPr>
        <w:spacing w:after="88"/>
        <w:ind w:right="14" w:hanging="274"/>
      </w:pPr>
      <w:r>
        <w:t>jméno a příjmení osoby oprávněné s</w:t>
      </w:r>
      <w:r>
        <w:t>lužby převzít, pokud nejde o osobu zmocněnou na straně objednatele touto smlouvou.</w:t>
      </w:r>
    </w:p>
    <w:p w:rsidR="00B367AD" w:rsidRDefault="00E54004">
      <w:pPr>
        <w:numPr>
          <w:ilvl w:val="0"/>
          <w:numId w:val="4"/>
        </w:numPr>
        <w:spacing w:after="41" w:line="297" w:lineRule="auto"/>
        <w:ind w:right="14" w:hanging="542"/>
      </w:pPr>
      <w:r>
        <w:t>Poskytovatel dle předpokládaných rozsahů oprav a revizních postupů současně seznámí Objednatele s požadavky na omezení provozu daného zařízení pro potřebu koordinace servisu</w:t>
      </w:r>
      <w:r>
        <w:t xml:space="preserve"> a revize s činností objednatele,</w:t>
      </w:r>
    </w:p>
    <w:p w:rsidR="00B367AD" w:rsidRDefault="00E54004">
      <w:pPr>
        <w:numPr>
          <w:ilvl w:val="0"/>
          <w:numId w:val="4"/>
        </w:numPr>
        <w:spacing w:after="65"/>
        <w:ind w:right="14" w:hanging="542"/>
      </w:pPr>
      <w:r>
        <w:t>Bez ohledu na jiná ustanovení smlouvy je poskytovatel povinen písemně upozornit objednatele na nutnost provedení další služby v rozsahu a za podmínek stanovených příslušnou normou nebo výrobcem zařízení.</w:t>
      </w:r>
    </w:p>
    <w:p w:rsidR="00B367AD" w:rsidRDefault="00E54004">
      <w:pPr>
        <w:numPr>
          <w:ilvl w:val="0"/>
          <w:numId w:val="4"/>
        </w:numPr>
        <w:spacing w:after="31"/>
        <w:ind w:right="14" w:hanging="542"/>
      </w:pPr>
      <w:r>
        <w:rPr>
          <w:noProof/>
        </w:rPr>
        <mc:AlternateContent>
          <mc:Choice Requires="wpg">
            <w:drawing>
              <wp:anchor distT="0" distB="0" distL="114300" distR="114300" simplePos="0" relativeHeight="251660288" behindDoc="0" locked="0" layoutInCell="1" allowOverlap="1">
                <wp:simplePos x="0" y="0"/>
                <wp:positionH relativeFrom="page">
                  <wp:posOffset>877824</wp:posOffset>
                </wp:positionH>
                <wp:positionV relativeFrom="page">
                  <wp:posOffset>9832604</wp:posOffset>
                </wp:positionV>
                <wp:extent cx="5846064" cy="6097"/>
                <wp:effectExtent l="0" t="0" r="0" b="0"/>
                <wp:wrapTopAndBottom/>
                <wp:docPr id="35427" name="Group 35427"/>
                <wp:cNvGraphicFramePr/>
                <a:graphic xmlns:a="http://schemas.openxmlformats.org/drawingml/2006/main">
                  <a:graphicData uri="http://schemas.microsoft.com/office/word/2010/wordprocessingGroup">
                    <wpg:wgp>
                      <wpg:cNvGrpSpPr/>
                      <wpg:grpSpPr>
                        <a:xfrm>
                          <a:off x="0" y="0"/>
                          <a:ext cx="5846064" cy="6097"/>
                          <a:chOff x="0" y="0"/>
                          <a:chExt cx="5846064" cy="6097"/>
                        </a:xfrm>
                      </wpg:grpSpPr>
                      <wps:wsp>
                        <wps:cNvPr id="35426" name="Shape 35426"/>
                        <wps:cNvSpPr/>
                        <wps:spPr>
                          <a:xfrm>
                            <a:off x="0" y="0"/>
                            <a:ext cx="5846064" cy="6097"/>
                          </a:xfrm>
                          <a:custGeom>
                            <a:avLst/>
                            <a:gdLst/>
                            <a:ahLst/>
                            <a:cxnLst/>
                            <a:rect l="0" t="0" r="0" b="0"/>
                            <a:pathLst>
                              <a:path w="5846064" h="6097">
                                <a:moveTo>
                                  <a:pt x="0" y="3049"/>
                                </a:moveTo>
                                <a:lnTo>
                                  <a:pt x="584606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427" style="width:460.32pt;height:0.480103pt;position:absolute;mso-position-horizontal-relative:page;mso-position-horizontal:absolute;margin-left:69.12pt;mso-position-vertical-relative:page;margin-top:774.221pt;" coordsize="58460,60">
                <v:shape id="Shape 35426" style="position:absolute;width:58460;height:60;left:0;top:0;" coordsize="5846064,6097" path="m0,3049l5846064,3049">
                  <v:stroke weight="0.480103pt" endcap="flat" joinstyle="miter" miterlimit="1" on="true" color="#000000"/>
                  <v:fill on="false" color="#000000"/>
                </v:shape>
                <w10:wrap type="topAndBottom"/>
              </v:group>
            </w:pict>
          </mc:Fallback>
        </mc:AlternateContent>
      </w:r>
      <w:r>
        <w:t>S poskytováním služeb je poskytovatel povinen započít, nebude-li smluvními stranami dohodnuto jinak, do 72 hodin od doručení objednávky poskytovateli. Do této lhůty se nezapočítávají dny pracovního klidu (tj. sobota, neděle a svátek).</w:t>
      </w:r>
    </w:p>
    <w:p w:rsidR="00B367AD" w:rsidRDefault="00E54004">
      <w:pPr>
        <w:numPr>
          <w:ilvl w:val="0"/>
          <w:numId w:val="4"/>
        </w:numPr>
        <w:spacing w:line="381" w:lineRule="auto"/>
        <w:ind w:right="14" w:hanging="542"/>
      </w:pPr>
      <w:r>
        <w:t>Započetím plnění služ</w:t>
      </w:r>
      <w:r>
        <w:t>eb se rozumí i objednání potřebného materiálu k provedení opravy elektroinstalace.</w:t>
      </w:r>
    </w:p>
    <w:p w:rsidR="00B367AD" w:rsidRDefault="00E54004">
      <w:pPr>
        <w:numPr>
          <w:ilvl w:val="0"/>
          <w:numId w:val="4"/>
        </w:numPr>
        <w:spacing w:after="28"/>
        <w:ind w:right="14" w:hanging="542"/>
      </w:pPr>
      <w:r>
        <w:t xml:space="preserve">Poskytovatel služeb je povinen neprodleně prokazatelně oznámit objednateli zjištěné závady, ohrožující bezpečný provoz kontrolovaného zařízení a navrhnout, popřípadě učinit </w:t>
      </w:r>
      <w:r>
        <w:t>opatření k zajištění bezpečného stavu.</w:t>
      </w:r>
    </w:p>
    <w:p w:rsidR="00B367AD" w:rsidRDefault="00E54004" w:rsidP="00BF7A74">
      <w:pPr>
        <w:numPr>
          <w:ilvl w:val="0"/>
          <w:numId w:val="4"/>
        </w:numPr>
        <w:spacing w:after="0" w:line="240" w:lineRule="auto"/>
        <w:ind w:right="14" w:hanging="542"/>
      </w:pPr>
      <w:r>
        <w:t xml:space="preserve">Poskytovatel se při poskytování služeb zavazuje dodržovat předpisy bezpečnosti a ochrany zdraví při práci, požární, hygienické a ostatní aplikovatelné právní předpisy či jiné normy, jakož i podmínky ostrahy objektů a </w:t>
      </w:r>
      <w:r>
        <w:t>areálu objednatele.</w:t>
      </w:r>
    </w:p>
    <w:p w:rsidR="00BF7A74" w:rsidRDefault="00BF7A74" w:rsidP="00BF7A74">
      <w:pPr>
        <w:spacing w:after="0" w:line="240" w:lineRule="auto"/>
        <w:ind w:left="619" w:right="14" w:firstLine="0"/>
      </w:pPr>
    </w:p>
    <w:p w:rsidR="00BF7A74" w:rsidRDefault="00BF7A74" w:rsidP="00BF7A74">
      <w:pPr>
        <w:spacing w:after="0" w:line="240" w:lineRule="auto"/>
        <w:ind w:left="619" w:right="14" w:firstLine="0"/>
      </w:pPr>
    </w:p>
    <w:p w:rsidR="00BF7A74" w:rsidRPr="002264D6" w:rsidRDefault="00BF7A74" w:rsidP="00BF7A74">
      <w:pPr>
        <w:spacing w:after="0" w:line="240" w:lineRule="auto"/>
        <w:ind w:left="619" w:right="14" w:firstLine="0"/>
        <w:jc w:val="center"/>
        <w:rPr>
          <w:b/>
        </w:rPr>
      </w:pPr>
      <w:r w:rsidRPr="002264D6">
        <w:rPr>
          <w:b/>
        </w:rPr>
        <w:t>IV.</w:t>
      </w:r>
    </w:p>
    <w:p w:rsidR="00B367AD" w:rsidRDefault="00E54004" w:rsidP="00BF7A74">
      <w:pPr>
        <w:spacing w:after="0" w:line="240" w:lineRule="auto"/>
        <w:ind w:left="437" w:right="365" w:hanging="10"/>
        <w:jc w:val="center"/>
        <w:rPr>
          <w:b/>
        </w:rPr>
      </w:pPr>
      <w:r w:rsidRPr="002264D6">
        <w:rPr>
          <w:b/>
        </w:rPr>
        <w:t>Povinnosti smluvních stran</w:t>
      </w:r>
    </w:p>
    <w:p w:rsidR="002264D6" w:rsidRPr="002264D6" w:rsidRDefault="002264D6" w:rsidP="00BF7A74">
      <w:pPr>
        <w:spacing w:after="0" w:line="240" w:lineRule="auto"/>
        <w:ind w:left="437" w:right="365" w:hanging="10"/>
        <w:jc w:val="center"/>
        <w:rPr>
          <w:b/>
        </w:rPr>
      </w:pPr>
    </w:p>
    <w:p w:rsidR="00B367AD" w:rsidRDefault="00E54004" w:rsidP="00882479">
      <w:pPr>
        <w:numPr>
          <w:ilvl w:val="0"/>
          <w:numId w:val="15"/>
        </w:numPr>
        <w:spacing w:after="83"/>
        <w:ind w:left="567" w:right="14"/>
      </w:pPr>
      <w:r>
        <w:t xml:space="preserve">Poskytovatel je povinen poskytovat služby, k nimž je zavázán, poctivě, s vynaložením veškeré pečlivosti, znalostí a odbornou péčí, které jsou s jeho povoláním spojeny. Je přitom povinen dbát zájmů objednatele </w:t>
      </w:r>
      <w:r>
        <w:t>a chránit jeho dobrou pověst.</w:t>
      </w:r>
    </w:p>
    <w:p w:rsidR="00B367AD" w:rsidRDefault="00E54004" w:rsidP="00882479">
      <w:pPr>
        <w:numPr>
          <w:ilvl w:val="0"/>
          <w:numId w:val="15"/>
        </w:numPr>
        <w:spacing w:after="113"/>
        <w:ind w:left="567" w:right="14"/>
      </w:pPr>
      <w:r>
        <w:t>P</w:t>
      </w:r>
      <w:r>
        <w:t>oskytovatel se zavazuje při poskytování služeb dle podmínek smlouvy postupovat způsobem, který minimalizuje negativní dopady (omezení) poskytovaných služeb na provoz objednatele.</w:t>
      </w:r>
    </w:p>
    <w:p w:rsidR="00B367AD" w:rsidRDefault="00E54004" w:rsidP="00882479">
      <w:pPr>
        <w:numPr>
          <w:ilvl w:val="0"/>
          <w:numId w:val="15"/>
        </w:numPr>
        <w:spacing w:after="150"/>
        <w:ind w:left="567" w:right="14"/>
      </w:pPr>
      <w:r>
        <w:t>poskytovatel se zavazuje zajistit ochranu důvě</w:t>
      </w:r>
      <w:r>
        <w:t>rných informací všemi pracovníky a rovněž i dalšími osobami, které pověří dílčími úkoly v souvislosti s realizací smlouvy. Za důvěrné informace se považují veškeré informace, které jsou jako důvěrné označeny anebo jsou takového charakteru, že mohou v přípa</w:t>
      </w:r>
      <w:r>
        <w:t>dě zveřejnění přivodit kterékoliv smluvní straně újmu, bez ohledu na to, zda mají povahu osobních, obchodních či jiných informací.</w:t>
      </w:r>
    </w:p>
    <w:p w:rsidR="00B367AD" w:rsidRDefault="00E54004" w:rsidP="002264D6">
      <w:pPr>
        <w:pStyle w:val="Odstavecseseznamem"/>
        <w:numPr>
          <w:ilvl w:val="0"/>
          <w:numId w:val="15"/>
        </w:numPr>
        <w:spacing w:before="120" w:after="0"/>
        <w:ind w:left="567" w:right="115" w:hanging="357"/>
      </w:pPr>
      <w:r>
        <w:lastRenderedPageBreak/>
        <w:t>Poskytovatel se zavazuje přijmout taková technická, personální a jiná potřebná opatření, aby nemohlo dojít k neoprávněnému</w:t>
      </w:r>
      <w:r>
        <w:t xml:space="preserve"> nebo nahodilému přístupu k osobním údajům, k jejich změně, zničení, či ztrátě, neoprávněným přenosům, k jejich jinému neoprávněnému zpracování, jakož i k jinému zneužití osobních údajů. Poskytovatel se dále zavazuje vydáním vlastních vnitřních předpisů, p</w:t>
      </w:r>
      <w:r>
        <w:t>říp. prostřednictvím zvláštních smluvních ujednání, zajistit, že jeho zaměstnanci a jiné osoby podílející se na poskytování služeb, budou zachovávat mlčenlivost o osobních údajích, se kterými mohli přijít nahodile do styku a o bezpečnostních opatřeních, je</w:t>
      </w:r>
      <w:r>
        <w:t>jichž zveřejnění by ohrozilo zabezpečení osobních údajů, a to i po skončení zaměstnání nebo příslušných prací u poskytovatele.</w:t>
      </w:r>
    </w:p>
    <w:p w:rsidR="00B367AD" w:rsidRDefault="00E54004" w:rsidP="002264D6">
      <w:pPr>
        <w:pStyle w:val="Odstavecseseznamem"/>
        <w:numPr>
          <w:ilvl w:val="0"/>
          <w:numId w:val="15"/>
        </w:numPr>
        <w:spacing w:before="120" w:after="0"/>
        <w:ind w:left="567" w:right="120" w:hanging="357"/>
      </w:pPr>
      <w:r>
        <w:t xml:space="preserve">Smluvní strany se pro případ zpracování osobních údajů vycházejícího z plnění povinností dle smlouvy zavazují zavést vhodná technická a organizační opatření tak, aby dané zpracování splňovalo požadavky Nařízení (EU) č. 2016/679 (GDPR) a aby byla zajištěna </w:t>
      </w:r>
      <w:r>
        <w:t>ochrana práv subjektů údajů.</w:t>
      </w:r>
    </w:p>
    <w:p w:rsidR="00B367AD" w:rsidRDefault="00E54004" w:rsidP="002264D6">
      <w:pPr>
        <w:pStyle w:val="Odstavecseseznamem"/>
        <w:numPr>
          <w:ilvl w:val="0"/>
          <w:numId w:val="15"/>
        </w:numPr>
        <w:spacing w:before="120" w:after="0"/>
        <w:ind w:left="567" w:right="125" w:hanging="357"/>
      </w:pPr>
      <w:r>
        <w:t>Veškeré změny, jež mají vliv na plnění závazků ze smlouvy (zejména změna obchodní firmy, sídla, statutárních orgánů oprávněných jménem společnosti jednat, odpovědných zástupců, přihlášení či odhlášení DPH, pověřeného pracovn</w:t>
      </w:r>
      <w:r>
        <w:t>íka, místa dodávky, bankovního spojení, apod.), budou oznámeny písemným doporučeným dopisem poskytovatelem objednateli, nebo do datové schránky objednatele nejpozději do 5 pracovních dnů ode dne, kdy ke změně došlo.</w:t>
      </w:r>
    </w:p>
    <w:p w:rsidR="00B367AD" w:rsidRDefault="00E54004" w:rsidP="002264D6">
      <w:pPr>
        <w:pStyle w:val="Odstavecseseznamem"/>
        <w:numPr>
          <w:ilvl w:val="0"/>
          <w:numId w:val="15"/>
        </w:numPr>
        <w:spacing w:before="120" w:after="0"/>
        <w:ind w:left="567" w:right="14" w:hanging="357"/>
      </w:pPr>
      <w:r>
        <w:t xml:space="preserve"> </w:t>
      </w:r>
      <w:r>
        <w:t>Objednatel je povinen v rámci poskytov</w:t>
      </w:r>
      <w:r>
        <w:t>ání součinnosti umožnit poskytovateli plný přístup k servisovanému a revidovanému zařízení.</w:t>
      </w:r>
    </w:p>
    <w:p w:rsidR="002264D6" w:rsidRDefault="002264D6" w:rsidP="002264D6">
      <w:pPr>
        <w:pStyle w:val="Odstavecseseznamem"/>
        <w:spacing w:before="120" w:after="0"/>
        <w:ind w:left="567" w:right="14" w:firstLine="0"/>
      </w:pPr>
    </w:p>
    <w:p w:rsidR="00B367AD" w:rsidRPr="002264D6" w:rsidRDefault="00E54004">
      <w:pPr>
        <w:spacing w:after="0" w:line="259" w:lineRule="auto"/>
        <w:ind w:left="423" w:right="0" w:hanging="10"/>
        <w:jc w:val="center"/>
        <w:rPr>
          <w:b/>
        </w:rPr>
      </w:pPr>
      <w:r w:rsidRPr="002264D6">
        <w:rPr>
          <w:b/>
          <w:sz w:val="28"/>
        </w:rPr>
        <w:t>v</w:t>
      </w:r>
      <w:r w:rsidRPr="002264D6">
        <w:rPr>
          <w:b/>
          <w:sz w:val="28"/>
        </w:rPr>
        <w:t>.</w:t>
      </w:r>
    </w:p>
    <w:p w:rsidR="00B367AD" w:rsidRPr="002264D6" w:rsidRDefault="00E54004">
      <w:pPr>
        <w:spacing w:after="70" w:line="259" w:lineRule="auto"/>
        <w:ind w:left="437" w:right="0" w:hanging="10"/>
        <w:jc w:val="center"/>
        <w:rPr>
          <w:b/>
        </w:rPr>
      </w:pPr>
      <w:r w:rsidRPr="002264D6">
        <w:rPr>
          <w:b/>
          <w:noProof/>
        </w:rPr>
        <mc:AlternateContent>
          <mc:Choice Requires="wpg">
            <w:drawing>
              <wp:anchor distT="0" distB="0" distL="114300" distR="114300" simplePos="0" relativeHeight="251661312" behindDoc="0" locked="0" layoutInCell="1" allowOverlap="1">
                <wp:simplePos x="0" y="0"/>
                <wp:positionH relativeFrom="page">
                  <wp:posOffset>804672</wp:posOffset>
                </wp:positionH>
                <wp:positionV relativeFrom="page">
                  <wp:posOffset>9869191</wp:posOffset>
                </wp:positionV>
                <wp:extent cx="5815584" cy="9146"/>
                <wp:effectExtent l="0" t="0" r="0" b="0"/>
                <wp:wrapTopAndBottom/>
                <wp:docPr id="35432" name="Group 35432"/>
                <wp:cNvGraphicFramePr/>
                <a:graphic xmlns:a="http://schemas.openxmlformats.org/drawingml/2006/main">
                  <a:graphicData uri="http://schemas.microsoft.com/office/word/2010/wordprocessingGroup">
                    <wpg:wgp>
                      <wpg:cNvGrpSpPr/>
                      <wpg:grpSpPr>
                        <a:xfrm>
                          <a:off x="0" y="0"/>
                          <a:ext cx="5815584" cy="9146"/>
                          <a:chOff x="0" y="0"/>
                          <a:chExt cx="5815584" cy="9146"/>
                        </a:xfrm>
                      </wpg:grpSpPr>
                      <wps:wsp>
                        <wps:cNvPr id="35431" name="Shape 35431"/>
                        <wps:cNvSpPr/>
                        <wps:spPr>
                          <a:xfrm>
                            <a:off x="0" y="0"/>
                            <a:ext cx="5815584" cy="9146"/>
                          </a:xfrm>
                          <a:custGeom>
                            <a:avLst/>
                            <a:gdLst/>
                            <a:ahLst/>
                            <a:cxnLst/>
                            <a:rect l="0" t="0" r="0" b="0"/>
                            <a:pathLst>
                              <a:path w="5815584" h="9146">
                                <a:moveTo>
                                  <a:pt x="0" y="4573"/>
                                </a:moveTo>
                                <a:lnTo>
                                  <a:pt x="5815584"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35432" style="width:457.92pt;height:0.720154pt;position:absolute;mso-position-horizontal-relative:page;mso-position-horizontal:absolute;margin-left:63.36pt;mso-position-vertical-relative:page;margin-top:777.102pt;" coordsize="58155,91">
                <v:shape id="Shape 35431" style="position:absolute;width:58155;height:91;left:0;top:0;" coordsize="5815584,9146" path="m0,4573l5815584,4573">
                  <v:stroke weight="0.720154pt" endcap="flat" joinstyle="miter" miterlimit="1" on="true" color="#000000"/>
                  <v:fill on="false" color="#000000"/>
                </v:shape>
                <w10:wrap type="topAndBottom"/>
              </v:group>
            </w:pict>
          </mc:Fallback>
        </mc:AlternateContent>
      </w:r>
      <w:r w:rsidRPr="002264D6">
        <w:rPr>
          <w:b/>
        </w:rPr>
        <w:t>Cena služeb a platební podmínky</w:t>
      </w:r>
    </w:p>
    <w:p w:rsidR="00B367AD" w:rsidRDefault="00E54004">
      <w:pPr>
        <w:spacing w:after="85"/>
        <w:ind w:left="528" w:right="134" w:hanging="514"/>
      </w:pPr>
      <w:r>
        <w:rPr>
          <w:noProof/>
        </w:rPr>
        <w:drawing>
          <wp:inline distT="0" distB="0" distL="0" distR="0">
            <wp:extent cx="79248" cy="100613"/>
            <wp:effectExtent l="0" t="0" r="0" b="0"/>
            <wp:docPr id="35429" name="Picture 35429"/>
            <wp:cNvGraphicFramePr/>
            <a:graphic xmlns:a="http://schemas.openxmlformats.org/drawingml/2006/main">
              <a:graphicData uri="http://schemas.openxmlformats.org/drawingml/2006/picture">
                <pic:pic xmlns:pic="http://schemas.openxmlformats.org/drawingml/2006/picture">
                  <pic:nvPicPr>
                    <pic:cNvPr id="35429" name="Picture 35429"/>
                    <pic:cNvPicPr/>
                  </pic:nvPicPr>
                  <pic:blipFill>
                    <a:blip r:embed="rId9"/>
                    <a:stretch>
                      <a:fillRect/>
                    </a:stretch>
                  </pic:blipFill>
                  <pic:spPr>
                    <a:xfrm>
                      <a:off x="0" y="0"/>
                      <a:ext cx="79248" cy="100613"/>
                    </a:xfrm>
                    <a:prstGeom prst="rect">
                      <a:avLst/>
                    </a:prstGeom>
                  </pic:spPr>
                </pic:pic>
              </a:graphicData>
            </a:graphic>
          </wp:inline>
        </w:drawing>
      </w:r>
      <w:r w:rsidR="00882479">
        <w:t xml:space="preserve">      </w:t>
      </w:r>
      <w:r>
        <w:t>Objednatel se zavazuje hradit poskytovateli za plnění poskytnuté dle této smlouvy cenu za služby ve výši dle platného ceníku ÚR</w:t>
      </w:r>
      <w:r>
        <w:t>S cenové úrovně 2025, za revize ceny uvedené v příloze č. 1 této smlouvy. Uvedené ceny jsou cenami konečnými a nepřekročitelnými po celou dobu účinnosti této smlouvy. K cenám za služby bude připočtena DPH dle platných právních předpisů.</w:t>
      </w:r>
    </w:p>
    <w:p w:rsidR="00B367AD" w:rsidRDefault="00E54004">
      <w:pPr>
        <w:numPr>
          <w:ilvl w:val="0"/>
          <w:numId w:val="6"/>
        </w:numPr>
        <w:spacing w:after="68"/>
        <w:ind w:left="552" w:right="130" w:hanging="538"/>
      </w:pPr>
      <w:r>
        <w:t>Cena za služby v so</w:t>
      </w:r>
      <w:r>
        <w:t>bě zahrnuje veškeré související náklady (tj. práci revizního technika, dopravu a ztrátový čas technika, atp.), které poskytovateli v souvislosti s poskytováním služeb dle smlouvy vzniknou, pokud nejsou ze smlouvy výslovně vyjmuty, a je konečná a neměnná. T</w:t>
      </w:r>
      <w:r>
        <w:t>o nevylučuje vznik práv z odpovědnosti za porušení smlouvy druhou smluvní stranou.</w:t>
      </w:r>
    </w:p>
    <w:p w:rsidR="00B367AD" w:rsidRDefault="00E54004">
      <w:pPr>
        <w:numPr>
          <w:ilvl w:val="0"/>
          <w:numId w:val="6"/>
        </w:numPr>
        <w:spacing w:after="89"/>
        <w:ind w:left="552" w:right="130" w:hanging="538"/>
      </w:pPr>
      <w:r>
        <w:t>Poskytovatel může navrhnout zvýšení ceny pouze v souvislosti se změnou zákona č. 235/2004 Sb., o dani z přidané hodnoty, a to nejvýše o částku odpovídající této legislativní</w:t>
      </w:r>
      <w:r>
        <w:t xml:space="preserve"> změně.</w:t>
      </w:r>
    </w:p>
    <w:p w:rsidR="00B367AD" w:rsidRDefault="00E54004">
      <w:pPr>
        <w:numPr>
          <w:ilvl w:val="0"/>
          <w:numId w:val="6"/>
        </w:numPr>
        <w:spacing w:after="66"/>
        <w:ind w:left="552" w:right="130" w:hanging="538"/>
      </w:pPr>
      <w:r>
        <w:t>Dnem zdanitelného plnění je den předání řádně provedených služeb na základě objednávky dle smlouvy. Poskytovatel je povinen daňové doklady (dále jen „faktury”) vystavovat po provedení díla tj. po vyhotovení a fyzické předání rev</w:t>
      </w:r>
      <w:r w:rsidR="00882479">
        <w:t>i</w:t>
      </w:r>
      <w:r>
        <w:t>zní zprávy. Převzetí</w:t>
      </w:r>
      <w:r>
        <w:t xml:space="preserve"> revizní zprávy musí potvrdit zástupce objednatele.</w:t>
      </w:r>
    </w:p>
    <w:p w:rsidR="00B367AD" w:rsidRDefault="00E54004">
      <w:pPr>
        <w:numPr>
          <w:ilvl w:val="0"/>
          <w:numId w:val="6"/>
        </w:numPr>
        <w:spacing w:after="106"/>
        <w:ind w:left="552" w:right="130" w:hanging="538"/>
      </w:pPr>
      <w:r>
        <w:t>Splatnost faktury činí 14 dnů ode dne jejího doručení objednateli. Stejná lhůta splatnosti platí i při placení jiných plateb (smluvních pokut, úroků z prodlení, náhrady škody apod.).</w:t>
      </w:r>
    </w:p>
    <w:p w:rsidR="00B367AD" w:rsidRDefault="00E54004">
      <w:pPr>
        <w:numPr>
          <w:ilvl w:val="0"/>
          <w:numId w:val="6"/>
        </w:numPr>
        <w:spacing w:after="48"/>
        <w:ind w:left="552" w:right="130" w:hanging="538"/>
      </w:pPr>
      <w:r>
        <w:t>Doba splatnosti je sjednána v souladu s ustanovením 1963 odst. 2 občanského zákoníku s ohledem na povahu plnění předmětu smlouvy, s čímž smluvní strany podpisem smlouvy výslovně souhlasí. Doručení faktury se provede elektronicky e-mailem.</w:t>
      </w:r>
    </w:p>
    <w:p w:rsidR="00B367AD" w:rsidRDefault="00E54004">
      <w:pPr>
        <w:ind w:left="552" w:right="144" w:hanging="538"/>
      </w:pPr>
      <w:r>
        <w:t>7</w:t>
      </w:r>
      <w:r w:rsidR="00882479">
        <w:t xml:space="preserve">.   </w:t>
      </w:r>
      <w:r>
        <w:t xml:space="preserve"> </w:t>
      </w:r>
      <w:r>
        <w:t>Faktura poskyto</w:t>
      </w:r>
      <w:r>
        <w:t>vatele musí obsahovat pouze správné údaje a musí splňovat náležitosti daňového dokladu dle 28 zákona č. 235/2004 Sb., o dani z přidané hodnoty, ve znění pozdějších předpisů, a náležitosti stanovené 435 občanského zákoníku.</w:t>
      </w:r>
    </w:p>
    <w:p w:rsidR="00B367AD" w:rsidRDefault="00E54004" w:rsidP="00882479">
      <w:pPr>
        <w:numPr>
          <w:ilvl w:val="0"/>
          <w:numId w:val="7"/>
        </w:numPr>
        <w:spacing w:after="354"/>
        <w:ind w:left="567" w:right="14" w:hanging="547"/>
      </w:pPr>
      <w:r>
        <w:t>P</w:t>
      </w:r>
      <w:r>
        <w:t>ovinnost zaplatit kupní cenu je splněna dnem odepsání příslušné částky z účtu objednatele.</w:t>
      </w:r>
    </w:p>
    <w:p w:rsidR="00882479" w:rsidRDefault="00E54004" w:rsidP="006F1583">
      <w:pPr>
        <w:numPr>
          <w:ilvl w:val="0"/>
          <w:numId w:val="7"/>
        </w:numPr>
        <w:ind w:left="567" w:right="14" w:hanging="547"/>
      </w:pPr>
      <w:r>
        <w:lastRenderedPageBreak/>
        <w:t>Faktura bude mít zejména tyto náležitosti:</w:t>
      </w:r>
    </w:p>
    <w:p w:rsidR="00882479" w:rsidRDefault="00E54004" w:rsidP="00882479">
      <w:pPr>
        <w:ind w:left="648" w:right="14" w:firstLine="0"/>
      </w:pPr>
      <w:r>
        <w:t xml:space="preserve"> </w:t>
      </w:r>
      <w:r>
        <w:rPr>
          <w:noProof/>
        </w:rPr>
        <w:drawing>
          <wp:inline distT="0" distB="0" distL="0" distR="0">
            <wp:extent cx="70104" cy="12195"/>
            <wp:effectExtent l="0" t="0" r="0" b="0"/>
            <wp:docPr id="12131" name="Picture 12131"/>
            <wp:cNvGraphicFramePr/>
            <a:graphic xmlns:a="http://schemas.openxmlformats.org/drawingml/2006/main">
              <a:graphicData uri="http://schemas.openxmlformats.org/drawingml/2006/picture">
                <pic:pic xmlns:pic="http://schemas.openxmlformats.org/drawingml/2006/picture">
                  <pic:nvPicPr>
                    <pic:cNvPr id="12131" name="Picture 12131"/>
                    <pic:cNvPicPr/>
                  </pic:nvPicPr>
                  <pic:blipFill>
                    <a:blip r:embed="rId10"/>
                    <a:stretch>
                      <a:fillRect/>
                    </a:stretch>
                  </pic:blipFill>
                  <pic:spPr>
                    <a:xfrm>
                      <a:off x="0" y="0"/>
                      <a:ext cx="70104" cy="12195"/>
                    </a:xfrm>
                    <a:prstGeom prst="rect">
                      <a:avLst/>
                    </a:prstGeom>
                  </pic:spPr>
                </pic:pic>
              </a:graphicData>
            </a:graphic>
          </wp:inline>
        </w:drawing>
      </w:r>
      <w:r>
        <w:t xml:space="preserve"> označení a číslo;</w:t>
      </w:r>
    </w:p>
    <w:p w:rsidR="00882479" w:rsidRDefault="00E54004" w:rsidP="00882479">
      <w:pPr>
        <w:ind w:left="648" w:right="14" w:firstLine="0"/>
      </w:pPr>
      <w:r>
        <w:t xml:space="preserve"> </w:t>
      </w:r>
      <w:r>
        <w:rPr>
          <w:noProof/>
        </w:rPr>
        <w:drawing>
          <wp:inline distT="0" distB="0" distL="0" distR="0">
            <wp:extent cx="70104" cy="15244"/>
            <wp:effectExtent l="0" t="0" r="0" b="0"/>
            <wp:docPr id="12132" name="Picture 12132"/>
            <wp:cNvGraphicFramePr/>
            <a:graphic xmlns:a="http://schemas.openxmlformats.org/drawingml/2006/main">
              <a:graphicData uri="http://schemas.openxmlformats.org/drawingml/2006/picture">
                <pic:pic xmlns:pic="http://schemas.openxmlformats.org/drawingml/2006/picture">
                  <pic:nvPicPr>
                    <pic:cNvPr id="12132" name="Picture 12132"/>
                    <pic:cNvPicPr/>
                  </pic:nvPicPr>
                  <pic:blipFill>
                    <a:blip r:embed="rId11"/>
                    <a:stretch>
                      <a:fillRect/>
                    </a:stretch>
                  </pic:blipFill>
                  <pic:spPr>
                    <a:xfrm>
                      <a:off x="0" y="0"/>
                      <a:ext cx="70104" cy="15244"/>
                    </a:xfrm>
                    <a:prstGeom prst="rect">
                      <a:avLst/>
                    </a:prstGeom>
                  </pic:spPr>
                </pic:pic>
              </a:graphicData>
            </a:graphic>
          </wp:inline>
        </w:drawing>
      </w:r>
      <w:r>
        <w:t xml:space="preserve"> označení smluvních stran;</w:t>
      </w:r>
    </w:p>
    <w:p w:rsidR="00882479" w:rsidRDefault="00E54004" w:rsidP="00882479">
      <w:pPr>
        <w:ind w:left="648" w:right="14" w:firstLine="0"/>
      </w:pPr>
      <w:r>
        <w:t xml:space="preserve"> </w:t>
      </w:r>
      <w:r>
        <w:rPr>
          <w:noProof/>
        </w:rPr>
        <w:drawing>
          <wp:inline distT="0" distB="0" distL="0" distR="0">
            <wp:extent cx="70104" cy="9147"/>
            <wp:effectExtent l="0" t="0" r="0" b="0"/>
            <wp:docPr id="12133" name="Picture 12133"/>
            <wp:cNvGraphicFramePr/>
            <a:graphic xmlns:a="http://schemas.openxmlformats.org/drawingml/2006/main">
              <a:graphicData uri="http://schemas.openxmlformats.org/drawingml/2006/picture">
                <pic:pic xmlns:pic="http://schemas.openxmlformats.org/drawingml/2006/picture">
                  <pic:nvPicPr>
                    <pic:cNvPr id="12133" name="Picture 12133"/>
                    <pic:cNvPicPr/>
                  </pic:nvPicPr>
                  <pic:blipFill>
                    <a:blip r:embed="rId12"/>
                    <a:stretch>
                      <a:fillRect/>
                    </a:stretch>
                  </pic:blipFill>
                  <pic:spPr>
                    <a:xfrm>
                      <a:off x="0" y="0"/>
                      <a:ext cx="70104" cy="9147"/>
                    </a:xfrm>
                    <a:prstGeom prst="rect">
                      <a:avLst/>
                    </a:prstGeom>
                  </pic:spPr>
                </pic:pic>
              </a:graphicData>
            </a:graphic>
          </wp:inline>
        </w:drawing>
      </w:r>
      <w:r>
        <w:t xml:space="preserve"> důvod fakturace, popis práce, přesné označení předmětu plnění; </w:t>
      </w:r>
    </w:p>
    <w:p w:rsidR="00882479" w:rsidRDefault="00882479" w:rsidP="00882479">
      <w:pPr>
        <w:ind w:left="648" w:right="14" w:firstLine="0"/>
      </w:pPr>
      <w:r w:rsidRPr="00370869">
        <w:pict>
          <v:shape id="_x0000_i1032" type="#_x0000_t75" style="width:6pt;height:.75pt;visibility:visible;mso-wrap-style:square">
            <v:imagedata r:id="rId13" o:title=""/>
          </v:shape>
        </w:pict>
      </w:r>
      <w:r w:rsidR="00E54004">
        <w:t xml:space="preserve"> </w:t>
      </w:r>
      <w:r w:rsidR="00E54004">
        <w:t>označe</w:t>
      </w:r>
      <w:r w:rsidR="00E54004">
        <w:t xml:space="preserve">ní bankovního ústavu a číslo účtu, na který má být placeno; </w:t>
      </w:r>
    </w:p>
    <w:p w:rsidR="00D10B13" w:rsidRDefault="00D10B13" w:rsidP="00882479">
      <w:pPr>
        <w:ind w:left="648" w:right="14" w:firstLine="0"/>
      </w:pPr>
      <w:r w:rsidRPr="00370869">
        <w:pict>
          <v:shape id="_x0000_i1040" type="#_x0000_t75" style="width:5.25pt;height:.75pt;visibility:visible;mso-wrap-style:square">
            <v:imagedata r:id="rId14" o:title=""/>
          </v:shape>
        </w:pict>
      </w:r>
      <w:r w:rsidR="00E54004">
        <w:t xml:space="preserve"> </w:t>
      </w:r>
      <w:r w:rsidR="00E54004">
        <w:t xml:space="preserve">den odeslání faktury a lhůta splatnosti; </w:t>
      </w:r>
    </w:p>
    <w:p w:rsidR="00D10B13" w:rsidRDefault="00D10B13" w:rsidP="00882479">
      <w:pPr>
        <w:ind w:left="648" w:right="14" w:firstLine="0"/>
      </w:pPr>
      <w:r w:rsidRPr="00370869">
        <w:pict>
          <v:shape id="_x0000_i1048" type="#_x0000_t75" style="width:6pt;height:1.5pt;visibility:visible;mso-wrap-style:square">
            <v:imagedata r:id="rId15" o:title=""/>
          </v:shape>
        </w:pict>
      </w:r>
      <w:r w:rsidR="00E54004">
        <w:t xml:space="preserve"> </w:t>
      </w:r>
      <w:r w:rsidR="00E54004">
        <w:t xml:space="preserve">datum uskutečněného zdanitelného plnění; </w:t>
      </w:r>
    </w:p>
    <w:p w:rsidR="00D10B13" w:rsidRDefault="00D10B13" w:rsidP="00882479">
      <w:pPr>
        <w:ind w:left="648" w:right="14" w:firstLine="0"/>
      </w:pPr>
      <w:r w:rsidRPr="00370869">
        <w:pict>
          <v:shape id="_x0000_i1056" type="#_x0000_t75" style="width:5.25pt;height:.75pt;visibility:visible;mso-wrap-style:square">
            <v:imagedata r:id="rId16" o:title=""/>
          </v:shape>
        </w:pict>
      </w:r>
      <w:r w:rsidR="00E54004">
        <w:t xml:space="preserve"> </w:t>
      </w:r>
      <w:r w:rsidR="00E54004">
        <w:t xml:space="preserve">částka k úhradě </w:t>
      </w:r>
    </w:p>
    <w:p w:rsidR="00B367AD" w:rsidRDefault="00E54004" w:rsidP="00882479">
      <w:pPr>
        <w:ind w:left="648" w:right="14" w:firstLine="0"/>
      </w:pPr>
      <w:r>
        <w:rPr>
          <w:noProof/>
        </w:rPr>
        <w:drawing>
          <wp:inline distT="0" distB="0" distL="0" distR="0">
            <wp:extent cx="70104" cy="12195"/>
            <wp:effectExtent l="0" t="0" r="0" b="0"/>
            <wp:docPr id="12138" name="Picture 12138"/>
            <wp:cNvGraphicFramePr/>
            <a:graphic xmlns:a="http://schemas.openxmlformats.org/drawingml/2006/main">
              <a:graphicData uri="http://schemas.openxmlformats.org/drawingml/2006/picture">
                <pic:pic xmlns:pic="http://schemas.openxmlformats.org/drawingml/2006/picture">
                  <pic:nvPicPr>
                    <pic:cNvPr id="12138" name="Picture 12138"/>
                    <pic:cNvPicPr/>
                  </pic:nvPicPr>
                  <pic:blipFill>
                    <a:blip r:embed="rId17"/>
                    <a:stretch>
                      <a:fillRect/>
                    </a:stretch>
                  </pic:blipFill>
                  <pic:spPr>
                    <a:xfrm>
                      <a:off x="0" y="0"/>
                      <a:ext cx="70104" cy="12195"/>
                    </a:xfrm>
                    <a:prstGeom prst="rect">
                      <a:avLst/>
                    </a:prstGeom>
                  </pic:spPr>
                </pic:pic>
              </a:graphicData>
            </a:graphic>
          </wp:inline>
        </w:drawing>
      </w:r>
      <w:r>
        <w:t xml:space="preserve"> název akce, v rámci níž fakturace probíhá „Rámcová smlouva o poskytování služeb oprav a re</w:t>
      </w:r>
      <w:r>
        <w:t>vizí elektroinstalace a hromosvodů” č.1/2025.</w:t>
      </w:r>
    </w:p>
    <w:p w:rsidR="00B367AD" w:rsidRDefault="00B367AD"/>
    <w:p w:rsidR="00B367AD" w:rsidRDefault="00E54004" w:rsidP="002264D6">
      <w:pPr>
        <w:spacing w:after="28"/>
        <w:ind w:left="0" w:right="14" w:firstLine="0"/>
      </w:pPr>
      <w:r>
        <w:t xml:space="preserve">Popis předmětu plnění se musí shodovat s názvem opravovaného nebo zrevidovaného zařízení </w:t>
      </w:r>
      <w:r>
        <w:t>(</w:t>
      </w:r>
      <w:r>
        <w:t>budova, podlaží, číslo místnosti, atd.)</w:t>
      </w:r>
    </w:p>
    <w:p w:rsidR="00B367AD" w:rsidRDefault="00E54004" w:rsidP="002264D6">
      <w:pPr>
        <w:spacing w:after="252"/>
        <w:ind w:right="14"/>
      </w:pPr>
      <w:r>
        <w:t>Povinnou přílohu faktury tvoří „Seznam poskytovaných služeb” dle článku VIII/1 smlouvy.</w:t>
      </w:r>
    </w:p>
    <w:p w:rsidR="00B367AD" w:rsidRDefault="002264D6">
      <w:pPr>
        <w:spacing w:after="413"/>
        <w:ind w:left="610" w:right="14" w:hanging="533"/>
      </w:pPr>
      <w:r>
        <w:t>I0</w:t>
      </w:r>
      <w:r w:rsidR="00E54004">
        <w:t xml:space="preserve">.     </w:t>
      </w:r>
      <w:r w:rsidR="00E54004">
        <w:t>Smluvní strany sjednávají, že posk</w:t>
      </w:r>
      <w:r w:rsidR="00E54004">
        <w:t>ytovatel není oprávněn jakékoliv jeho pohledávky vůči objednateli, které vzniknou na základě této uzavřené smlouvy, započítat vůči pohledávkám objednatele vůči poskytovateli jednostranným právním úkonem.</w:t>
      </w:r>
    </w:p>
    <w:p w:rsidR="00B367AD" w:rsidRPr="002264D6" w:rsidRDefault="00E54004">
      <w:pPr>
        <w:spacing w:after="12" w:line="259" w:lineRule="auto"/>
        <w:ind w:left="96" w:right="34" w:hanging="10"/>
        <w:jc w:val="center"/>
        <w:rPr>
          <w:b/>
        </w:rPr>
      </w:pPr>
      <w:proofErr w:type="spellStart"/>
      <w:r w:rsidRPr="002264D6">
        <w:rPr>
          <w:b/>
          <w:sz w:val="26"/>
        </w:rPr>
        <w:t>Vl</w:t>
      </w:r>
      <w:proofErr w:type="spellEnd"/>
      <w:r w:rsidRPr="002264D6">
        <w:rPr>
          <w:b/>
          <w:sz w:val="26"/>
        </w:rPr>
        <w:t>.</w:t>
      </w:r>
    </w:p>
    <w:p w:rsidR="00B367AD" w:rsidRPr="002264D6" w:rsidRDefault="00E54004">
      <w:pPr>
        <w:spacing w:after="108" w:line="259" w:lineRule="auto"/>
        <w:ind w:left="437" w:right="374" w:hanging="10"/>
        <w:jc w:val="center"/>
        <w:rPr>
          <w:b/>
        </w:rPr>
      </w:pPr>
      <w:r w:rsidRPr="002264D6">
        <w:rPr>
          <w:b/>
        </w:rPr>
        <w:t>Záruka a práva z vadného plnění</w:t>
      </w:r>
    </w:p>
    <w:p w:rsidR="00B367AD" w:rsidRDefault="00E54004">
      <w:pPr>
        <w:numPr>
          <w:ilvl w:val="0"/>
          <w:numId w:val="8"/>
        </w:numPr>
        <w:ind w:right="14" w:hanging="528"/>
      </w:pPr>
      <w:r>
        <w:t>Poskytovatel pos</w:t>
      </w:r>
      <w:r>
        <w:t xml:space="preserve">kytuje záruku za jakost na poskytnuté služby v délce trvání 24 měsíců, na materiál dle </w:t>
      </w:r>
      <w:proofErr w:type="gramStart"/>
      <w:r>
        <w:t>záruční</w:t>
      </w:r>
      <w:proofErr w:type="gramEnd"/>
      <w:r>
        <w:t xml:space="preserve"> lhůt dodavatelů a to ode dne dokončení oprav a převzetí revizní zprávy objednatelem dle čl. 9 smlouvy (dále jen „záruka”). Záruka trvá i po ukončení smlouvy.</w:t>
      </w:r>
    </w:p>
    <w:p w:rsidR="00B367AD" w:rsidRDefault="00E54004">
      <w:pPr>
        <w:numPr>
          <w:ilvl w:val="0"/>
          <w:numId w:val="8"/>
        </w:numPr>
        <w:spacing w:after="36"/>
        <w:ind w:right="14" w:hanging="528"/>
      </w:pPr>
      <w:r>
        <w:t>Pos</w:t>
      </w:r>
      <w:r>
        <w:t>kytovatel odpovídá za vady služeb, které jsou přítomny v době převzetí revizní zprávy objednatelem, a dále poskytovatel přebírá závazek a odpovědnost za vady služeb, které se na poskytnutých službách projeví v průběhu záruky: Vadou služby je myšlená vada (</w:t>
      </w:r>
      <w:r>
        <w:t>nekompletnost, chybné měření atd.) na provedené revizi elektrického zařízení nebo hromosvodu, nebo chybně vypracovaná, neúpln</w:t>
      </w:r>
      <w:r>
        <w:t>á revizní zpráva. Revizní zpráva obsahem i kvalitou provedení musí odpovídat požadavkům platných norem ČSN.</w:t>
      </w:r>
    </w:p>
    <w:p w:rsidR="00B367AD" w:rsidRDefault="00E54004">
      <w:pPr>
        <w:spacing w:after="143"/>
        <w:ind w:left="556" w:right="14" w:hanging="542"/>
      </w:pPr>
      <w:r>
        <w:t>3</w:t>
      </w:r>
      <w:r w:rsidR="00D10B13">
        <w:t xml:space="preserve">.     </w:t>
      </w:r>
      <w:r>
        <w:t xml:space="preserve"> </w:t>
      </w:r>
      <w:r>
        <w:t>Poskytovatel neodpov</w:t>
      </w:r>
      <w:r>
        <w:t xml:space="preserve">ídá za vady, které byly po převzetí revizní zprávy způsobeny objednatelem nebo zásahem vyšší moci. Poskytovaná záruka se tak nevztahuje zejména na vady, jež vzniknou neoprávněným zásahem do zařízení objednatelem, škodní událostí nemající původ v zařízení, </w:t>
      </w:r>
      <w:r>
        <w:t>nesprávnou údržbou po jeho předání objednateli, neplněním technických podmínek pro jeho provoz, nebo běžným provozním opotřebením zařízení.</w:t>
      </w:r>
    </w:p>
    <w:p w:rsidR="00B367AD" w:rsidRDefault="00E54004">
      <w:pPr>
        <w:ind w:left="547" w:right="14" w:hanging="533"/>
      </w:pPr>
      <w:r>
        <w:t xml:space="preserve">4.    </w:t>
      </w:r>
      <w:r>
        <w:t>Objednatel je povinen písemně nebo elektronicky na emailovou adresu kontaktní osoby poskytovatele uvedenou v hlav</w:t>
      </w:r>
      <w:r>
        <w:t>ičce smlouvy vytknout vady poskytnutých služeb, a to bez zbytečného odkladu poté, kdy je zjistil (dále jen „oznámení”). Objednatel je v oznámení povinen uvést odkaz na smlouvu, typ zařízení, den provedení vadných služeb a podrobný popis vad poskytnutých sl</w:t>
      </w:r>
      <w:r>
        <w:t>užeb.</w:t>
      </w:r>
    </w:p>
    <w:p w:rsidR="00B367AD" w:rsidRDefault="00E54004">
      <w:pPr>
        <w:spacing w:after="144"/>
        <w:ind w:left="552" w:right="14" w:hanging="538"/>
      </w:pPr>
      <w:r>
        <w:t>5</w:t>
      </w:r>
      <w:r w:rsidR="00D10B13">
        <w:t>.</w:t>
      </w:r>
      <w:r>
        <w:t xml:space="preserve"> </w:t>
      </w:r>
      <w:r w:rsidR="00D10B13">
        <w:t xml:space="preserve">   </w:t>
      </w:r>
      <w:r>
        <w:t>Poskytovatel musí mít možnost oprávněnost reklamace ověřit a vadu služeb v přiměřené lhůtě odstranit. Záruka na poskytnuté služby bude prodloužená o dobu trvání vady služby.</w:t>
      </w:r>
    </w:p>
    <w:p w:rsidR="00B367AD" w:rsidRDefault="00E54004" w:rsidP="002264D6">
      <w:pPr>
        <w:tabs>
          <w:tab w:val="right" w:pos="9192"/>
        </w:tabs>
        <w:spacing w:after="275"/>
        <w:ind w:left="567" w:right="0" w:hanging="567"/>
        <w:jc w:val="left"/>
      </w:pPr>
      <w:r>
        <w:t>6.</w:t>
      </w:r>
      <w:r w:rsidR="00D10B13">
        <w:t xml:space="preserve">       </w:t>
      </w:r>
      <w:r>
        <w:t>Poskytovatel se v případě vytknutí vady poskytnutých služeb objednatelem zavazuje odstranit</w:t>
      </w:r>
      <w:r w:rsidR="002264D6">
        <w:t xml:space="preserve"> </w:t>
      </w:r>
      <w:r>
        <w:t>uznanou vadu služby bezodkladně, nejpozději však ve lhůtě 5 pracovních dnů od vytknutí vady.</w:t>
      </w:r>
    </w:p>
    <w:p w:rsidR="00B367AD" w:rsidRDefault="00E54004">
      <w:pPr>
        <w:spacing w:after="319"/>
        <w:ind w:left="561" w:right="14" w:hanging="547"/>
      </w:pPr>
      <w:r>
        <w:lastRenderedPageBreak/>
        <w:t>7</w:t>
      </w:r>
      <w:r w:rsidR="00D10B13">
        <w:t xml:space="preserve">.      </w:t>
      </w:r>
      <w:r>
        <w:t>Pokud smlouva nestanoví jinak, nároky z vad se řídí obecnou úpr</w:t>
      </w:r>
      <w:r>
        <w:t>avou občanského zákoníku. Nároky z vad se nedotýkají nároku na náhradu škody nebo nároku na smluvní pokutu.</w:t>
      </w:r>
    </w:p>
    <w:p w:rsidR="00D10B13" w:rsidRPr="00D10B13" w:rsidRDefault="00D10B13" w:rsidP="00D10B13">
      <w:pPr>
        <w:spacing w:after="0" w:line="240" w:lineRule="auto"/>
        <w:ind w:left="561" w:right="14" w:hanging="547"/>
        <w:jc w:val="center"/>
        <w:rPr>
          <w:b/>
        </w:rPr>
      </w:pPr>
      <w:r w:rsidRPr="00D10B13">
        <w:rPr>
          <w:b/>
        </w:rPr>
        <w:t>VII.</w:t>
      </w:r>
    </w:p>
    <w:p w:rsidR="00B367AD" w:rsidRPr="00D10B13" w:rsidRDefault="00E54004" w:rsidP="00D10B13">
      <w:pPr>
        <w:spacing w:after="0" w:line="240" w:lineRule="auto"/>
        <w:ind w:left="437" w:right="480" w:hanging="10"/>
        <w:jc w:val="center"/>
        <w:rPr>
          <w:b/>
        </w:rPr>
      </w:pPr>
      <w:r w:rsidRPr="00D10B13">
        <w:rPr>
          <w:b/>
        </w:rPr>
        <w:t>P</w:t>
      </w:r>
      <w:r w:rsidRPr="00D10B13">
        <w:rPr>
          <w:b/>
        </w:rPr>
        <w:t>ojištění poskytovatele</w:t>
      </w:r>
    </w:p>
    <w:p w:rsidR="00B367AD" w:rsidRDefault="00E54004">
      <w:pPr>
        <w:spacing w:after="132"/>
        <w:ind w:left="542" w:right="91" w:hanging="528"/>
      </w:pPr>
      <w:r>
        <w:t xml:space="preserve">1. </w:t>
      </w:r>
      <w:r w:rsidR="00D10B13">
        <w:t xml:space="preserve">   </w:t>
      </w:r>
      <w:r>
        <w:t>Poskytovatel prohlašuje, že má uzavřenu pojistnou smlouvu o pojištění odpovědnosti za škodu způsobenou objednateli či třetí osobě při výkonu podnikatelské činnosti, a to ve výši minimálně 5.000.000,- Kč (slovy: pět milionů korun českých). Poskytovatel se z</w:t>
      </w:r>
      <w:r>
        <w:t>avazuje mít uzavřenou pojistnou smlouvu po celou dobu platnosti smlouvy.</w:t>
      </w:r>
    </w:p>
    <w:p w:rsidR="00B367AD" w:rsidRDefault="00E54004">
      <w:pPr>
        <w:numPr>
          <w:ilvl w:val="0"/>
          <w:numId w:val="9"/>
        </w:numPr>
        <w:spacing w:after="153"/>
        <w:ind w:right="48" w:hanging="528"/>
      </w:pPr>
      <w:r>
        <w:t>Poskytovatel je povinen udržovat platné pojištění i tehdy, pokud dojde ke změně v rozsahu poskytovaných služeb; v případě změn poskytovaných služeb je povinen pojišťovatele včas infor</w:t>
      </w:r>
      <w:r>
        <w:t xml:space="preserve">movat a případně změnit rozsah pojištění tak, aby pojistná smlouva poskytovala po celou dobu poskytování </w:t>
      </w:r>
      <w:r>
        <w:rPr>
          <w:noProof/>
        </w:rPr>
        <w:drawing>
          <wp:inline distT="0" distB="0" distL="0" distR="0">
            <wp:extent cx="12192" cy="24391"/>
            <wp:effectExtent l="0" t="0" r="0" b="0"/>
            <wp:docPr id="15020" name="Picture 15020"/>
            <wp:cNvGraphicFramePr/>
            <a:graphic xmlns:a="http://schemas.openxmlformats.org/drawingml/2006/main">
              <a:graphicData uri="http://schemas.openxmlformats.org/drawingml/2006/picture">
                <pic:pic xmlns:pic="http://schemas.openxmlformats.org/drawingml/2006/picture">
                  <pic:nvPicPr>
                    <pic:cNvPr id="15020" name="Picture 15020"/>
                    <pic:cNvPicPr/>
                  </pic:nvPicPr>
                  <pic:blipFill>
                    <a:blip r:embed="rId18"/>
                    <a:stretch>
                      <a:fillRect/>
                    </a:stretch>
                  </pic:blipFill>
                  <pic:spPr>
                    <a:xfrm>
                      <a:off x="0" y="0"/>
                      <a:ext cx="12192" cy="24391"/>
                    </a:xfrm>
                    <a:prstGeom prst="rect">
                      <a:avLst/>
                    </a:prstGeom>
                  </pic:spPr>
                </pic:pic>
              </a:graphicData>
            </a:graphic>
          </wp:inline>
        </w:drawing>
      </w:r>
      <w:r>
        <w:t xml:space="preserve"> služeb pojistné krytí požadované v odst. 1 tohoto článku smlouvy. V případě změny pojistné smlouvy v průběhu poskytování služeb dle smlouvy je poskyt</w:t>
      </w:r>
      <w:r>
        <w:t>ovatel povinen předložit objednateli doklad o změně pojistné smlouvy a o zaplacení pojistného, a to nejpozději ve lhůtě 10 pracovních dnů ode dne provedení změny.</w:t>
      </w:r>
    </w:p>
    <w:p w:rsidR="00B367AD" w:rsidRDefault="00E54004">
      <w:pPr>
        <w:numPr>
          <w:ilvl w:val="0"/>
          <w:numId w:val="9"/>
        </w:numPr>
        <w:spacing w:after="176"/>
        <w:ind w:right="48" w:hanging="528"/>
      </w:pPr>
      <w:r>
        <w:t>Jakékoliv škody z plnění poskytovatele vzniklé objednateli, tedy i škody, které nebudou kryty pojištěním dle tohoto článku, budou hrazeny poskytovatelem.</w:t>
      </w:r>
    </w:p>
    <w:p w:rsidR="00B367AD" w:rsidRDefault="00E54004">
      <w:pPr>
        <w:numPr>
          <w:ilvl w:val="0"/>
          <w:numId w:val="9"/>
        </w:numPr>
        <w:spacing w:after="196"/>
        <w:ind w:right="48" w:hanging="528"/>
      </w:pPr>
      <w:r>
        <w:t>V případě, že poskytovatel bude postupovat v rozporu s podmínkami stanovenými pojistnou smlouvou, je p</w:t>
      </w:r>
      <w:r>
        <w:t xml:space="preserve">ovinen objednatele odškodnit za jakékoliv ztráty nebo nároky vyplývající z nedodržení pojistných </w:t>
      </w:r>
      <w:r>
        <w:t>podmínek.</w:t>
      </w:r>
    </w:p>
    <w:p w:rsidR="00B367AD" w:rsidRDefault="00E54004">
      <w:pPr>
        <w:numPr>
          <w:ilvl w:val="0"/>
          <w:numId w:val="9"/>
        </w:numPr>
        <w:spacing w:after="350"/>
        <w:ind w:right="48" w:hanging="528"/>
      </w:pPr>
      <w:r>
        <w:t>V případě, že poskytovatel poruší povinnost uvedenou v odst. 1 tohoto článku, je objednatel oprávněn od smlouvy odstoupit.</w:t>
      </w:r>
    </w:p>
    <w:p w:rsidR="00B367AD" w:rsidRPr="00D10B13" w:rsidRDefault="00D10B13">
      <w:pPr>
        <w:spacing w:after="32" w:line="259" w:lineRule="auto"/>
        <w:ind w:left="269" w:right="0" w:hanging="10"/>
        <w:jc w:val="center"/>
        <w:rPr>
          <w:b/>
        </w:rPr>
      </w:pPr>
      <w:proofErr w:type="spellStart"/>
      <w:r w:rsidRPr="00D10B13">
        <w:rPr>
          <w:b/>
          <w:sz w:val="24"/>
        </w:rPr>
        <w:t>VlII</w:t>
      </w:r>
      <w:proofErr w:type="spellEnd"/>
      <w:r w:rsidR="00E54004" w:rsidRPr="00D10B13">
        <w:rPr>
          <w:b/>
          <w:noProof/>
        </w:rPr>
        <w:drawing>
          <wp:inline distT="0" distB="0" distL="0" distR="0">
            <wp:extent cx="42672" cy="18293"/>
            <wp:effectExtent l="0" t="0" r="0" b="0"/>
            <wp:docPr id="35436" name="Picture 35436"/>
            <wp:cNvGraphicFramePr/>
            <a:graphic xmlns:a="http://schemas.openxmlformats.org/drawingml/2006/main">
              <a:graphicData uri="http://schemas.openxmlformats.org/drawingml/2006/picture">
                <pic:pic xmlns:pic="http://schemas.openxmlformats.org/drawingml/2006/picture">
                  <pic:nvPicPr>
                    <pic:cNvPr id="35436" name="Picture 35436"/>
                    <pic:cNvPicPr/>
                  </pic:nvPicPr>
                  <pic:blipFill>
                    <a:blip r:embed="rId19"/>
                    <a:stretch>
                      <a:fillRect/>
                    </a:stretch>
                  </pic:blipFill>
                  <pic:spPr>
                    <a:xfrm>
                      <a:off x="0" y="0"/>
                      <a:ext cx="42672" cy="18293"/>
                    </a:xfrm>
                    <a:prstGeom prst="rect">
                      <a:avLst/>
                    </a:prstGeom>
                  </pic:spPr>
                </pic:pic>
              </a:graphicData>
            </a:graphic>
          </wp:inline>
        </w:drawing>
      </w:r>
    </w:p>
    <w:p w:rsidR="00B367AD" w:rsidRPr="00D10B13" w:rsidRDefault="00E54004">
      <w:pPr>
        <w:spacing w:after="108" w:line="259" w:lineRule="auto"/>
        <w:ind w:left="437" w:right="523" w:hanging="10"/>
        <w:jc w:val="center"/>
        <w:rPr>
          <w:b/>
        </w:rPr>
      </w:pPr>
      <w:r w:rsidRPr="00D10B13">
        <w:rPr>
          <w:b/>
        </w:rPr>
        <w:t>Doba trvání a zánik</w:t>
      </w:r>
      <w:r w:rsidRPr="00D10B13">
        <w:rPr>
          <w:b/>
        </w:rPr>
        <w:t xml:space="preserve"> smlouvy, pozastavení poskytování služeb, výhrada změny závazku</w:t>
      </w:r>
    </w:p>
    <w:p w:rsidR="00B367AD" w:rsidRDefault="00E54004">
      <w:pPr>
        <w:numPr>
          <w:ilvl w:val="0"/>
          <w:numId w:val="10"/>
        </w:numPr>
        <w:spacing w:after="131"/>
        <w:ind w:right="50" w:hanging="667"/>
      </w:pPr>
      <w:r>
        <w:t xml:space="preserve">Smlouva se uzavírá na dobu určitou, a to od </w:t>
      </w:r>
      <w:proofErr w:type="gramStart"/>
      <w:r>
        <w:t>1.4.2025</w:t>
      </w:r>
      <w:proofErr w:type="gramEnd"/>
      <w:r>
        <w:t xml:space="preserve"> do 31.3.2028.</w:t>
      </w:r>
    </w:p>
    <w:p w:rsidR="00B367AD" w:rsidRDefault="00E54004">
      <w:pPr>
        <w:numPr>
          <w:ilvl w:val="0"/>
          <w:numId w:val="10"/>
        </w:numPr>
        <w:spacing w:after="159"/>
        <w:ind w:right="50" w:hanging="667"/>
      </w:pPr>
      <w:r>
        <w:t>Smlouva může být ukončena jednostranným odstoupením od smlouvy pro její podstatné porušení druhou smluvní stranou, kdy výpově</w:t>
      </w:r>
      <w:r>
        <w:t>dní doba činí 3 měsíce a počíná běžet prvním dnem měsíce následujícího po měsíci, ve kterém byla výpověď poskytovateli doručena, a dále způsobem dle zákona č. 89/2012 Sb., občanského zákoníku.</w:t>
      </w:r>
    </w:p>
    <w:p w:rsidR="00B367AD" w:rsidRDefault="00E54004">
      <w:pPr>
        <w:spacing w:after="635"/>
        <w:ind w:left="686" w:right="96" w:hanging="672"/>
      </w:pPr>
      <w:r>
        <w:t>3</w:t>
      </w:r>
      <w:r w:rsidR="00D10B13">
        <w:t xml:space="preserve">.       </w:t>
      </w:r>
      <w:r>
        <w:t xml:space="preserve"> </w:t>
      </w:r>
      <w:r>
        <w:t>Objednatel si tímto v souladu s ustanovením 5 100 odst. 2 ZZV</w:t>
      </w:r>
      <w:r>
        <w:t>Z vyhrazuje právo na změnu v osobě poskytovatele služeb v průběhu plnění. Ke změně v osobě poskytovatele služeb dojde v okamžiku, kdy bude smlouva předčasně ukončena z důvodů na straně poskytovatele (např. ztráta kvalifikace). Dojde-li k ukončení této smlo</w:t>
      </w:r>
      <w:r>
        <w:t>uvy dle předchozí věty, je objednatel oprávněn obrátit se s výzvou k podpisu této smlouvy o poskytnutí plnění dle této smlouvy na účastníka původního zadávacího řízení, který se po provedeném hodnocení umístil jako druhý, případně jako třetí v pořadí. Dojd</w:t>
      </w:r>
      <w:r>
        <w:t>e-li k podpisu smlouvy s účastníkem uvedeným v předchozí větě, bude tento plnit smlouvu od ukončeného plnění.</w:t>
      </w:r>
    </w:p>
    <w:p w:rsidR="00E54004" w:rsidRDefault="00E54004" w:rsidP="002264D6">
      <w:pPr>
        <w:spacing w:after="12" w:line="259" w:lineRule="auto"/>
        <w:ind w:left="96" w:right="0" w:hanging="10"/>
        <w:jc w:val="center"/>
        <w:rPr>
          <w:b/>
          <w:sz w:val="26"/>
        </w:rPr>
      </w:pPr>
    </w:p>
    <w:p w:rsidR="00B367AD" w:rsidRPr="00D10B13" w:rsidRDefault="00E54004" w:rsidP="002264D6">
      <w:pPr>
        <w:spacing w:after="12" w:line="259" w:lineRule="auto"/>
        <w:ind w:left="96" w:right="0" w:hanging="10"/>
        <w:jc w:val="center"/>
        <w:rPr>
          <w:b/>
        </w:rPr>
      </w:pPr>
      <w:r w:rsidRPr="00D10B13">
        <w:rPr>
          <w:b/>
          <w:sz w:val="26"/>
        </w:rPr>
        <w:lastRenderedPageBreak/>
        <w:t>IX.</w:t>
      </w:r>
    </w:p>
    <w:p w:rsidR="00B367AD" w:rsidRPr="00D10B13" w:rsidRDefault="00E54004">
      <w:pPr>
        <w:spacing w:after="108" w:line="259" w:lineRule="auto"/>
        <w:ind w:left="437" w:right="336" w:hanging="10"/>
        <w:jc w:val="center"/>
        <w:rPr>
          <w:b/>
        </w:rPr>
      </w:pPr>
      <w:r w:rsidRPr="00D10B13">
        <w:rPr>
          <w:b/>
        </w:rPr>
        <w:t>Předání a převzetí služeb</w:t>
      </w:r>
    </w:p>
    <w:p w:rsidR="00B367AD" w:rsidRDefault="00E54004">
      <w:pPr>
        <w:spacing w:after="123"/>
        <w:ind w:left="610" w:right="14" w:hanging="533"/>
      </w:pPr>
      <w:r>
        <w:t xml:space="preserve">1.  </w:t>
      </w:r>
      <w:r>
        <w:t xml:space="preserve"> </w:t>
      </w:r>
      <w:r>
        <w:t>Po řádném poskytnutí služeb provádění servisu a oprav elektroinstalace a hromosvodů je poskytovatel povinen předat objednateli výkaz výměr dle platného ceníku ÚRS cenové úrovně 2020, který bude obsahovat položky výkonů a dodaného materiálu. V případě drobn</w:t>
      </w:r>
      <w:r>
        <w:t>ých výkonů se vyúčtování provede za více poskytnutí těchto činností, tedy za delší časové období.</w:t>
      </w:r>
    </w:p>
    <w:p w:rsidR="00B367AD" w:rsidRDefault="00E54004">
      <w:pPr>
        <w:spacing w:after="144"/>
        <w:ind w:left="547" w:right="14" w:hanging="533"/>
      </w:pPr>
      <w:r>
        <w:t>2</w:t>
      </w:r>
      <w:r w:rsidR="002264D6">
        <w:t xml:space="preserve">.      </w:t>
      </w:r>
      <w:r>
        <w:t>Po řádném poskytnutí služeb provádění revizí je poskytovatel povinen předat objednateli revizní zprávy. Seznam poskytnutých služeb bude zpracován do tabulky</w:t>
      </w:r>
      <w:r>
        <w:t xml:space="preserve"> položkově dle ceníku poskytovatele v příloze č. 1 této smlouvy a položky seznamu musí korespondovat s popisem rozsahu provedené revize dle revizní zprávy.</w:t>
      </w:r>
    </w:p>
    <w:p w:rsidR="00B367AD" w:rsidRDefault="002264D6">
      <w:pPr>
        <w:spacing w:after="111"/>
        <w:ind w:left="547" w:right="14" w:hanging="533"/>
      </w:pPr>
      <w:r>
        <w:t xml:space="preserve">3.  </w:t>
      </w:r>
      <w:r w:rsidR="00E54004">
        <w:t xml:space="preserve">   </w:t>
      </w:r>
      <w:r w:rsidR="00E54004">
        <w:t xml:space="preserve"> </w:t>
      </w:r>
      <w:r w:rsidR="00E54004">
        <w:t>Poskytovatel se zavazuje objednatele vyzvat k převzetí výkazu výměr servisu a oprav elektroinstal</w:t>
      </w:r>
      <w:r w:rsidR="00E54004">
        <w:t>ace a hromosvodu, revizních zpráv a seznamu poskytnutých služeb osobně, telefonicky, písemně či prostřednictvím e-mailové komunikace na e-mailovou adresu milos.adamu@ddmalfa.cz a sdělit objednateli konkrétní datum a čas předání, a to přiměřenou dobu předem</w:t>
      </w:r>
      <w:r w:rsidR="00E54004">
        <w:t>, aby objednatel zajistil účast osoby oprávněné k převzetí.</w:t>
      </w:r>
    </w:p>
    <w:p w:rsidR="00B367AD" w:rsidRDefault="00E54004">
      <w:pPr>
        <w:numPr>
          <w:ilvl w:val="0"/>
          <w:numId w:val="11"/>
        </w:numPr>
        <w:spacing w:after="110"/>
        <w:ind w:right="14" w:hanging="547"/>
      </w:pPr>
      <w:r>
        <w:t>Pokud by objednatel nebyl schopen v</w:t>
      </w:r>
      <w:r w:rsidR="00D10B13">
        <w:t xml:space="preserve"> </w:t>
      </w:r>
      <w:r>
        <w:t>daném termínu zajistit účast oprávněné osoby k převzetí revizních zpráv a seznamu poskytnutých služeb poskytovatelem, bude mezi smluvními stranami dojednán náhra</w:t>
      </w:r>
      <w:r>
        <w:t>dní termín předání a převzetí, který bude vyhovovat oběma stranám.</w:t>
      </w:r>
    </w:p>
    <w:p w:rsidR="00B367AD" w:rsidRDefault="00E54004">
      <w:pPr>
        <w:numPr>
          <w:ilvl w:val="0"/>
          <w:numId w:val="11"/>
        </w:numPr>
        <w:spacing w:after="706"/>
        <w:ind w:right="14" w:hanging="547"/>
      </w:pPr>
      <w:r>
        <w:t>Objednatel je povinen převzít revizní zprávy a seznam poskytnutých služeb v místě plnění a v souladu se smlouvou.</w:t>
      </w:r>
    </w:p>
    <w:p w:rsidR="00B367AD" w:rsidRPr="00D10B13" w:rsidRDefault="00E54004">
      <w:pPr>
        <w:spacing w:after="0" w:line="259" w:lineRule="auto"/>
        <w:ind w:left="53" w:right="0" w:firstLine="0"/>
        <w:jc w:val="center"/>
        <w:rPr>
          <w:b/>
        </w:rPr>
      </w:pPr>
      <w:r w:rsidRPr="00D10B13">
        <w:rPr>
          <w:b/>
          <w:sz w:val="30"/>
        </w:rPr>
        <w:t>x.</w:t>
      </w:r>
    </w:p>
    <w:p w:rsidR="00B367AD" w:rsidRPr="00D10B13" w:rsidRDefault="00E54004">
      <w:pPr>
        <w:spacing w:after="108" w:line="259" w:lineRule="auto"/>
        <w:ind w:left="437" w:right="374" w:hanging="10"/>
        <w:jc w:val="center"/>
        <w:rPr>
          <w:b/>
        </w:rPr>
      </w:pPr>
      <w:r w:rsidRPr="00D10B13">
        <w:rPr>
          <w:b/>
        </w:rPr>
        <w:t>Sankce</w:t>
      </w:r>
    </w:p>
    <w:p w:rsidR="00B367AD" w:rsidRDefault="00E54004" w:rsidP="002264D6">
      <w:pPr>
        <w:numPr>
          <w:ilvl w:val="1"/>
          <w:numId w:val="11"/>
        </w:numPr>
        <w:spacing w:after="29"/>
        <w:ind w:left="284" w:right="14" w:hanging="259"/>
      </w:pPr>
      <w:r>
        <w:t>Výše úroků z prodlení se řídí platnými právními předpisy České republiky.</w:t>
      </w:r>
    </w:p>
    <w:p w:rsidR="00B367AD" w:rsidRDefault="00E54004" w:rsidP="002264D6">
      <w:pPr>
        <w:numPr>
          <w:ilvl w:val="1"/>
          <w:numId w:val="11"/>
        </w:numPr>
        <w:spacing w:after="86"/>
        <w:ind w:left="284" w:right="14" w:hanging="259"/>
      </w:pPr>
      <w:r>
        <w:t>V případě porušení povinnosti provádět služby pouze vyškolenými pracovníky, uvedené v čl. 11/3 smlouvy, je poskytovatel povinen zaplatit objednateli smluvní pokutu ve výši 10.000,- K</w:t>
      </w:r>
      <w:r>
        <w:t>E (slovy: deset tisíc korun českých) za každé jednotlivé porušení této povinnosti.</w:t>
      </w:r>
    </w:p>
    <w:p w:rsidR="00B367AD" w:rsidRDefault="00E54004" w:rsidP="002264D6">
      <w:pPr>
        <w:spacing w:after="87"/>
        <w:ind w:left="284" w:right="14" w:hanging="269"/>
      </w:pPr>
      <w:r>
        <w:t>3</w:t>
      </w:r>
      <w:r w:rsidR="002264D6">
        <w:t>.</w:t>
      </w:r>
      <w:r>
        <w:t xml:space="preserve"> Pro případ porušení povinnosti mlčenlivosti uvedené v čl. IV/3 a IV/4 smlouvy je poskytovatel povinen zaplatit objednateli smluvní pokutu ve výši 20.000,- Kč (slovy: dvac</w:t>
      </w:r>
      <w:r>
        <w:t>et tisíc korun českých) za každé jednotlivé porušení této povinnosti.</w:t>
      </w:r>
    </w:p>
    <w:p w:rsidR="00B367AD" w:rsidRDefault="00E54004" w:rsidP="002264D6">
      <w:pPr>
        <w:numPr>
          <w:ilvl w:val="1"/>
          <w:numId w:val="12"/>
        </w:numPr>
        <w:ind w:left="284" w:right="14" w:hanging="274"/>
      </w:pPr>
      <w:r>
        <w:t>V případě prodlení poskytovatele s odstraněním vad služeb vytknutých objednatelem v záruce dle čt. V/6 smlouvy je poskytovatel povinen zaplatit objednateli smluvní pokutu ve výši 1.000,-</w:t>
      </w:r>
      <w:r>
        <w:t xml:space="preserve"> Kč (slovy: jeden tisíc korun českých) za každou vadu a každý i započatý den prodlení.</w:t>
      </w:r>
    </w:p>
    <w:p w:rsidR="00B367AD" w:rsidRDefault="00E54004" w:rsidP="002264D6">
      <w:pPr>
        <w:numPr>
          <w:ilvl w:val="1"/>
          <w:numId w:val="12"/>
        </w:numPr>
        <w:ind w:left="284" w:right="14" w:hanging="274"/>
      </w:pPr>
      <w:r>
        <w:t>Smluvní pokuta dle smlouvy je splatná po porušení uvedené povinnosti, na níž se vztahuje, do 10 dnů ode dne doručení písemné výzvy oprávněné smluvní strany k její úhradě</w:t>
      </w:r>
      <w:r>
        <w:t xml:space="preserve"> straně povinné, a to bezhotovostním převodem na bankovní účet oprávněné smluvní strany, uvedený v hlavičce smlouvy.</w:t>
      </w:r>
    </w:p>
    <w:p w:rsidR="00B367AD" w:rsidRDefault="00E54004" w:rsidP="002264D6">
      <w:pPr>
        <w:numPr>
          <w:ilvl w:val="1"/>
          <w:numId w:val="12"/>
        </w:numPr>
        <w:spacing w:after="81"/>
        <w:ind w:left="284" w:right="14" w:hanging="274"/>
      </w:pPr>
      <w:r>
        <w:t>V případě prodlení objednatele s úhradou ceny služeb je poskytovatel oprávněn požadovat na objednateli úrok z prodlení z dlužné částky ve v</w:t>
      </w:r>
      <w:r>
        <w:t>ýši 001 % za každý den prodlení.</w:t>
      </w:r>
    </w:p>
    <w:p w:rsidR="00B367AD" w:rsidRDefault="00E54004" w:rsidP="00E54004">
      <w:pPr>
        <w:numPr>
          <w:ilvl w:val="1"/>
          <w:numId w:val="12"/>
        </w:numPr>
        <w:spacing w:after="675" w:line="229" w:lineRule="auto"/>
        <w:ind w:left="278" w:right="-10" w:hanging="278"/>
      </w:pPr>
      <w:r>
        <w:t>Povinností zaplatit smluvní pokutu není dotčeno právo oprávněné smluvní strany domáhat se náhrady škody způsobené porušením povinnosti, na kterou se vztahuje smluvní pokuta, a to i ve výši přesahující</w:t>
      </w:r>
      <w:r w:rsidR="002264D6">
        <w:t xml:space="preserve"> </w:t>
      </w:r>
      <w:r>
        <w:t>výši</w:t>
      </w:r>
      <w:r>
        <w:t xml:space="preserve"> smluvní pokuty (smluvní stran</w:t>
      </w:r>
      <w:r w:rsidR="002264D6">
        <w:t>y vylučují aplikaci ustanovení § 2050 o</w:t>
      </w:r>
      <w:r>
        <w:t xml:space="preserve">bčanského zákoníku). </w:t>
      </w:r>
      <w:r>
        <w:lastRenderedPageBreak/>
        <w:t>Zaplacením smluvní pokuty není dotčena povinnost poskytovatele splnit závazky vyplývající ze smlouvy.</w:t>
      </w:r>
    </w:p>
    <w:p w:rsidR="00B367AD" w:rsidRPr="00E54004" w:rsidRDefault="00E54004">
      <w:pPr>
        <w:spacing w:after="32" w:line="259" w:lineRule="auto"/>
        <w:ind w:left="269" w:right="542" w:hanging="10"/>
        <w:jc w:val="center"/>
        <w:rPr>
          <w:b/>
        </w:rPr>
      </w:pPr>
      <w:r w:rsidRPr="00E54004">
        <w:rPr>
          <w:b/>
          <w:sz w:val="24"/>
        </w:rPr>
        <w:t>XI.</w:t>
      </w:r>
    </w:p>
    <w:p w:rsidR="00B367AD" w:rsidRPr="00E54004" w:rsidRDefault="00E54004">
      <w:pPr>
        <w:spacing w:after="108" w:line="259" w:lineRule="auto"/>
        <w:ind w:left="437" w:right="686" w:hanging="10"/>
        <w:jc w:val="center"/>
        <w:rPr>
          <w:b/>
        </w:rPr>
      </w:pPr>
      <w:r w:rsidRPr="00E54004">
        <w:rPr>
          <w:b/>
        </w:rPr>
        <w:t>Registr smluv — doložka</w:t>
      </w:r>
    </w:p>
    <w:p w:rsidR="00B367AD" w:rsidRDefault="00E54004">
      <w:pPr>
        <w:numPr>
          <w:ilvl w:val="0"/>
          <w:numId w:val="13"/>
        </w:numPr>
        <w:spacing w:after="75"/>
        <w:ind w:right="14" w:hanging="398"/>
      </w:pPr>
      <w:r>
        <w:t>Poskytovatel tímto uděluje souhlas objednateli k uveřejnění všech podkladů* údajů a informací uvedených v této smlouvě v registru smluv, k jejichž uveřejnění vyplývá pro objednatele povinnost dle právních předpisů.</w:t>
      </w:r>
    </w:p>
    <w:p w:rsidR="00B367AD" w:rsidRDefault="00E54004">
      <w:pPr>
        <w:numPr>
          <w:ilvl w:val="0"/>
          <w:numId w:val="13"/>
        </w:numPr>
        <w:spacing w:after="387"/>
        <w:ind w:right="14" w:hanging="398"/>
      </w:pPr>
      <w:r>
        <w:t xml:space="preserve">Zveřejnění smlouvy a </w:t>
      </w:r>
      <w:proofErr w:type="spellStart"/>
      <w:r>
        <w:t>metadat</w:t>
      </w:r>
      <w:proofErr w:type="spellEnd"/>
      <w:r>
        <w:t xml:space="preserve"> v registru s</w:t>
      </w:r>
      <w:r>
        <w:t>mluv zajistí objednatel, ve lhůtě a za podmínek stanovených dle zákona č. 340/2015 Sb., dle zásad ochrany osobních údajů.</w:t>
      </w:r>
    </w:p>
    <w:p w:rsidR="00B367AD" w:rsidRPr="00E54004" w:rsidRDefault="00E54004">
      <w:pPr>
        <w:spacing w:after="32" w:line="259" w:lineRule="auto"/>
        <w:ind w:left="269" w:right="547" w:hanging="10"/>
        <w:jc w:val="center"/>
        <w:rPr>
          <w:b/>
        </w:rPr>
      </w:pPr>
      <w:bookmarkStart w:id="0" w:name="_GoBack"/>
      <w:r w:rsidRPr="00E54004">
        <w:rPr>
          <w:b/>
          <w:sz w:val="24"/>
        </w:rPr>
        <w:t>XII.</w:t>
      </w:r>
    </w:p>
    <w:p w:rsidR="00B367AD" w:rsidRPr="00E54004" w:rsidRDefault="00E54004">
      <w:pPr>
        <w:spacing w:after="108" w:line="259" w:lineRule="auto"/>
        <w:ind w:left="437" w:right="701" w:hanging="10"/>
        <w:jc w:val="center"/>
        <w:rPr>
          <w:b/>
        </w:rPr>
      </w:pPr>
      <w:r w:rsidRPr="00E54004">
        <w:rPr>
          <w:b/>
        </w:rPr>
        <w:t>Závěrečná ustanovení</w:t>
      </w:r>
    </w:p>
    <w:bookmarkEnd w:id="0"/>
    <w:p w:rsidR="00B367AD" w:rsidRDefault="00E54004">
      <w:pPr>
        <w:numPr>
          <w:ilvl w:val="0"/>
          <w:numId w:val="14"/>
        </w:numPr>
        <w:spacing w:after="72"/>
        <w:ind w:right="14" w:hanging="413"/>
      </w:pPr>
      <w:r>
        <w:t>Tato smlouva nabývá platnosti dnem jejího podpisu oběma smluvními stranami.</w:t>
      </w:r>
    </w:p>
    <w:p w:rsidR="00B367AD" w:rsidRDefault="00E54004">
      <w:pPr>
        <w:numPr>
          <w:ilvl w:val="0"/>
          <w:numId w:val="14"/>
        </w:numPr>
        <w:spacing w:after="101"/>
        <w:ind w:right="14" w:hanging="413"/>
      </w:pPr>
      <w:r>
        <w:t>Měnit nebo doplnit smlouvu mohou</w:t>
      </w:r>
      <w:r>
        <w:t xml:space="preserve"> smluvní strany pouze formou písemných dodatků, které budou vzestupně číslovány, výslovně prohlášeny za dodatek této smlouvy a podepsány oprávněnými zástupci smluvních stran.</w:t>
      </w:r>
    </w:p>
    <w:p w:rsidR="00B367AD" w:rsidRDefault="00E54004">
      <w:pPr>
        <w:numPr>
          <w:ilvl w:val="0"/>
          <w:numId w:val="14"/>
        </w:numPr>
        <w:spacing w:after="129"/>
        <w:ind w:right="14" w:hanging="413"/>
      </w:pPr>
      <w:r>
        <w:t>Smluvní strany shodně prohlašují, že si smlouvu před jejím podpisem přečetly a že</w:t>
      </w:r>
      <w:r>
        <w:t xml:space="preserve"> byla uzavřena po vzájemném projednání podle jejich pravé a svobodné vůle určitě, vážně a srozumitelně, nikoliv v tísni nebo za nápadně nevýhodných podmínek, a že se dohodly o celém jejím obsahu, což stvrzují svými podpisy.</w:t>
      </w:r>
    </w:p>
    <w:p w:rsidR="00B367AD" w:rsidRDefault="00E54004">
      <w:pPr>
        <w:numPr>
          <w:ilvl w:val="0"/>
          <w:numId w:val="14"/>
        </w:numPr>
        <w:spacing w:after="686"/>
        <w:ind w:right="14" w:hanging="413"/>
      </w:pPr>
      <w:r>
        <w:t>Smlouva je vyhotovena ve třech s</w:t>
      </w:r>
      <w:r>
        <w:t>tejnopisech, z nichž objednateli náleží dvě vyhotovení, a poskytovateli náleží jedno vyhotovení.</w:t>
      </w:r>
    </w:p>
    <w:tbl>
      <w:tblPr>
        <w:tblStyle w:val="TableGrid"/>
        <w:tblpPr w:vertAnchor="text" w:tblpX="-278" w:tblpY="1327"/>
        <w:tblOverlap w:val="never"/>
        <w:tblW w:w="7109" w:type="dxa"/>
        <w:tblInd w:w="0" w:type="dxa"/>
        <w:tblCellMar>
          <w:top w:w="0" w:type="dxa"/>
          <w:left w:w="0" w:type="dxa"/>
          <w:bottom w:w="4" w:type="dxa"/>
          <w:right w:w="0" w:type="dxa"/>
        </w:tblCellMar>
        <w:tblLook w:val="04A0" w:firstRow="1" w:lastRow="0" w:firstColumn="1" w:lastColumn="0" w:noHBand="0" w:noVBand="1"/>
      </w:tblPr>
      <w:tblGrid>
        <w:gridCol w:w="1810"/>
        <w:gridCol w:w="2218"/>
        <w:gridCol w:w="3081"/>
      </w:tblGrid>
      <w:tr w:rsidR="00B367AD">
        <w:trPr>
          <w:trHeight w:val="511"/>
        </w:trPr>
        <w:tc>
          <w:tcPr>
            <w:tcW w:w="1810" w:type="dxa"/>
            <w:tcBorders>
              <w:top w:val="nil"/>
              <w:left w:val="nil"/>
              <w:bottom w:val="nil"/>
              <w:right w:val="nil"/>
            </w:tcBorders>
          </w:tcPr>
          <w:p w:rsidR="00B367AD" w:rsidRDefault="00E54004">
            <w:pPr>
              <w:spacing w:after="0" w:line="259" w:lineRule="auto"/>
              <w:ind w:left="0" w:right="0" w:firstLine="0"/>
              <w:jc w:val="left"/>
            </w:pPr>
            <w:r>
              <w:t>Za objednatele</w:t>
            </w:r>
          </w:p>
        </w:tc>
        <w:tc>
          <w:tcPr>
            <w:tcW w:w="2218" w:type="dxa"/>
            <w:tcBorders>
              <w:top w:val="nil"/>
              <w:left w:val="nil"/>
              <w:bottom w:val="nil"/>
              <w:right w:val="nil"/>
            </w:tcBorders>
          </w:tcPr>
          <w:p w:rsidR="00B367AD" w:rsidRDefault="00B367AD">
            <w:pPr>
              <w:spacing w:after="160" w:line="259" w:lineRule="auto"/>
              <w:ind w:left="0" w:right="0" w:firstLine="0"/>
              <w:jc w:val="left"/>
            </w:pPr>
          </w:p>
        </w:tc>
        <w:tc>
          <w:tcPr>
            <w:tcW w:w="3082" w:type="dxa"/>
            <w:tcBorders>
              <w:top w:val="nil"/>
              <w:left w:val="nil"/>
              <w:bottom w:val="nil"/>
              <w:right w:val="nil"/>
            </w:tcBorders>
          </w:tcPr>
          <w:p w:rsidR="00B367AD" w:rsidRDefault="00E54004">
            <w:pPr>
              <w:spacing w:after="0" w:line="259" w:lineRule="auto"/>
              <w:ind w:left="0" w:right="91" w:firstLine="0"/>
              <w:jc w:val="center"/>
            </w:pPr>
            <w:r>
              <w:t>Za poskytovatele</w:t>
            </w:r>
          </w:p>
        </w:tc>
      </w:tr>
      <w:tr w:rsidR="00B367AD">
        <w:trPr>
          <w:trHeight w:val="517"/>
        </w:trPr>
        <w:tc>
          <w:tcPr>
            <w:tcW w:w="1810" w:type="dxa"/>
            <w:tcBorders>
              <w:top w:val="nil"/>
              <w:left w:val="nil"/>
              <w:bottom w:val="nil"/>
              <w:right w:val="nil"/>
            </w:tcBorders>
            <w:vAlign w:val="bottom"/>
          </w:tcPr>
          <w:p w:rsidR="00B367AD" w:rsidRDefault="00E54004">
            <w:pPr>
              <w:tabs>
                <w:tab w:val="center" w:pos="1634"/>
                <w:tab w:val="center" w:pos="1682"/>
                <w:tab w:val="center" w:pos="1738"/>
                <w:tab w:val="right" w:pos="1810"/>
              </w:tabs>
              <w:spacing w:after="0" w:line="259" w:lineRule="auto"/>
              <w:ind w:left="0" w:right="0" w:firstLine="0"/>
              <w:jc w:val="left"/>
            </w:pPr>
            <w:r>
              <w:t xml:space="preserve">V Pardubicích dne </w:t>
            </w:r>
            <w:r>
              <w:rPr>
                <w:noProof/>
              </w:rPr>
              <w:drawing>
                <wp:inline distT="0" distB="0" distL="0" distR="0">
                  <wp:extent cx="21336" cy="27439"/>
                  <wp:effectExtent l="0" t="0" r="0" b="0"/>
                  <wp:docPr id="19674" name="Picture 19674"/>
                  <wp:cNvGraphicFramePr/>
                  <a:graphic xmlns:a="http://schemas.openxmlformats.org/drawingml/2006/main">
                    <a:graphicData uri="http://schemas.openxmlformats.org/drawingml/2006/picture">
                      <pic:pic xmlns:pic="http://schemas.openxmlformats.org/drawingml/2006/picture">
                        <pic:nvPicPr>
                          <pic:cNvPr id="19674" name="Picture 19674"/>
                          <pic:cNvPicPr/>
                        </pic:nvPicPr>
                        <pic:blipFill>
                          <a:blip r:embed="rId20"/>
                          <a:stretch>
                            <a:fillRect/>
                          </a:stretch>
                        </pic:blipFill>
                        <pic:spPr>
                          <a:xfrm>
                            <a:off x="0" y="0"/>
                            <a:ext cx="21336" cy="27439"/>
                          </a:xfrm>
                          <a:prstGeom prst="rect">
                            <a:avLst/>
                          </a:prstGeom>
                        </pic:spPr>
                      </pic:pic>
                    </a:graphicData>
                  </a:graphic>
                </wp:inline>
              </w:drawing>
            </w:r>
            <w:r>
              <w:tab/>
            </w:r>
            <w:r>
              <w:rPr>
                <w:noProof/>
              </w:rPr>
              <w:drawing>
                <wp:inline distT="0" distB="0" distL="0" distR="0">
                  <wp:extent cx="21336" cy="24392"/>
                  <wp:effectExtent l="0" t="0" r="0" b="0"/>
                  <wp:docPr id="19678" name="Picture 19678"/>
                  <wp:cNvGraphicFramePr/>
                  <a:graphic xmlns:a="http://schemas.openxmlformats.org/drawingml/2006/main">
                    <a:graphicData uri="http://schemas.openxmlformats.org/drawingml/2006/picture">
                      <pic:pic xmlns:pic="http://schemas.openxmlformats.org/drawingml/2006/picture">
                        <pic:nvPicPr>
                          <pic:cNvPr id="19678" name="Picture 19678"/>
                          <pic:cNvPicPr/>
                        </pic:nvPicPr>
                        <pic:blipFill>
                          <a:blip r:embed="rId21"/>
                          <a:stretch>
                            <a:fillRect/>
                          </a:stretch>
                        </pic:blipFill>
                        <pic:spPr>
                          <a:xfrm>
                            <a:off x="0" y="0"/>
                            <a:ext cx="21336" cy="24392"/>
                          </a:xfrm>
                          <a:prstGeom prst="rect">
                            <a:avLst/>
                          </a:prstGeom>
                        </pic:spPr>
                      </pic:pic>
                    </a:graphicData>
                  </a:graphic>
                </wp:inline>
              </w:drawing>
            </w:r>
            <w:r>
              <w:tab/>
            </w:r>
            <w:r>
              <w:rPr>
                <w:noProof/>
              </w:rPr>
              <w:drawing>
                <wp:inline distT="0" distB="0" distL="0" distR="0">
                  <wp:extent cx="21336" cy="24392"/>
                  <wp:effectExtent l="0" t="0" r="0" b="0"/>
                  <wp:docPr id="19677" name="Picture 19677"/>
                  <wp:cNvGraphicFramePr/>
                  <a:graphic xmlns:a="http://schemas.openxmlformats.org/drawingml/2006/main">
                    <a:graphicData uri="http://schemas.openxmlformats.org/drawingml/2006/picture">
                      <pic:pic xmlns:pic="http://schemas.openxmlformats.org/drawingml/2006/picture">
                        <pic:nvPicPr>
                          <pic:cNvPr id="19677" name="Picture 19677"/>
                          <pic:cNvPicPr/>
                        </pic:nvPicPr>
                        <pic:blipFill>
                          <a:blip r:embed="rId22"/>
                          <a:stretch>
                            <a:fillRect/>
                          </a:stretch>
                        </pic:blipFill>
                        <pic:spPr>
                          <a:xfrm>
                            <a:off x="0" y="0"/>
                            <a:ext cx="21336" cy="24392"/>
                          </a:xfrm>
                          <a:prstGeom prst="rect">
                            <a:avLst/>
                          </a:prstGeom>
                        </pic:spPr>
                      </pic:pic>
                    </a:graphicData>
                  </a:graphic>
                </wp:inline>
              </w:drawing>
            </w:r>
            <w:r>
              <w:rPr>
                <w:noProof/>
              </w:rPr>
              <w:drawing>
                <wp:inline distT="0" distB="0" distL="0" distR="0">
                  <wp:extent cx="3048" cy="6098"/>
                  <wp:effectExtent l="0" t="0" r="0" b="0"/>
                  <wp:docPr id="19673" name="Picture 19673"/>
                  <wp:cNvGraphicFramePr/>
                  <a:graphic xmlns:a="http://schemas.openxmlformats.org/drawingml/2006/main">
                    <a:graphicData uri="http://schemas.openxmlformats.org/drawingml/2006/picture">
                      <pic:pic xmlns:pic="http://schemas.openxmlformats.org/drawingml/2006/picture">
                        <pic:nvPicPr>
                          <pic:cNvPr id="19673" name="Picture 19673"/>
                          <pic:cNvPicPr/>
                        </pic:nvPicPr>
                        <pic:blipFill>
                          <a:blip r:embed="rId23"/>
                          <a:stretch>
                            <a:fillRect/>
                          </a:stretch>
                        </pic:blipFill>
                        <pic:spPr>
                          <a:xfrm>
                            <a:off x="0" y="0"/>
                            <a:ext cx="3048" cy="6098"/>
                          </a:xfrm>
                          <a:prstGeom prst="rect">
                            <a:avLst/>
                          </a:prstGeom>
                        </pic:spPr>
                      </pic:pic>
                    </a:graphicData>
                  </a:graphic>
                </wp:inline>
              </w:drawing>
            </w:r>
            <w:r>
              <w:tab/>
            </w:r>
            <w:r>
              <w:rPr>
                <w:noProof/>
              </w:rPr>
              <w:drawing>
                <wp:inline distT="0" distB="0" distL="0" distR="0">
                  <wp:extent cx="24384" cy="24392"/>
                  <wp:effectExtent l="0" t="0" r="0" b="0"/>
                  <wp:docPr id="19675" name="Picture 19675"/>
                  <wp:cNvGraphicFramePr/>
                  <a:graphic xmlns:a="http://schemas.openxmlformats.org/drawingml/2006/main">
                    <a:graphicData uri="http://schemas.openxmlformats.org/drawingml/2006/picture">
                      <pic:pic xmlns:pic="http://schemas.openxmlformats.org/drawingml/2006/picture">
                        <pic:nvPicPr>
                          <pic:cNvPr id="19675" name="Picture 19675"/>
                          <pic:cNvPicPr/>
                        </pic:nvPicPr>
                        <pic:blipFill>
                          <a:blip r:embed="rId24"/>
                          <a:stretch>
                            <a:fillRect/>
                          </a:stretch>
                        </pic:blipFill>
                        <pic:spPr>
                          <a:xfrm>
                            <a:off x="0" y="0"/>
                            <a:ext cx="24384" cy="24392"/>
                          </a:xfrm>
                          <a:prstGeom prst="rect">
                            <a:avLst/>
                          </a:prstGeom>
                        </pic:spPr>
                      </pic:pic>
                    </a:graphicData>
                  </a:graphic>
                </wp:inline>
              </w:drawing>
            </w:r>
            <w:r>
              <w:tab/>
            </w:r>
            <w:r>
              <w:rPr>
                <w:noProof/>
              </w:rPr>
              <w:drawing>
                <wp:inline distT="0" distB="0" distL="0" distR="0">
                  <wp:extent cx="24384" cy="27440"/>
                  <wp:effectExtent l="0" t="0" r="0" b="0"/>
                  <wp:docPr id="19676" name="Picture 19676"/>
                  <wp:cNvGraphicFramePr/>
                  <a:graphic xmlns:a="http://schemas.openxmlformats.org/drawingml/2006/main">
                    <a:graphicData uri="http://schemas.openxmlformats.org/drawingml/2006/picture">
                      <pic:pic xmlns:pic="http://schemas.openxmlformats.org/drawingml/2006/picture">
                        <pic:nvPicPr>
                          <pic:cNvPr id="19676" name="Picture 19676"/>
                          <pic:cNvPicPr/>
                        </pic:nvPicPr>
                        <pic:blipFill>
                          <a:blip r:embed="rId25"/>
                          <a:stretch>
                            <a:fillRect/>
                          </a:stretch>
                        </pic:blipFill>
                        <pic:spPr>
                          <a:xfrm>
                            <a:off x="0" y="0"/>
                            <a:ext cx="24384" cy="27440"/>
                          </a:xfrm>
                          <a:prstGeom prst="rect">
                            <a:avLst/>
                          </a:prstGeom>
                        </pic:spPr>
                      </pic:pic>
                    </a:graphicData>
                  </a:graphic>
                </wp:inline>
              </w:drawing>
            </w:r>
          </w:p>
        </w:tc>
        <w:tc>
          <w:tcPr>
            <w:tcW w:w="2218" w:type="dxa"/>
            <w:tcBorders>
              <w:top w:val="nil"/>
              <w:left w:val="nil"/>
              <w:bottom w:val="nil"/>
              <w:right w:val="nil"/>
            </w:tcBorders>
          </w:tcPr>
          <w:p w:rsidR="00B367AD" w:rsidRDefault="00E54004">
            <w:pPr>
              <w:spacing w:after="0" w:line="259" w:lineRule="auto"/>
              <w:ind w:left="0" w:right="0" w:firstLine="0"/>
              <w:jc w:val="left"/>
            </w:pPr>
            <w:r>
              <w:rPr>
                <w:noProof/>
              </w:rPr>
              <w:drawing>
                <wp:inline distT="0" distB="0" distL="0" distR="0">
                  <wp:extent cx="1146048" cy="323181"/>
                  <wp:effectExtent l="0" t="0" r="0" b="0"/>
                  <wp:docPr id="35442" name="Picture 35442"/>
                  <wp:cNvGraphicFramePr/>
                  <a:graphic xmlns:a="http://schemas.openxmlformats.org/drawingml/2006/main">
                    <a:graphicData uri="http://schemas.openxmlformats.org/drawingml/2006/picture">
                      <pic:pic xmlns:pic="http://schemas.openxmlformats.org/drawingml/2006/picture">
                        <pic:nvPicPr>
                          <pic:cNvPr id="35442" name="Picture 35442"/>
                          <pic:cNvPicPr/>
                        </pic:nvPicPr>
                        <pic:blipFill>
                          <a:blip r:embed="rId26"/>
                          <a:stretch>
                            <a:fillRect/>
                          </a:stretch>
                        </pic:blipFill>
                        <pic:spPr>
                          <a:xfrm>
                            <a:off x="0" y="0"/>
                            <a:ext cx="1146048" cy="323181"/>
                          </a:xfrm>
                          <a:prstGeom prst="rect">
                            <a:avLst/>
                          </a:prstGeom>
                        </pic:spPr>
                      </pic:pic>
                    </a:graphicData>
                  </a:graphic>
                </wp:inline>
              </w:drawing>
            </w:r>
          </w:p>
        </w:tc>
        <w:tc>
          <w:tcPr>
            <w:tcW w:w="3082" w:type="dxa"/>
            <w:tcBorders>
              <w:top w:val="nil"/>
              <w:left w:val="nil"/>
              <w:bottom w:val="nil"/>
              <w:right w:val="nil"/>
            </w:tcBorders>
            <w:vAlign w:val="bottom"/>
          </w:tcPr>
          <w:p w:rsidR="00B367AD" w:rsidRDefault="00E54004">
            <w:pPr>
              <w:spacing w:after="0" w:line="259" w:lineRule="auto"/>
              <w:ind w:left="0" w:right="0" w:firstLine="0"/>
              <w:jc w:val="right"/>
            </w:pPr>
            <w:r>
              <w:t xml:space="preserve">V Pardubicích dne </w:t>
            </w:r>
            <w:proofErr w:type="gramStart"/>
            <w:r>
              <w:t>4.3.2025</w:t>
            </w:r>
            <w:proofErr w:type="gramEnd"/>
          </w:p>
        </w:tc>
      </w:tr>
    </w:tbl>
    <w:p w:rsidR="00B367AD" w:rsidRDefault="00E54004">
      <w:pPr>
        <w:ind w:left="19" w:right="14"/>
      </w:pPr>
      <w:r>
        <w:rPr>
          <w:noProof/>
        </w:rPr>
        <w:drawing>
          <wp:anchor distT="0" distB="0" distL="114300" distR="114300" simplePos="0" relativeHeight="251662336" behindDoc="0" locked="0" layoutInCell="1" allowOverlap="0">
            <wp:simplePos x="0" y="0"/>
            <wp:positionH relativeFrom="column">
              <wp:posOffset>3185160</wp:posOffset>
            </wp:positionH>
            <wp:positionV relativeFrom="paragraph">
              <wp:posOffset>1495251</wp:posOffset>
            </wp:positionV>
            <wp:extent cx="600456" cy="97564"/>
            <wp:effectExtent l="0" t="0" r="0" b="0"/>
            <wp:wrapSquare wrapText="bothSides"/>
            <wp:docPr id="19733" name="Picture 19733"/>
            <wp:cNvGraphicFramePr/>
            <a:graphic xmlns:a="http://schemas.openxmlformats.org/drawingml/2006/main">
              <a:graphicData uri="http://schemas.openxmlformats.org/drawingml/2006/picture">
                <pic:pic xmlns:pic="http://schemas.openxmlformats.org/drawingml/2006/picture">
                  <pic:nvPicPr>
                    <pic:cNvPr id="19733" name="Picture 19733"/>
                    <pic:cNvPicPr/>
                  </pic:nvPicPr>
                  <pic:blipFill>
                    <a:blip r:embed="rId27"/>
                    <a:stretch>
                      <a:fillRect/>
                    </a:stretch>
                  </pic:blipFill>
                  <pic:spPr>
                    <a:xfrm>
                      <a:off x="0" y="0"/>
                      <a:ext cx="600456" cy="97564"/>
                    </a:xfrm>
                    <a:prstGeom prst="rect">
                      <a:avLst/>
                    </a:prstGeom>
                  </pic:spPr>
                </pic:pic>
              </a:graphicData>
            </a:graphic>
          </wp:anchor>
        </w:drawing>
      </w:r>
      <w:r>
        <w:t>Součástí smlouvy jsou přílohy: Příloha č. l: Rozpočet revizí elektroinstalace</w:t>
      </w:r>
    </w:p>
    <w:sectPr w:rsidR="00B367AD" w:rsidSect="00E54004">
      <w:footerReference w:type="even" r:id="rId28"/>
      <w:footerReference w:type="default" r:id="rId29"/>
      <w:footerReference w:type="first" r:id="rId30"/>
      <w:pgSz w:w="11904" w:h="16834"/>
      <w:pgMar w:top="1560" w:right="1272" w:bottom="1440" w:left="127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54004">
      <w:pPr>
        <w:spacing w:after="0" w:line="240" w:lineRule="auto"/>
      </w:pPr>
      <w:r>
        <w:separator/>
      </w:r>
    </w:p>
  </w:endnote>
  <w:endnote w:type="continuationSeparator" w:id="0">
    <w:p w:rsidR="00000000" w:rsidRDefault="00E5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AD" w:rsidRDefault="00B367A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1A3" w:rsidRDefault="008511A3" w:rsidP="008511A3">
    <w:pPr>
      <w:tabs>
        <w:tab w:val="center" w:pos="7918"/>
      </w:tabs>
      <w:spacing w:after="0" w:line="259" w:lineRule="auto"/>
      <w:ind w:left="0" w:right="0" w:firstLine="0"/>
      <w:jc w:val="left"/>
    </w:pPr>
    <w:r>
      <w:rPr>
        <w:sz w:val="20"/>
      </w:rPr>
      <w:t>Rámcová smlouva č.1/2025</w:t>
    </w:r>
    <w:r>
      <w:rPr>
        <w:sz w:val="20"/>
      </w:rPr>
      <w:tab/>
      <w:t xml:space="preserve">Strana </w:t>
    </w:r>
    <w:r>
      <w:fldChar w:fldCharType="begin"/>
    </w:r>
    <w:r>
      <w:instrText xml:space="preserve"> PAGE   \* MERGEFORMAT </w:instrText>
    </w:r>
    <w:r>
      <w:fldChar w:fldCharType="separate"/>
    </w:r>
    <w:r w:rsidR="00E54004" w:rsidRPr="00E54004">
      <w:rPr>
        <w:noProof/>
        <w:sz w:val="20"/>
      </w:rPr>
      <w:t>8</w:t>
    </w:r>
    <w:r>
      <w:rPr>
        <w:sz w:val="20"/>
      </w:rPr>
      <w:fldChar w:fldCharType="end"/>
    </w:r>
    <w:r>
      <w:rPr>
        <w:sz w:val="20"/>
      </w:rPr>
      <w:t xml:space="preserve"> (celkem </w:t>
    </w:r>
    <w:r>
      <w:fldChar w:fldCharType="begin"/>
    </w:r>
    <w:r>
      <w:instrText xml:space="preserve"> NUMPAGES   \* MERGEFORMAT </w:instrText>
    </w:r>
    <w:r>
      <w:fldChar w:fldCharType="separate"/>
    </w:r>
    <w:r w:rsidR="00E54004" w:rsidRPr="00E54004">
      <w:rPr>
        <w:noProof/>
        <w:sz w:val="20"/>
      </w:rPr>
      <w:t>8</w:t>
    </w:r>
    <w:r>
      <w:rPr>
        <w:sz w:val="20"/>
      </w:rPr>
      <w:fldChar w:fldCharType="end"/>
    </w:r>
    <w:r>
      <w:rPr>
        <w:sz w:val="20"/>
      </w:rPr>
      <w:t>)</w:t>
    </w:r>
  </w:p>
  <w:p w:rsidR="005E64CC" w:rsidRPr="008511A3" w:rsidRDefault="005E64CC" w:rsidP="008511A3">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AD" w:rsidRDefault="00B367A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54004">
      <w:pPr>
        <w:spacing w:after="0" w:line="240" w:lineRule="auto"/>
      </w:pPr>
      <w:r>
        <w:separator/>
      </w:r>
    </w:p>
  </w:footnote>
  <w:footnote w:type="continuationSeparator" w:id="0">
    <w:p w:rsidR="00000000" w:rsidRDefault="00E54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34" o:spid="_x0000_i1026" type="#_x0000_t75" style="width:18pt;height:3pt;visibility:visible;mso-wrap-style:square" o:bullet="t">
        <v:imagedata r:id="rId1" o:title=""/>
      </v:shape>
    </w:pict>
  </w:numPicBullet>
  <w:numPicBullet w:numPicBulletId="1">
    <w:pict>
      <v:shape id="Picture 12135" o:spid="_x0000_i1030" type="#_x0000_t75" style="width:17.25pt;height:3pt;visibility:visible;mso-wrap-style:square" o:bullet="t">
        <v:imagedata r:id="rId2" o:title=""/>
      </v:shape>
    </w:pict>
  </w:numPicBullet>
  <w:numPicBullet w:numPicBulletId="2">
    <w:pict>
      <v:shape id="Picture 12136" o:spid="_x0000_i1033" type="#_x0000_t75" style="width:18pt;height:3.75pt;visibility:visible;mso-wrap-style:square" o:bullet="t">
        <v:imagedata r:id="rId3" o:title=""/>
      </v:shape>
    </w:pict>
  </w:numPicBullet>
  <w:numPicBullet w:numPicBulletId="3">
    <w:pict>
      <v:shape id="Picture 12137" o:spid="_x0000_i1037" type="#_x0000_t75" style="width:17.25pt;height:3pt;visibility:visible;mso-wrap-style:square" o:bullet="t">
        <v:imagedata r:id="rId4" o:title=""/>
      </v:shape>
    </w:pict>
  </w:numPicBullet>
  <w:abstractNum w:abstractNumId="0" w15:restartNumberingAfterBreak="0">
    <w:nsid w:val="1209078F"/>
    <w:multiLevelType w:val="hybridMultilevel"/>
    <w:tmpl w:val="66CE4714"/>
    <w:lvl w:ilvl="0" w:tplc="1EF03768">
      <w:start w:val="8"/>
      <w:numFmt w:val="decimal"/>
      <w:lvlText w:val="%1."/>
      <w:lvlJc w:val="left"/>
      <w:pPr>
        <w:ind w:left="-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58B6F2">
      <w:start w:val="1"/>
      <w:numFmt w:val="lowerLetter"/>
      <w:lvlText w:val="%2"/>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30083C">
      <w:start w:val="1"/>
      <w:numFmt w:val="lowerRoman"/>
      <w:lvlText w:val="%3"/>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CA58B4">
      <w:start w:val="1"/>
      <w:numFmt w:val="decimal"/>
      <w:lvlText w:val="%4"/>
      <w:lvlJc w:val="left"/>
      <w:pPr>
        <w:ind w:left="1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52CE46">
      <w:start w:val="1"/>
      <w:numFmt w:val="lowerLetter"/>
      <w:lvlText w:val="%5"/>
      <w:lvlJc w:val="left"/>
      <w:pPr>
        <w:ind w:left="2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DE8EB6">
      <w:start w:val="1"/>
      <w:numFmt w:val="lowerRoman"/>
      <w:lvlText w:val="%6"/>
      <w:lvlJc w:val="left"/>
      <w:pPr>
        <w:ind w:left="3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422EAC">
      <w:start w:val="1"/>
      <w:numFmt w:val="decimal"/>
      <w:lvlText w:val="%7"/>
      <w:lvlJc w:val="left"/>
      <w:pPr>
        <w:ind w:left="3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543240">
      <w:start w:val="1"/>
      <w:numFmt w:val="lowerLetter"/>
      <w:lvlText w:val="%8"/>
      <w:lvlJc w:val="left"/>
      <w:pPr>
        <w:ind w:left="4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D41E90">
      <w:start w:val="1"/>
      <w:numFmt w:val="lowerRoman"/>
      <w:lvlText w:val="%9"/>
      <w:lvlJc w:val="left"/>
      <w:pPr>
        <w:ind w:left="5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111495"/>
    <w:multiLevelType w:val="hybridMultilevel"/>
    <w:tmpl w:val="9A043B68"/>
    <w:lvl w:ilvl="0" w:tplc="5E9CE01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32256A">
      <w:start w:val="4"/>
      <w:numFmt w:val="decimal"/>
      <w:lvlText w:val="%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80B9F0">
      <w:start w:val="1"/>
      <w:numFmt w:val="lowerRoman"/>
      <w:lvlText w:val="%3"/>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6EBF06">
      <w:start w:val="1"/>
      <w:numFmt w:val="decimal"/>
      <w:lvlText w:val="%4"/>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4C420A">
      <w:start w:val="1"/>
      <w:numFmt w:val="lowerLetter"/>
      <w:lvlText w:val="%5"/>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76D5F6">
      <w:start w:val="1"/>
      <w:numFmt w:val="lowerRoman"/>
      <w:lvlText w:val="%6"/>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3022EA">
      <w:start w:val="1"/>
      <w:numFmt w:val="decimal"/>
      <w:lvlText w:val="%7"/>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26CD8">
      <w:start w:val="1"/>
      <w:numFmt w:val="lowerLetter"/>
      <w:lvlText w:val="%8"/>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A40D32">
      <w:start w:val="1"/>
      <w:numFmt w:val="lowerRoman"/>
      <w:lvlText w:val="%9"/>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629E7"/>
    <w:multiLevelType w:val="hybridMultilevel"/>
    <w:tmpl w:val="7ACC61C2"/>
    <w:lvl w:ilvl="0" w:tplc="CA3CF7F4">
      <w:start w:val="1"/>
      <w:numFmt w:val="decimal"/>
      <w:lvlText w:val="%1."/>
      <w:lvlJc w:val="left"/>
      <w:pPr>
        <w:ind w:left="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16CAEC">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6C1778">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326028">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2CEE70">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1EA3D8">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FAEB8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A6732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F64048">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B28CC"/>
    <w:multiLevelType w:val="hybridMultilevel"/>
    <w:tmpl w:val="BE94D13A"/>
    <w:lvl w:ilvl="0" w:tplc="24F8A450">
      <w:start w:val="4"/>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EECDAA">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58E36C">
      <w:start w:val="1"/>
      <w:numFmt w:val="lowerRoman"/>
      <w:lvlText w:val="%3"/>
      <w:lvlJc w:val="left"/>
      <w:pPr>
        <w:ind w:left="1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630B0">
      <w:start w:val="1"/>
      <w:numFmt w:val="decimal"/>
      <w:lvlText w:val="%4"/>
      <w:lvlJc w:val="left"/>
      <w:pPr>
        <w:ind w:left="2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1EA19C">
      <w:start w:val="1"/>
      <w:numFmt w:val="lowerLetter"/>
      <w:lvlText w:val="%5"/>
      <w:lvlJc w:val="left"/>
      <w:pPr>
        <w:ind w:left="3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4ECA1C">
      <w:start w:val="1"/>
      <w:numFmt w:val="lowerRoman"/>
      <w:lvlText w:val="%6"/>
      <w:lvlJc w:val="left"/>
      <w:pPr>
        <w:ind w:left="4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DA4F1A">
      <w:start w:val="1"/>
      <w:numFmt w:val="decimal"/>
      <w:lvlText w:val="%7"/>
      <w:lvlJc w:val="left"/>
      <w:pPr>
        <w:ind w:left="4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98771E">
      <w:start w:val="1"/>
      <w:numFmt w:val="lowerLetter"/>
      <w:lvlText w:val="%8"/>
      <w:lvlJc w:val="left"/>
      <w:pPr>
        <w:ind w:left="5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A6910">
      <w:start w:val="1"/>
      <w:numFmt w:val="lowerRoman"/>
      <w:lvlText w:val="%9"/>
      <w:lvlJc w:val="left"/>
      <w:pPr>
        <w:ind w:left="6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4E4CA4"/>
    <w:multiLevelType w:val="hybridMultilevel"/>
    <w:tmpl w:val="C9D6C308"/>
    <w:lvl w:ilvl="0" w:tplc="A9EC3BD0">
      <w:start w:val="4"/>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AE60A0">
      <w:start w:val="1"/>
      <w:numFmt w:val="decimal"/>
      <w:lvlText w:val="%2."/>
      <w:lvlJc w:val="left"/>
      <w:pPr>
        <w:ind w:left="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4CCD96">
      <w:start w:val="1"/>
      <w:numFmt w:val="lowerRoman"/>
      <w:lvlText w:val="%3"/>
      <w:lvlJc w:val="left"/>
      <w:pPr>
        <w:ind w:left="13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9E9D08">
      <w:start w:val="1"/>
      <w:numFmt w:val="decimal"/>
      <w:lvlText w:val="%4"/>
      <w:lvlJc w:val="left"/>
      <w:pPr>
        <w:ind w:left="2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FE0C3E">
      <w:start w:val="1"/>
      <w:numFmt w:val="lowerLetter"/>
      <w:lvlText w:val="%5"/>
      <w:lvlJc w:val="left"/>
      <w:pPr>
        <w:ind w:left="2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86B6C2">
      <w:start w:val="1"/>
      <w:numFmt w:val="lowerRoman"/>
      <w:lvlText w:val="%6"/>
      <w:lvlJc w:val="left"/>
      <w:pPr>
        <w:ind w:left="3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9E0B96">
      <w:start w:val="1"/>
      <w:numFmt w:val="decimal"/>
      <w:lvlText w:val="%7"/>
      <w:lvlJc w:val="left"/>
      <w:pPr>
        <w:ind w:left="4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42EA78">
      <w:start w:val="1"/>
      <w:numFmt w:val="lowerLetter"/>
      <w:lvlText w:val="%8"/>
      <w:lvlJc w:val="left"/>
      <w:pPr>
        <w:ind w:left="4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D2821E">
      <w:start w:val="1"/>
      <w:numFmt w:val="lowerRoman"/>
      <w:lvlText w:val="%9"/>
      <w:lvlJc w:val="left"/>
      <w:pPr>
        <w:ind w:left="5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BF0E2D"/>
    <w:multiLevelType w:val="hybridMultilevel"/>
    <w:tmpl w:val="EC4CCBF8"/>
    <w:lvl w:ilvl="0" w:tplc="5D2616D0">
      <w:start w:val="1"/>
      <w:numFmt w:val="decimal"/>
      <w:lvlText w:val="%1"/>
      <w:lvlJc w:val="left"/>
      <w:pPr>
        <w:ind w:left="6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D48E9B2">
      <w:start w:val="1"/>
      <w:numFmt w:val="lowerLetter"/>
      <w:lvlText w:val="%2"/>
      <w:lvlJc w:val="left"/>
      <w:pPr>
        <w:ind w:left="11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DF7C27A8">
      <w:start w:val="1"/>
      <w:numFmt w:val="lowerRoman"/>
      <w:lvlText w:val="%3"/>
      <w:lvlJc w:val="left"/>
      <w:pPr>
        <w:ind w:left="18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E041384">
      <w:start w:val="1"/>
      <w:numFmt w:val="decimal"/>
      <w:lvlText w:val="%4"/>
      <w:lvlJc w:val="left"/>
      <w:pPr>
        <w:ind w:left="25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C3C72E2">
      <w:start w:val="1"/>
      <w:numFmt w:val="lowerLetter"/>
      <w:lvlText w:val="%5"/>
      <w:lvlJc w:val="left"/>
      <w:pPr>
        <w:ind w:left="32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5F04A16">
      <w:start w:val="1"/>
      <w:numFmt w:val="lowerRoman"/>
      <w:lvlText w:val="%6"/>
      <w:lvlJc w:val="left"/>
      <w:pPr>
        <w:ind w:left="40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7AE41520">
      <w:start w:val="1"/>
      <w:numFmt w:val="decimal"/>
      <w:lvlText w:val="%7"/>
      <w:lvlJc w:val="left"/>
      <w:pPr>
        <w:ind w:left="47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862E39E">
      <w:start w:val="1"/>
      <w:numFmt w:val="lowerLetter"/>
      <w:lvlText w:val="%8"/>
      <w:lvlJc w:val="left"/>
      <w:pPr>
        <w:ind w:left="54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A47EE856">
      <w:start w:val="1"/>
      <w:numFmt w:val="lowerRoman"/>
      <w:lvlText w:val="%9"/>
      <w:lvlJc w:val="left"/>
      <w:pPr>
        <w:ind w:left="61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46C6510D"/>
    <w:multiLevelType w:val="hybridMultilevel"/>
    <w:tmpl w:val="A192D9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73DA1"/>
    <w:multiLevelType w:val="hybridMultilevel"/>
    <w:tmpl w:val="056AF320"/>
    <w:lvl w:ilvl="0" w:tplc="AB72DDF4">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048D48">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CDAFA">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1467DE">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74A4B6">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C2180E">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C2C994">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0C689E">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B2AC16">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E40726"/>
    <w:multiLevelType w:val="hybridMultilevel"/>
    <w:tmpl w:val="B450DC08"/>
    <w:lvl w:ilvl="0" w:tplc="B13E2E9C">
      <w:start w:val="2"/>
      <w:numFmt w:val="decimal"/>
      <w:lvlText w:val="%1"/>
      <w:lvlJc w:val="left"/>
      <w:pPr>
        <w:ind w:left="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C807442">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4EA61AC">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D01CD2">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4A33D2">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1A7CFC">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C6CDEC">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A0749C">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E2621C">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1E36F8"/>
    <w:multiLevelType w:val="hybridMultilevel"/>
    <w:tmpl w:val="03C057C2"/>
    <w:lvl w:ilvl="0" w:tplc="32CAF634">
      <w:start w:val="1"/>
      <w:numFmt w:val="decimal"/>
      <w:lvlText w:val="%1."/>
      <w:lvlJc w:val="left"/>
      <w:pPr>
        <w:ind w:left="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DA747E">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D6F848">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5ACAA0">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F18517E">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C2184E">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A0323A">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E0283E">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561764">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8175E5"/>
    <w:multiLevelType w:val="hybridMultilevel"/>
    <w:tmpl w:val="EDF20298"/>
    <w:lvl w:ilvl="0" w:tplc="BCB05178">
      <w:start w:val="2"/>
      <w:numFmt w:val="decimal"/>
      <w:lvlText w:val="%1."/>
      <w:lvlJc w:val="left"/>
      <w:pPr>
        <w:ind w:left="551"/>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F6C446E4">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30A570">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4A8997C">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2524C96">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48FC70">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E648D6">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7CED0C">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5047A0">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6300941"/>
    <w:multiLevelType w:val="hybridMultilevel"/>
    <w:tmpl w:val="47027C8E"/>
    <w:lvl w:ilvl="0" w:tplc="E5A446BA">
      <w:start w:val="3"/>
      <w:numFmt w:val="decimal"/>
      <w:lvlText w:val="%1."/>
      <w:lvlJc w:val="left"/>
      <w:pPr>
        <w:ind w:left="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645458">
      <w:start w:val="1"/>
      <w:numFmt w:val="lowerLetter"/>
      <w:lvlText w:val="%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587FBC">
      <w:start w:val="1"/>
      <w:numFmt w:val="lowerRoman"/>
      <w:lvlText w:val="%3"/>
      <w:lvlJc w:val="left"/>
      <w:pPr>
        <w:ind w:left="1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34A5E0">
      <w:start w:val="1"/>
      <w:numFmt w:val="decimal"/>
      <w:lvlText w:val="%4"/>
      <w:lvlJc w:val="left"/>
      <w:pPr>
        <w:ind w:left="2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0A648">
      <w:start w:val="1"/>
      <w:numFmt w:val="lowerLetter"/>
      <w:lvlText w:val="%5"/>
      <w:lvlJc w:val="left"/>
      <w:pPr>
        <w:ind w:left="3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DE386A">
      <w:start w:val="1"/>
      <w:numFmt w:val="lowerRoman"/>
      <w:lvlText w:val="%6"/>
      <w:lvlJc w:val="left"/>
      <w:pPr>
        <w:ind w:left="3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766A3A">
      <w:start w:val="1"/>
      <w:numFmt w:val="decimal"/>
      <w:lvlText w:val="%7"/>
      <w:lvlJc w:val="left"/>
      <w:pPr>
        <w:ind w:left="4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8E716">
      <w:start w:val="1"/>
      <w:numFmt w:val="lowerLetter"/>
      <w:lvlText w:val="%8"/>
      <w:lvlJc w:val="left"/>
      <w:pPr>
        <w:ind w:left="5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789CCA">
      <w:start w:val="1"/>
      <w:numFmt w:val="lowerRoman"/>
      <w:lvlText w:val="%9"/>
      <w:lvlJc w:val="left"/>
      <w:pPr>
        <w:ind w:left="61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8B8268D"/>
    <w:multiLevelType w:val="hybridMultilevel"/>
    <w:tmpl w:val="35E87420"/>
    <w:lvl w:ilvl="0" w:tplc="8C3EAB76">
      <w:start w:val="1"/>
      <w:numFmt w:val="decimal"/>
      <w:lvlText w:val="%1."/>
      <w:lvlJc w:val="left"/>
      <w:pPr>
        <w:ind w:left="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BAA8A0">
      <w:start w:val="1"/>
      <w:numFmt w:val="lowerLetter"/>
      <w:lvlText w:val="%2)"/>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7CC7CC">
      <w:start w:val="1"/>
      <w:numFmt w:val="lowerRoman"/>
      <w:lvlText w:val="%3"/>
      <w:lvlJc w:val="left"/>
      <w:pPr>
        <w:ind w:left="1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D24630">
      <w:start w:val="1"/>
      <w:numFmt w:val="decimal"/>
      <w:lvlText w:val="%4"/>
      <w:lvlJc w:val="left"/>
      <w:pPr>
        <w:ind w:left="2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E4AA5A">
      <w:start w:val="1"/>
      <w:numFmt w:val="lowerLetter"/>
      <w:lvlText w:val="%5"/>
      <w:lvlJc w:val="left"/>
      <w:pPr>
        <w:ind w:left="2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AC67E2">
      <w:start w:val="1"/>
      <w:numFmt w:val="lowerRoman"/>
      <w:lvlText w:val="%6"/>
      <w:lvlJc w:val="left"/>
      <w:pPr>
        <w:ind w:left="3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54302A">
      <w:start w:val="1"/>
      <w:numFmt w:val="decimal"/>
      <w:lvlText w:val="%7"/>
      <w:lvlJc w:val="left"/>
      <w:pPr>
        <w:ind w:left="4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D2895E">
      <w:start w:val="1"/>
      <w:numFmt w:val="lowerLetter"/>
      <w:lvlText w:val="%8"/>
      <w:lvlJc w:val="left"/>
      <w:pPr>
        <w:ind w:left="5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CA14DA">
      <w:start w:val="1"/>
      <w:numFmt w:val="lowerRoman"/>
      <w:lvlText w:val="%9"/>
      <w:lvlJc w:val="left"/>
      <w:pPr>
        <w:ind w:left="5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660AF4"/>
    <w:multiLevelType w:val="hybridMultilevel"/>
    <w:tmpl w:val="CB9CCE82"/>
    <w:lvl w:ilvl="0" w:tplc="ED2EA05C">
      <w:start w:val="1"/>
      <w:numFmt w:val="decimal"/>
      <w:lvlText w:val="%1."/>
      <w:lvlJc w:val="left"/>
      <w:pPr>
        <w:ind w:left="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721F10">
      <w:start w:val="1"/>
      <w:numFmt w:val="lowerLetter"/>
      <w:lvlText w:val="%2)"/>
      <w:lvlJc w:val="left"/>
      <w:pPr>
        <w:ind w:left="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2C0E1C">
      <w:start w:val="1"/>
      <w:numFmt w:val="lowerLetter"/>
      <w:lvlText w:val="%3)"/>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9E02C0">
      <w:start w:val="1"/>
      <w:numFmt w:val="decimal"/>
      <w:lvlText w:val="%4"/>
      <w:lvlJc w:val="left"/>
      <w:pPr>
        <w:ind w:left="2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66231C">
      <w:start w:val="1"/>
      <w:numFmt w:val="lowerLetter"/>
      <w:lvlText w:val="%5"/>
      <w:lvlJc w:val="left"/>
      <w:pPr>
        <w:ind w:left="2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1A9A12">
      <w:start w:val="1"/>
      <w:numFmt w:val="lowerRoman"/>
      <w:lvlText w:val="%6"/>
      <w:lvlJc w:val="left"/>
      <w:pPr>
        <w:ind w:left="3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0A68F6">
      <w:start w:val="1"/>
      <w:numFmt w:val="decimal"/>
      <w:lvlText w:val="%7"/>
      <w:lvlJc w:val="left"/>
      <w:pPr>
        <w:ind w:left="4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B8CB88">
      <w:start w:val="1"/>
      <w:numFmt w:val="lowerLetter"/>
      <w:lvlText w:val="%8"/>
      <w:lvlJc w:val="left"/>
      <w:pPr>
        <w:ind w:left="5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5EAF04">
      <w:start w:val="1"/>
      <w:numFmt w:val="lowerRoman"/>
      <w:lvlText w:val="%9"/>
      <w:lvlJc w:val="left"/>
      <w:pPr>
        <w:ind w:left="5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849E3"/>
    <w:multiLevelType w:val="hybridMultilevel"/>
    <w:tmpl w:val="76AE55D0"/>
    <w:lvl w:ilvl="0" w:tplc="6EDC79E6">
      <w:start w:val="1"/>
      <w:numFmt w:val="decimal"/>
      <w:lvlText w:val="%1."/>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DADF60">
      <w:start w:val="1"/>
      <w:numFmt w:val="lowerLetter"/>
      <w:lvlText w:val="%2"/>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ED59A">
      <w:start w:val="1"/>
      <w:numFmt w:val="lowerRoman"/>
      <w:lvlText w:val="%3"/>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007C66">
      <w:start w:val="1"/>
      <w:numFmt w:val="decimal"/>
      <w:lvlText w:val="%4"/>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D63364">
      <w:start w:val="1"/>
      <w:numFmt w:val="lowerLetter"/>
      <w:lvlText w:val="%5"/>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9C23CA">
      <w:start w:val="1"/>
      <w:numFmt w:val="lowerRoman"/>
      <w:lvlText w:val="%6"/>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2C3F2A">
      <w:start w:val="1"/>
      <w:numFmt w:val="decimal"/>
      <w:lvlText w:val="%7"/>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88CCDC">
      <w:start w:val="1"/>
      <w:numFmt w:val="lowerLetter"/>
      <w:lvlText w:val="%8"/>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4683BE">
      <w:start w:val="1"/>
      <w:numFmt w:val="lowerRoman"/>
      <w:lvlText w:val="%9"/>
      <w:lvlJc w:val="left"/>
      <w:pPr>
        <w:ind w:left="6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3"/>
  </w:num>
  <w:num w:numId="3">
    <w:abstractNumId w:val="13"/>
  </w:num>
  <w:num w:numId="4">
    <w:abstractNumId w:val="11"/>
  </w:num>
  <w:num w:numId="5">
    <w:abstractNumId w:val="5"/>
  </w:num>
  <w:num w:numId="6">
    <w:abstractNumId w:val="10"/>
  </w:num>
  <w:num w:numId="7">
    <w:abstractNumId w:val="0"/>
  </w:num>
  <w:num w:numId="8">
    <w:abstractNumId w:val="14"/>
  </w:num>
  <w:num w:numId="9">
    <w:abstractNumId w:val="8"/>
  </w:num>
  <w:num w:numId="10">
    <w:abstractNumId w:val="2"/>
  </w:num>
  <w:num w:numId="11">
    <w:abstractNumId w:val="4"/>
  </w:num>
  <w:num w:numId="12">
    <w:abstractNumId w:val="1"/>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AD"/>
    <w:rsid w:val="002264D6"/>
    <w:rsid w:val="005E64CC"/>
    <w:rsid w:val="006F1583"/>
    <w:rsid w:val="008511A3"/>
    <w:rsid w:val="00882479"/>
    <w:rsid w:val="00B2740A"/>
    <w:rsid w:val="00B367AD"/>
    <w:rsid w:val="00BF7A74"/>
    <w:rsid w:val="00C651A1"/>
    <w:rsid w:val="00D10B13"/>
    <w:rsid w:val="00E54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6CCE9"/>
  <w15:docId w15:val="{9D89F6EF-E5E9-4FEA-A54A-C96F1070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2" w:lineRule="auto"/>
      <w:ind w:left="5" w:right="226" w:hanging="5"/>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624"/>
      <w:jc w:val="center"/>
      <w:outlineLvl w:val="0"/>
    </w:pPr>
    <w:rPr>
      <w:rFonts w:ascii="Calibri" w:eastAsia="Calibri" w:hAnsi="Calibri" w:cs="Calibri"/>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BF7A74"/>
    <w:pPr>
      <w:ind w:left="720"/>
      <w:contextualSpacing/>
    </w:pPr>
  </w:style>
  <w:style w:type="paragraph" w:styleId="Zhlav">
    <w:name w:val="header"/>
    <w:basedOn w:val="Normln"/>
    <w:link w:val="ZhlavChar"/>
    <w:uiPriority w:val="99"/>
    <w:unhideWhenUsed/>
    <w:rsid w:val="005E64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64CC"/>
    <w:rPr>
      <w:rFonts w:ascii="Calibri" w:eastAsia="Calibri" w:hAnsi="Calibri" w:cs="Calibri"/>
      <w:color w:val="000000"/>
    </w:rPr>
  </w:style>
  <w:style w:type="paragraph" w:styleId="Zpat">
    <w:name w:val="footer"/>
    <w:basedOn w:val="Normln"/>
    <w:link w:val="ZpatChar"/>
    <w:uiPriority w:val="99"/>
    <w:unhideWhenUsed/>
    <w:rsid w:val="005E64CC"/>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ZpatChar">
    <w:name w:val="Zápatí Char"/>
    <w:basedOn w:val="Standardnpsmoodstavce"/>
    <w:link w:val="Zpat"/>
    <w:uiPriority w:val="99"/>
    <w:rsid w:val="005E64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jpe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14.jp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24" Type="http://schemas.openxmlformats.org/officeDocument/2006/relationships/image" Target="media/image18.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7.jpg"/><Relationship Id="rId28" Type="http://schemas.openxmlformats.org/officeDocument/2006/relationships/footer" Target="footer1.xml"/><Relationship Id="rId10" Type="http://schemas.openxmlformats.org/officeDocument/2006/relationships/image" Target="media/image8.jpg"/><Relationship Id="rId19" Type="http://schemas.openxmlformats.org/officeDocument/2006/relationships/image" Target="media/image13.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2.jpe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2986</Words>
  <Characters>17618</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Hospodářské2</dc:creator>
  <cp:keywords/>
  <cp:lastModifiedBy>Hospodářské2</cp:lastModifiedBy>
  <cp:revision>5</cp:revision>
  <dcterms:created xsi:type="dcterms:W3CDTF">2025-04-23T09:19:00Z</dcterms:created>
  <dcterms:modified xsi:type="dcterms:W3CDTF">2025-04-23T09:25:00Z</dcterms:modified>
</cp:coreProperties>
</file>