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18C2" w:rsidRDefault="001118C2" w:rsidP="001118C2">
      <w:pPr>
        <w:jc w:val="both"/>
        <w:rPr>
          <w:b/>
        </w:rPr>
      </w:pPr>
    </w:p>
    <w:p w:rsidR="00BC6D9C" w:rsidRDefault="001118C2" w:rsidP="00FC0969">
      <w:pPr>
        <w:tabs>
          <w:tab w:val="left" w:pos="426"/>
        </w:tabs>
        <w:ind w:left="705"/>
        <w:jc w:val="center"/>
        <w:rPr>
          <w:b/>
          <w:sz w:val="32"/>
          <w:szCs w:val="32"/>
        </w:rPr>
      </w:pPr>
      <w:r w:rsidRPr="00847930">
        <w:rPr>
          <w:b/>
          <w:sz w:val="32"/>
          <w:szCs w:val="32"/>
        </w:rPr>
        <w:t>STANOVY</w:t>
      </w:r>
      <w:r w:rsidR="00C977D9">
        <w:rPr>
          <w:b/>
          <w:sz w:val="32"/>
          <w:szCs w:val="32"/>
        </w:rPr>
        <w:t xml:space="preserve"> </w:t>
      </w:r>
      <w:r w:rsidR="00FC0969">
        <w:rPr>
          <w:b/>
          <w:sz w:val="32"/>
          <w:szCs w:val="32"/>
        </w:rPr>
        <w:br/>
      </w:r>
      <w:r w:rsidR="00F53E5D">
        <w:rPr>
          <w:b/>
          <w:sz w:val="32"/>
          <w:szCs w:val="32"/>
        </w:rPr>
        <w:t>S</w:t>
      </w:r>
      <w:r w:rsidR="00C977D9">
        <w:rPr>
          <w:b/>
          <w:sz w:val="32"/>
          <w:szCs w:val="32"/>
        </w:rPr>
        <w:t>polečnosti</w:t>
      </w:r>
      <w:r w:rsidR="00FC0969">
        <w:rPr>
          <w:b/>
          <w:sz w:val="32"/>
          <w:szCs w:val="32"/>
        </w:rPr>
        <w:t xml:space="preserve"> </w:t>
      </w:r>
      <w:r w:rsidR="00C977D9">
        <w:rPr>
          <w:b/>
          <w:sz w:val="32"/>
          <w:szCs w:val="32"/>
        </w:rPr>
        <w:t>s názvem</w:t>
      </w:r>
    </w:p>
    <w:p w:rsidR="00BC6D9C" w:rsidRDefault="00BC6D9C" w:rsidP="00E526DB">
      <w:pPr>
        <w:tabs>
          <w:tab w:val="left" w:pos="426"/>
        </w:tabs>
        <w:ind w:left="705"/>
        <w:jc w:val="center"/>
      </w:pPr>
    </w:p>
    <w:p w:rsidR="001118C2" w:rsidRPr="00461255" w:rsidRDefault="00173395">
      <w:pPr>
        <w:tabs>
          <w:tab w:val="left" w:pos="426"/>
        </w:tabs>
        <w:ind w:left="705"/>
        <w:jc w:val="center"/>
      </w:pPr>
      <w:r w:rsidRPr="00CB0A27">
        <w:rPr>
          <w:b/>
        </w:rPr>
        <w:t>„</w:t>
      </w:r>
      <w:proofErr w:type="spellStart"/>
      <w:r>
        <w:rPr>
          <w:b/>
        </w:rPr>
        <w:t>Archaia</w:t>
      </w:r>
      <w:proofErr w:type="spellEnd"/>
      <w:r>
        <w:rPr>
          <w:b/>
        </w:rPr>
        <w:t xml:space="preserve"> - </w:t>
      </w:r>
      <w:proofErr w:type="gramStart"/>
      <w:r>
        <w:rPr>
          <w:b/>
        </w:rPr>
        <w:t>NPÚ  sdružení</w:t>
      </w:r>
      <w:proofErr w:type="gramEnd"/>
      <w:r>
        <w:rPr>
          <w:b/>
        </w:rPr>
        <w:t xml:space="preserve"> pro Předběžný archeologický výzkum RS1 VRT Prosenice – Ostrava-</w:t>
      </w:r>
      <w:proofErr w:type="spellStart"/>
      <w:r>
        <w:rPr>
          <w:b/>
        </w:rPr>
        <w:t>Svinov</w:t>
      </w:r>
      <w:proofErr w:type="spellEnd"/>
      <w:r>
        <w:rPr>
          <w:b/>
        </w:rPr>
        <w:t xml:space="preserve"> II. část</w:t>
      </w:r>
      <w:r w:rsidRPr="00CB0A27">
        <w:rPr>
          <w:b/>
        </w:rPr>
        <w:t>“</w:t>
      </w:r>
    </w:p>
    <w:p w:rsidR="001118C2" w:rsidRDefault="001118C2" w:rsidP="00E526DB">
      <w:pPr>
        <w:tabs>
          <w:tab w:val="left" w:pos="426"/>
        </w:tabs>
        <w:jc w:val="center"/>
      </w:pPr>
    </w:p>
    <w:p w:rsidR="001118C2" w:rsidRDefault="001118C2" w:rsidP="001118C2">
      <w:pPr>
        <w:tabs>
          <w:tab w:val="left" w:pos="426"/>
        </w:tabs>
        <w:ind w:left="705"/>
        <w:jc w:val="both"/>
      </w:pPr>
    </w:p>
    <w:p w:rsidR="001118C2" w:rsidRDefault="001118C2" w:rsidP="001118C2">
      <w:pPr>
        <w:tabs>
          <w:tab w:val="left" w:pos="426"/>
        </w:tabs>
        <w:jc w:val="both"/>
      </w:pPr>
      <w:r>
        <w:t>Společníci</w:t>
      </w:r>
    </w:p>
    <w:p w:rsidR="002F182C" w:rsidRDefault="002F182C" w:rsidP="001118C2">
      <w:pPr>
        <w:tabs>
          <w:tab w:val="left" w:pos="426"/>
        </w:tabs>
        <w:jc w:val="both"/>
      </w:pPr>
    </w:p>
    <w:p w:rsidR="002F182C" w:rsidRPr="008F4056" w:rsidRDefault="002F182C" w:rsidP="002F182C">
      <w:pPr>
        <w:tabs>
          <w:tab w:val="left" w:pos="426"/>
        </w:tabs>
        <w:jc w:val="both"/>
        <w:rPr>
          <w:b/>
        </w:rPr>
      </w:pPr>
      <w:r>
        <w:rPr>
          <w:b/>
        </w:rPr>
        <w:t>Archaia Brno, z. ú.</w:t>
      </w:r>
    </w:p>
    <w:p w:rsidR="002F182C" w:rsidRPr="00A73D24" w:rsidRDefault="002F182C" w:rsidP="002F182C">
      <w:pPr>
        <w:tabs>
          <w:tab w:val="num" w:pos="-7938"/>
          <w:tab w:val="left" w:pos="2977"/>
        </w:tabs>
        <w:ind w:left="426"/>
        <w:jc w:val="both"/>
      </w:pPr>
      <w:r w:rsidRPr="00A73D24">
        <w:t xml:space="preserve">Sídlo: </w:t>
      </w:r>
      <w:r>
        <w:tab/>
        <w:t>Bezručova 78/15, 602 00 Brno</w:t>
      </w:r>
      <w:r w:rsidRPr="00A73D24">
        <w:tab/>
      </w:r>
    </w:p>
    <w:p w:rsidR="002F182C" w:rsidRPr="00A73D24" w:rsidRDefault="002F182C" w:rsidP="002F182C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t xml:space="preserve">IČ: </w:t>
      </w:r>
      <w:r w:rsidRPr="00A73D24">
        <w:tab/>
      </w:r>
      <w:r>
        <w:t>26268469</w:t>
      </w:r>
    </w:p>
    <w:p w:rsidR="002F182C" w:rsidRPr="005D5DA3" w:rsidRDefault="002F182C" w:rsidP="002F182C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rPr>
          <w:bCs/>
        </w:rPr>
        <w:t>DIČ</w:t>
      </w:r>
      <w:r>
        <w:rPr>
          <w:bCs/>
        </w:rPr>
        <w:t>:</w:t>
      </w:r>
      <w:r w:rsidRPr="00A73D24">
        <w:rPr>
          <w:bCs/>
        </w:rPr>
        <w:tab/>
      </w:r>
      <w:r>
        <w:rPr>
          <w:bCs/>
        </w:rPr>
        <w:t>CZ26268469</w:t>
      </w:r>
    </w:p>
    <w:p w:rsidR="002F182C" w:rsidRDefault="00907CA0" w:rsidP="002F182C">
      <w:pPr>
        <w:tabs>
          <w:tab w:val="num" w:pos="-7938"/>
          <w:tab w:val="left" w:pos="2977"/>
        </w:tabs>
        <w:jc w:val="both"/>
      </w:pPr>
      <w:r>
        <w:t xml:space="preserve">       </w:t>
      </w:r>
      <w:r w:rsidR="002F182C">
        <w:t>Zastoupený:</w:t>
      </w:r>
      <w:r w:rsidR="002F182C">
        <w:tab/>
        <w:t>Mgr. Markem Peškou, Ph.D., ředitelem</w:t>
      </w:r>
      <w:r>
        <w:t xml:space="preserve"> ústavu</w:t>
      </w:r>
    </w:p>
    <w:p w:rsidR="002F182C" w:rsidRPr="00D11F73" w:rsidRDefault="002F182C" w:rsidP="002F182C">
      <w:pPr>
        <w:tabs>
          <w:tab w:val="num" w:pos="-7938"/>
          <w:tab w:val="left" w:pos="2977"/>
        </w:tabs>
        <w:ind w:left="426"/>
        <w:jc w:val="both"/>
      </w:pPr>
      <w:r w:rsidRPr="00D11F73">
        <w:t xml:space="preserve">(dále jen </w:t>
      </w:r>
      <w:proofErr w:type="gramStart"/>
      <w:r w:rsidRPr="00D11F73">
        <w:t>„</w:t>
      </w:r>
      <w:r>
        <w:rPr>
          <w:b/>
          <w:i/>
        </w:rPr>
        <w:t xml:space="preserve"> </w:t>
      </w:r>
      <w:r>
        <w:rPr>
          <w:i/>
        </w:rPr>
        <w:t>Archaia</w:t>
      </w:r>
      <w:proofErr w:type="gramEnd"/>
      <w:r w:rsidRPr="00A12CB8">
        <w:rPr>
          <w:i/>
        </w:rPr>
        <w:t xml:space="preserve">“, nebo „společník </w:t>
      </w:r>
      <w:r w:rsidRPr="00A12CB8">
        <w:t>“)</w:t>
      </w:r>
    </w:p>
    <w:p w:rsidR="002F182C" w:rsidRDefault="002F182C" w:rsidP="001118C2">
      <w:pPr>
        <w:tabs>
          <w:tab w:val="left" w:pos="426"/>
        </w:tabs>
        <w:jc w:val="both"/>
      </w:pPr>
    </w:p>
    <w:p w:rsidR="002F182C" w:rsidRDefault="00907CA0" w:rsidP="001118C2">
      <w:pPr>
        <w:tabs>
          <w:tab w:val="left" w:pos="426"/>
        </w:tabs>
        <w:jc w:val="both"/>
      </w:pPr>
      <w:r>
        <w:t xml:space="preserve">       </w:t>
      </w:r>
      <w:r w:rsidR="002F182C">
        <w:t>a</w:t>
      </w:r>
    </w:p>
    <w:p w:rsidR="002F182C" w:rsidRPr="001118C2" w:rsidRDefault="002F182C" w:rsidP="001118C2">
      <w:pPr>
        <w:tabs>
          <w:tab w:val="left" w:pos="426"/>
        </w:tabs>
        <w:jc w:val="both"/>
      </w:pPr>
    </w:p>
    <w:p w:rsidR="001118C2" w:rsidRPr="00A73D24" w:rsidRDefault="00FD0AFE" w:rsidP="001118C2">
      <w:pPr>
        <w:tabs>
          <w:tab w:val="left" w:pos="426"/>
        </w:tabs>
        <w:jc w:val="both"/>
      </w:pPr>
      <w:r>
        <w:rPr>
          <w:b/>
        </w:rPr>
        <w:t>Národní památkový ústav, s. p. o.</w:t>
      </w:r>
    </w:p>
    <w:p w:rsidR="001118C2" w:rsidRPr="00A73D24" w:rsidRDefault="001118C2" w:rsidP="001118C2">
      <w:pPr>
        <w:tabs>
          <w:tab w:val="num" w:pos="-7938"/>
          <w:tab w:val="left" w:pos="2977"/>
        </w:tabs>
        <w:ind w:left="426"/>
        <w:jc w:val="both"/>
      </w:pPr>
      <w:r w:rsidRPr="00A73D24">
        <w:t xml:space="preserve">Sídlo: </w:t>
      </w:r>
      <w:r w:rsidRPr="00A73D24">
        <w:tab/>
      </w:r>
      <w:r>
        <w:rPr>
          <w:lang w:val="pl-PL"/>
        </w:rPr>
        <w:t>Valdštějnské náměstí 162/3, 118 01 Praha 1</w:t>
      </w:r>
    </w:p>
    <w:p w:rsidR="001118C2" w:rsidRPr="00A73D24" w:rsidRDefault="001118C2" w:rsidP="001118C2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t xml:space="preserve">IČ: </w:t>
      </w:r>
      <w:r w:rsidRPr="00A73D24">
        <w:tab/>
      </w:r>
      <w:r w:rsidRPr="00361873">
        <w:rPr>
          <w:lang w:val="pl-PL"/>
        </w:rPr>
        <w:t>750</w:t>
      </w:r>
      <w:r>
        <w:rPr>
          <w:lang w:val="pl-PL"/>
        </w:rPr>
        <w:t xml:space="preserve"> </w:t>
      </w:r>
      <w:r w:rsidRPr="00361873">
        <w:rPr>
          <w:lang w:val="pl-PL"/>
        </w:rPr>
        <w:t>32</w:t>
      </w:r>
      <w:r>
        <w:rPr>
          <w:lang w:val="pl-PL"/>
        </w:rPr>
        <w:t xml:space="preserve"> </w:t>
      </w:r>
      <w:r w:rsidRPr="00361873">
        <w:rPr>
          <w:lang w:val="pl-PL"/>
        </w:rPr>
        <w:t>333</w:t>
      </w:r>
    </w:p>
    <w:p w:rsidR="001118C2" w:rsidRPr="00A73D24" w:rsidRDefault="001118C2" w:rsidP="001118C2">
      <w:pPr>
        <w:tabs>
          <w:tab w:val="num" w:pos="-7938"/>
          <w:tab w:val="left" w:pos="2977"/>
        </w:tabs>
        <w:ind w:left="426"/>
        <w:jc w:val="both"/>
        <w:rPr>
          <w:bCs/>
        </w:rPr>
      </w:pPr>
      <w:r w:rsidRPr="00A73D24">
        <w:rPr>
          <w:bCs/>
        </w:rPr>
        <w:t>DIČ</w:t>
      </w:r>
      <w:r>
        <w:rPr>
          <w:bCs/>
        </w:rPr>
        <w:t>:</w:t>
      </w:r>
      <w:r w:rsidRPr="00A73D24">
        <w:rPr>
          <w:bCs/>
        </w:rPr>
        <w:tab/>
      </w:r>
      <w:r w:rsidRPr="00361873">
        <w:rPr>
          <w:bCs/>
        </w:rPr>
        <w:t>CZ75032333</w:t>
      </w:r>
    </w:p>
    <w:p w:rsidR="001118C2" w:rsidRDefault="001118C2" w:rsidP="001118C2">
      <w:pPr>
        <w:tabs>
          <w:tab w:val="num" w:pos="-7938"/>
          <w:tab w:val="left" w:pos="2977"/>
        </w:tabs>
        <w:ind w:left="2976" w:hanging="2550"/>
        <w:jc w:val="both"/>
      </w:pPr>
      <w:r>
        <w:t>Zastoupený</w:t>
      </w:r>
      <w:r w:rsidRPr="00A73D24">
        <w:t>:</w:t>
      </w:r>
      <w:r w:rsidRPr="00A73D24">
        <w:tab/>
      </w:r>
      <w:r>
        <w:t xml:space="preserve">Mgr. Michalem </w:t>
      </w:r>
      <w:r w:rsidRPr="00361873">
        <w:t>Zezul</w:t>
      </w:r>
      <w:r>
        <w:t>ou</w:t>
      </w:r>
      <w:r w:rsidR="00D40029">
        <w:t xml:space="preserve">, </w:t>
      </w:r>
      <w:r w:rsidR="00D40029" w:rsidRPr="00D40029">
        <w:t>Ph.D.</w:t>
      </w:r>
      <w:r w:rsidRPr="00D40029">
        <w:t xml:space="preserve">, </w:t>
      </w:r>
      <w:r w:rsidRPr="004A16F8">
        <w:t>ředitelem</w:t>
      </w:r>
      <w:r>
        <w:t xml:space="preserve"> územního odborného pracoviště v Ostravě</w:t>
      </w:r>
    </w:p>
    <w:p w:rsidR="00C977D9" w:rsidRDefault="001118C2" w:rsidP="00DE3367">
      <w:pPr>
        <w:tabs>
          <w:tab w:val="num" w:pos="-7938"/>
          <w:tab w:val="left" w:pos="2977"/>
        </w:tabs>
        <w:ind w:left="2976" w:hanging="2550"/>
        <w:jc w:val="both"/>
      </w:pPr>
      <w:r>
        <w:t>Adresa pro doručování:</w:t>
      </w:r>
      <w:r>
        <w:tab/>
        <w:t xml:space="preserve">Národní památkový ústav, územní odborné pracoviště Ostrava, </w:t>
      </w:r>
      <w:r w:rsidRPr="00D563AA">
        <w:t>ul. Odboje 1941/1</w:t>
      </w:r>
      <w:r>
        <w:t xml:space="preserve">, </w:t>
      </w:r>
      <w:r w:rsidRPr="00D563AA">
        <w:t>702 00 Ostrava – Moravská Ostrava</w:t>
      </w:r>
    </w:p>
    <w:p w:rsidR="00C977D9" w:rsidRPr="00DE3367" w:rsidRDefault="00C977D9" w:rsidP="00DE3367">
      <w:pPr>
        <w:tabs>
          <w:tab w:val="num" w:pos="-7938"/>
          <w:tab w:val="left" w:pos="2977"/>
        </w:tabs>
        <w:ind w:left="426"/>
        <w:jc w:val="both"/>
        <w:rPr>
          <w:i/>
        </w:rPr>
      </w:pPr>
      <w:r w:rsidRPr="0018780C">
        <w:t>(dále jen „</w:t>
      </w:r>
      <w:r w:rsidRPr="00A12CB8">
        <w:rPr>
          <w:i/>
        </w:rPr>
        <w:t>NPÚ</w:t>
      </w:r>
      <w:r w:rsidRPr="0018780C">
        <w:t>“</w:t>
      </w:r>
      <w:r>
        <w:t>, nebo „</w:t>
      </w:r>
      <w:r w:rsidRPr="009763C7">
        <w:rPr>
          <w:i/>
        </w:rPr>
        <w:t>společník“)</w:t>
      </w:r>
    </w:p>
    <w:p w:rsidR="00C977D9" w:rsidRDefault="00C977D9" w:rsidP="00C977D9">
      <w:pPr>
        <w:tabs>
          <w:tab w:val="num" w:pos="-7938"/>
          <w:tab w:val="left" w:pos="2977"/>
        </w:tabs>
        <w:ind w:left="426"/>
        <w:jc w:val="both"/>
      </w:pPr>
    </w:p>
    <w:p w:rsidR="001E7519" w:rsidRDefault="00C977D9" w:rsidP="001118C2">
      <w:pPr>
        <w:tabs>
          <w:tab w:val="num" w:pos="-7938"/>
          <w:tab w:val="left" w:pos="2977"/>
        </w:tabs>
        <w:ind w:left="426"/>
        <w:jc w:val="both"/>
      </w:pPr>
      <w:r>
        <w:t>(dále společně jen „společníci“)</w:t>
      </w:r>
    </w:p>
    <w:p w:rsidR="001118C2" w:rsidRDefault="001118C2" w:rsidP="00022D32">
      <w:pPr>
        <w:tabs>
          <w:tab w:val="num" w:pos="-7938"/>
          <w:tab w:val="left" w:pos="2977"/>
        </w:tabs>
        <w:jc w:val="both"/>
      </w:pPr>
    </w:p>
    <w:p w:rsidR="001118C2" w:rsidRPr="00DA50CD" w:rsidRDefault="002834BB" w:rsidP="00D40029">
      <w:pPr>
        <w:tabs>
          <w:tab w:val="num" w:pos="-7938"/>
          <w:tab w:val="left" w:pos="2977"/>
        </w:tabs>
        <w:ind w:left="426"/>
      </w:pPr>
      <w:r>
        <w:t>u</w:t>
      </w:r>
      <w:r w:rsidR="001118C2">
        <w:t xml:space="preserve">zavřeli </w:t>
      </w:r>
      <w:r w:rsidR="001625DA">
        <w:t>S</w:t>
      </w:r>
      <w:r w:rsidR="001118C2">
        <w:t>mlouvu o sdružení ve společno</w:t>
      </w:r>
      <w:r w:rsidR="00022D32">
        <w:t xml:space="preserve">sti </w:t>
      </w:r>
      <w:r w:rsidR="00C977D9">
        <w:t>(dále též jen „Smlouva“)</w:t>
      </w:r>
      <w:r w:rsidR="00C977D9" w:rsidRPr="00B54F8F">
        <w:t xml:space="preserve"> </w:t>
      </w:r>
      <w:r w:rsidR="00022D32" w:rsidRPr="00B54F8F">
        <w:t>s náz</w:t>
      </w:r>
      <w:r w:rsidR="000D63F6" w:rsidRPr="00B54F8F">
        <w:t xml:space="preserve">vem </w:t>
      </w:r>
      <w:r w:rsidR="00AC020E" w:rsidRPr="00B54F8F">
        <w:t>„</w:t>
      </w:r>
      <w:proofErr w:type="spellStart"/>
      <w:r w:rsidR="00B54F8F" w:rsidRPr="00B54F8F">
        <w:t>Archaia</w:t>
      </w:r>
      <w:proofErr w:type="spellEnd"/>
      <w:r w:rsidR="00B54F8F" w:rsidRPr="00B54F8F">
        <w:t xml:space="preserve"> - </w:t>
      </w:r>
      <w:proofErr w:type="gramStart"/>
      <w:r w:rsidR="00B54F8F" w:rsidRPr="00B54F8F">
        <w:t>NPÚ  sdružení</w:t>
      </w:r>
      <w:proofErr w:type="gramEnd"/>
      <w:r w:rsidR="00B54F8F" w:rsidRPr="00B54F8F">
        <w:t xml:space="preserve"> pro Předběžný archeologický výzkum RS1 VRT Prosenice – Ostrava-</w:t>
      </w:r>
      <w:proofErr w:type="spellStart"/>
      <w:r w:rsidR="00B54F8F" w:rsidRPr="00B54F8F">
        <w:t>Svinov</w:t>
      </w:r>
      <w:proofErr w:type="spellEnd"/>
      <w:r w:rsidR="00B54F8F" w:rsidRPr="00B54F8F">
        <w:t xml:space="preserve"> II. část</w:t>
      </w:r>
      <w:r w:rsidR="000D63F6" w:rsidRPr="000D63F6">
        <w:t>“</w:t>
      </w:r>
      <w:r w:rsidR="00C977D9" w:rsidRPr="00DA50CD">
        <w:t xml:space="preserve"> (dále též jen Společnost“)</w:t>
      </w:r>
      <w:r w:rsidR="001118C2" w:rsidRPr="00DA50CD">
        <w:t xml:space="preserve">, </w:t>
      </w:r>
      <w:r w:rsidR="00416D8F" w:rsidRPr="00DA50CD">
        <w:t>za účelem</w:t>
      </w:r>
    </w:p>
    <w:p w:rsidR="00D40029" w:rsidRPr="00DA50CD" w:rsidRDefault="00D40029" w:rsidP="00D40029">
      <w:pPr>
        <w:tabs>
          <w:tab w:val="num" w:pos="-7938"/>
          <w:tab w:val="left" w:pos="2977"/>
        </w:tabs>
        <w:ind w:left="426"/>
      </w:pPr>
    </w:p>
    <w:p w:rsidR="00416D8F" w:rsidRPr="00D93750" w:rsidRDefault="00416D8F" w:rsidP="00D93750">
      <w:pPr>
        <w:ind w:left="426" w:hanging="426"/>
        <w:jc w:val="center"/>
        <w:rPr>
          <w:b/>
          <w:bCs/>
          <w:caps/>
        </w:rPr>
      </w:pPr>
      <w:r w:rsidRPr="00DA50CD">
        <w:rPr>
          <w:b/>
        </w:rPr>
        <w:t xml:space="preserve">vypracování a předložení společné nabídky </w:t>
      </w:r>
      <w:r w:rsidR="00C92E8C">
        <w:rPr>
          <w:b/>
        </w:rPr>
        <w:t>k </w:t>
      </w:r>
      <w:r w:rsidR="00093991">
        <w:rPr>
          <w:b/>
        </w:rPr>
        <w:t>Z</w:t>
      </w:r>
      <w:r w:rsidR="00C92E8C">
        <w:rPr>
          <w:b/>
        </w:rPr>
        <w:t xml:space="preserve">akázce </w:t>
      </w:r>
      <w:r w:rsidR="00D93750">
        <w:t>„</w:t>
      </w:r>
      <w:r w:rsidR="00D93750">
        <w:rPr>
          <w:b/>
          <w:bCs/>
        </w:rPr>
        <w:t>RS1 VRT Prosenice – Ostrava-</w:t>
      </w:r>
      <w:proofErr w:type="spellStart"/>
      <w:r w:rsidR="00D93750">
        <w:rPr>
          <w:b/>
          <w:bCs/>
        </w:rPr>
        <w:t>Svinov</w:t>
      </w:r>
      <w:proofErr w:type="spellEnd"/>
      <w:r w:rsidR="00D93750">
        <w:rPr>
          <w:b/>
          <w:bCs/>
        </w:rPr>
        <w:t xml:space="preserve">, II. část, Hranice na Moravě </w:t>
      </w:r>
      <w:proofErr w:type="spellStart"/>
      <w:r w:rsidR="00D93750">
        <w:rPr>
          <w:b/>
          <w:bCs/>
        </w:rPr>
        <w:t>Ostrava_Svinov</w:t>
      </w:r>
      <w:proofErr w:type="spellEnd"/>
      <w:r w:rsidR="00D93750">
        <w:rPr>
          <w:b/>
          <w:bCs/>
        </w:rPr>
        <w:t>; Předběžný archeologický výzkum“</w:t>
      </w:r>
      <w:r w:rsidR="00101AFD" w:rsidRPr="00D93750">
        <w:rPr>
          <w:b/>
        </w:rPr>
        <w:t>,</w:t>
      </w:r>
      <w:r w:rsidR="00C977D9" w:rsidRPr="00D93750">
        <w:rPr>
          <w:rFonts w:ascii="Carlito-Bold" w:hAnsi="Carlito-Bold" w:cs="Carlito-Bold"/>
          <w:b/>
          <w:bCs/>
          <w:color w:val="000000"/>
        </w:rPr>
        <w:t xml:space="preserve"> </w:t>
      </w:r>
      <w:r w:rsidR="000D63F6" w:rsidRPr="00D93750">
        <w:rPr>
          <w:b/>
          <w:bCs/>
          <w:color w:val="000000"/>
        </w:rPr>
        <w:t>a realizaci</w:t>
      </w:r>
      <w:r w:rsidR="00C977D9" w:rsidRPr="00D93750">
        <w:rPr>
          <w:b/>
          <w:bCs/>
          <w:color w:val="000000"/>
        </w:rPr>
        <w:t xml:space="preserve"> této Zakázky</w:t>
      </w:r>
      <w:r w:rsidR="000E2776" w:rsidRPr="00D93750">
        <w:rPr>
          <w:b/>
          <w:bCs/>
          <w:color w:val="000000"/>
        </w:rPr>
        <w:t xml:space="preserve"> </w:t>
      </w:r>
      <w:r w:rsidR="00DA50CD" w:rsidRPr="00D93750">
        <w:rPr>
          <w:b/>
          <w:bCs/>
          <w:color w:val="000000"/>
        </w:rPr>
        <w:br/>
      </w:r>
      <w:r w:rsidR="00A61D84" w:rsidRPr="00D93750">
        <w:rPr>
          <w:bCs/>
          <w:color w:val="000000"/>
        </w:rPr>
        <w:t xml:space="preserve">zadavatele </w:t>
      </w:r>
      <w:r w:rsidR="001F3A37" w:rsidRPr="001F3A37">
        <w:t>Správa železnic, státní organizace,</w:t>
      </w:r>
      <w:r w:rsidR="001F3A37" w:rsidRPr="00CB0A27">
        <w:t xml:space="preserve"> se sídlem </w:t>
      </w:r>
      <w:r w:rsidR="001F3A37">
        <w:t xml:space="preserve">Dlážděná 1003/7, </w:t>
      </w:r>
      <w:r w:rsidR="001F3A37" w:rsidRPr="00CB0A27">
        <w:t>1</w:t>
      </w:r>
      <w:r w:rsidR="001F3A37">
        <w:t>10 </w:t>
      </w:r>
      <w:r w:rsidR="001F3A37" w:rsidRPr="00CB0A27">
        <w:t>00</w:t>
      </w:r>
      <w:r w:rsidR="001F3A37">
        <w:t> Praha</w:t>
      </w:r>
      <w:r w:rsidR="001F3A37" w:rsidRPr="00CB0A27">
        <w:t>, IČ</w:t>
      </w:r>
      <w:r w:rsidR="001F3A37">
        <w:t>O</w:t>
      </w:r>
      <w:r w:rsidR="001F3A37" w:rsidRPr="00CB0A27">
        <w:t xml:space="preserve">: </w:t>
      </w:r>
      <w:r w:rsidR="001F3A37">
        <w:t>709 942 34</w:t>
      </w:r>
    </w:p>
    <w:p w:rsidR="002D5A80" w:rsidRDefault="002D5A80" w:rsidP="00416D8F">
      <w:pPr>
        <w:tabs>
          <w:tab w:val="num" w:pos="-7938"/>
          <w:tab w:val="left" w:pos="2977"/>
        </w:tabs>
        <w:jc w:val="both"/>
      </w:pPr>
    </w:p>
    <w:p w:rsidR="00416D8F" w:rsidRDefault="00416D8F" w:rsidP="00416D8F">
      <w:pPr>
        <w:tabs>
          <w:tab w:val="num" w:pos="-7938"/>
          <w:tab w:val="left" w:pos="2977"/>
        </w:tabs>
        <w:jc w:val="both"/>
      </w:pPr>
      <w:r>
        <w:t xml:space="preserve">Předmětem těchto </w:t>
      </w:r>
      <w:r w:rsidR="00C977D9">
        <w:t>s</w:t>
      </w:r>
      <w:r>
        <w:t>ta</w:t>
      </w:r>
      <w:r w:rsidR="00225C92">
        <w:t>nov je</w:t>
      </w:r>
      <w:r>
        <w:t xml:space="preserve"> </w:t>
      </w:r>
      <w:r w:rsidR="008D0E98">
        <w:t xml:space="preserve">úprava </w:t>
      </w:r>
      <w:r>
        <w:t>vztahů</w:t>
      </w:r>
      <w:r w:rsidR="00225C92">
        <w:t xml:space="preserve"> mezi</w:t>
      </w:r>
      <w:r>
        <w:t xml:space="preserve"> spo</w:t>
      </w:r>
      <w:r w:rsidR="00225C92">
        <w:t>lečníky</w:t>
      </w:r>
      <w:r>
        <w:t>,</w:t>
      </w:r>
      <w:r w:rsidR="0020233B">
        <w:t xml:space="preserve"> zejména</w:t>
      </w:r>
      <w:r>
        <w:t xml:space="preserve"> ve smyslu ustanovení </w:t>
      </w:r>
      <w:r w:rsidR="00D250FF">
        <w:t>Čl. IV bod 11</w:t>
      </w:r>
      <w:r w:rsidR="00225C92">
        <w:t xml:space="preserve"> a </w:t>
      </w:r>
      <w:r>
        <w:t>Čl. VII Smlouvy.</w:t>
      </w:r>
    </w:p>
    <w:p w:rsidR="00416D8F" w:rsidRDefault="00416D8F" w:rsidP="00416D8F">
      <w:pPr>
        <w:tabs>
          <w:tab w:val="num" w:pos="-7938"/>
          <w:tab w:val="left" w:pos="2977"/>
        </w:tabs>
        <w:jc w:val="both"/>
      </w:pPr>
    </w:p>
    <w:p w:rsidR="0081179B" w:rsidRDefault="003A3452" w:rsidP="00770820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 xml:space="preserve">Společnost nemá </w:t>
      </w:r>
      <w:r w:rsidR="00521E6D">
        <w:t xml:space="preserve">žádný hmotný </w:t>
      </w:r>
      <w:r w:rsidR="009F3CF5">
        <w:t xml:space="preserve">ani nehmotný </w:t>
      </w:r>
      <w:r w:rsidR="00521E6D">
        <w:t>majetek</w:t>
      </w:r>
      <w:r>
        <w:t>.</w:t>
      </w:r>
      <w:r w:rsidR="00136439">
        <w:t xml:space="preserve"> Společníci nevkládají do společnosti žádný majetek, ani finanční prostředky.</w:t>
      </w:r>
      <w:r w:rsidR="00521E6D">
        <w:t xml:space="preserve"> Společnost nemá vlastní bankovní účet, ani pokladnu.</w:t>
      </w:r>
    </w:p>
    <w:p w:rsidR="00136439" w:rsidRDefault="00136439" w:rsidP="00416D8F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Společníci účtují o nákladech a výnosech vzniklých společnou činností, jež je předmětem činnosti sdružení, samostatně. Společníci jsou pov</w:t>
      </w:r>
      <w:r w:rsidR="003E2642">
        <w:t xml:space="preserve">inni ve svém účetnictví </w:t>
      </w:r>
      <w:r w:rsidR="003E2642">
        <w:lastRenderedPageBreak/>
        <w:t>vést evidenci</w:t>
      </w:r>
      <w:r>
        <w:t xml:space="preserve"> odděleně (např. formou čísla zakázky, nebo jakýmkoli jiným identifikátorem)</w:t>
      </w:r>
      <w:r w:rsidR="004223CA">
        <w:t>.</w:t>
      </w:r>
    </w:p>
    <w:p w:rsidR="004D7475" w:rsidRDefault="004D7475" w:rsidP="00416D8F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Ve vztahu k DPH působí každý společník samostatně v souladu s obecnými principy DPH. Každý ze společníků musí fakturovat zvlášť a samostatně si plnit povinnosti vůči finanční správě.</w:t>
      </w:r>
    </w:p>
    <w:p w:rsidR="007C1A5F" w:rsidRPr="00671874" w:rsidRDefault="0069253C" w:rsidP="00671874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 xml:space="preserve">Na </w:t>
      </w:r>
      <w:r w:rsidR="00CF2A3F">
        <w:t xml:space="preserve">realizaci </w:t>
      </w:r>
      <w:r w:rsidR="009C4634">
        <w:t>Zakázky</w:t>
      </w:r>
      <w:r w:rsidRPr="00E526DB">
        <w:rPr>
          <w:b/>
        </w:rPr>
        <w:t xml:space="preserve"> </w:t>
      </w:r>
      <w:r w:rsidR="007B078F">
        <w:t>se budo</w:t>
      </w:r>
      <w:r w:rsidR="00671874">
        <w:t xml:space="preserve">u společníci podílet v součinnosti a </w:t>
      </w:r>
      <w:r w:rsidR="00671874">
        <w:rPr>
          <w:rFonts w:eastAsia="Times New Roman"/>
        </w:rPr>
        <w:t>r</w:t>
      </w:r>
      <w:r w:rsidR="007C1A5F" w:rsidRPr="00671874">
        <w:rPr>
          <w:rFonts w:eastAsia="Times New Roman"/>
        </w:rPr>
        <w:t>ozložení prac</w:t>
      </w:r>
      <w:r w:rsidR="00954E26" w:rsidRPr="00671874">
        <w:rPr>
          <w:rFonts w:eastAsia="Times New Roman"/>
        </w:rPr>
        <w:t>í se může měnit podle okolností</w:t>
      </w:r>
      <w:r w:rsidR="00671874">
        <w:rPr>
          <w:rFonts w:eastAsia="Times New Roman"/>
        </w:rPr>
        <w:t xml:space="preserve">, které vyvstanou při realizaci </w:t>
      </w:r>
      <w:r w:rsidR="00B74FF8">
        <w:rPr>
          <w:rFonts w:eastAsia="Times New Roman"/>
        </w:rPr>
        <w:t>Z</w:t>
      </w:r>
      <w:bookmarkStart w:id="0" w:name="_GoBack"/>
      <w:bookmarkEnd w:id="0"/>
      <w:r w:rsidR="00FA2241">
        <w:rPr>
          <w:rFonts w:eastAsia="Times New Roman"/>
        </w:rPr>
        <w:t>akázky</w:t>
      </w:r>
      <w:r w:rsidR="00671874">
        <w:rPr>
          <w:rFonts w:eastAsia="Times New Roman"/>
        </w:rPr>
        <w:t>,</w:t>
      </w:r>
      <w:r w:rsidR="007C6087" w:rsidRPr="00671874">
        <w:rPr>
          <w:rFonts w:eastAsia="Times New Roman"/>
        </w:rPr>
        <w:t xml:space="preserve"> s tím, ž</w:t>
      </w:r>
      <w:r w:rsidR="00F30B4A" w:rsidRPr="00671874">
        <w:rPr>
          <w:rFonts w:eastAsia="Times New Roman"/>
        </w:rPr>
        <w:t>e koordinaci prací zajišťuje Archaia</w:t>
      </w:r>
      <w:r w:rsidR="007C6087" w:rsidRPr="00671874">
        <w:rPr>
          <w:rFonts w:eastAsia="Times New Roman"/>
        </w:rPr>
        <w:t>.</w:t>
      </w:r>
    </w:p>
    <w:p w:rsidR="00770820" w:rsidRDefault="00555C31" w:rsidP="00CE2A37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 xml:space="preserve">Náklady související s realizací </w:t>
      </w:r>
      <w:r w:rsidR="00C977D9">
        <w:t xml:space="preserve">Zakázky </w:t>
      </w:r>
      <w:r>
        <w:t>a plněním společníků</w:t>
      </w:r>
      <w:r w:rsidR="00CF2B1F">
        <w:t>,</w:t>
      </w:r>
      <w:r>
        <w:t xml:space="preserve"> v rozsahu dle předchozího bodu</w:t>
      </w:r>
      <w:r w:rsidR="00CF2B1F">
        <w:t>,</w:t>
      </w:r>
      <w:r>
        <w:t xml:space="preserve"> jsou nákladem </w:t>
      </w:r>
      <w:r w:rsidR="00C157EC">
        <w:t>jednotlivých společníků</w:t>
      </w:r>
      <w:r w:rsidR="00A17D9B">
        <w:t>, s tím, že náklady spojené s dodavatelskými službami v rámci výzkumu, budou ze strany NPÚ refakturovány Archai. Jedná se zejména, nikoli však výlučně, o náklady spojené s pronájmem obytných a skladovacích buněk, pronájmem mobilních WC, stavební strojovou přípomocí a náklady na externí analýzy</w:t>
      </w:r>
      <w:r w:rsidR="00D97A1C">
        <w:t>, pokud je</w:t>
      </w:r>
      <w:r w:rsidR="00A17D9B">
        <w:t xml:space="preserve"> bude</w:t>
      </w:r>
      <w:r w:rsidR="00D97A1C">
        <w:t>,</w:t>
      </w:r>
      <w:r w:rsidR="00A17D9B">
        <w:t xml:space="preserve"> v rámci výzkumu</w:t>
      </w:r>
      <w:r w:rsidR="00D97A1C">
        <w:t>,</w:t>
      </w:r>
      <w:r w:rsidR="00A17D9B">
        <w:t xml:space="preserve"> zajišťovat NPÚ. </w:t>
      </w:r>
    </w:p>
    <w:p w:rsidR="00A72889" w:rsidRDefault="008D0E98" w:rsidP="008D0E98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 xml:space="preserve">Ve vztahu ke </w:t>
      </w:r>
      <w:r w:rsidR="00A26003">
        <w:t xml:space="preserve">svým </w:t>
      </w:r>
      <w:r w:rsidR="00FA325F">
        <w:t>podd</w:t>
      </w:r>
      <w:r w:rsidR="00A26003">
        <w:t>odavatelům, vystupuje každý společník samostatně. Žádný ze spol</w:t>
      </w:r>
      <w:r w:rsidR="005330E1">
        <w:t>ečníků neručí za závazky jiného</w:t>
      </w:r>
      <w:r w:rsidR="00A26003">
        <w:t xml:space="preserve"> společníka ve vztahu k jeho </w:t>
      </w:r>
      <w:r w:rsidR="00FA325F">
        <w:t>pod</w:t>
      </w:r>
      <w:r w:rsidR="00A26003">
        <w:t>dodavatelům</w:t>
      </w:r>
      <w:r>
        <w:t>.</w:t>
      </w:r>
    </w:p>
    <w:p w:rsidR="00BF11D3" w:rsidRDefault="006D6DC3" w:rsidP="00BF11D3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V</w:t>
      </w:r>
      <w:r w:rsidR="00A72889">
        <w:t xml:space="preserve">ůči zadavateli </w:t>
      </w:r>
      <w:r>
        <w:t xml:space="preserve">bude </w:t>
      </w:r>
      <w:r w:rsidR="00F30B4A">
        <w:t>fakturovat Archaia</w:t>
      </w:r>
      <w:r w:rsidR="00A72889">
        <w:t xml:space="preserve"> a podíl přísluše</w:t>
      </w:r>
      <w:r w:rsidR="00954E26">
        <w:t>jící druhému společníkovi bude</w:t>
      </w:r>
      <w:r w:rsidR="00F53E5D">
        <w:t xml:space="preserve"> ze strany Archai</w:t>
      </w:r>
      <w:r w:rsidR="00A72889">
        <w:t xml:space="preserve"> vyúčtován na základě faktur vystavených</w:t>
      </w:r>
      <w:r w:rsidR="00954E26">
        <w:t xml:space="preserve"> společníkem</w:t>
      </w:r>
      <w:r w:rsidR="00F53E5D">
        <w:t xml:space="preserve">  Archai</w:t>
      </w:r>
      <w:r w:rsidR="00A72889">
        <w:t>. Tyto faktury mohou být vystaveny pouze v rozsahu, který byl</w:t>
      </w:r>
      <w:r w:rsidR="009F3CF5">
        <w:t>/bude</w:t>
      </w:r>
      <w:r w:rsidR="00F30B4A">
        <w:t xml:space="preserve"> ze strany Archai</w:t>
      </w:r>
      <w:r w:rsidR="009F3CF5">
        <w:t xml:space="preserve"> fakturován zadavateli, a se splatností</w:t>
      </w:r>
      <w:r w:rsidR="00A72889">
        <w:t xml:space="preserve"> až po připsá</w:t>
      </w:r>
      <w:r w:rsidR="00C237FB">
        <w:t>ní příslušné platby na účet</w:t>
      </w:r>
      <w:r w:rsidR="008A4AAB">
        <w:t xml:space="preserve"> Archai</w:t>
      </w:r>
      <w:r w:rsidR="00C237FB">
        <w:t xml:space="preserve">. </w:t>
      </w:r>
      <w:r w:rsidR="00DB7E51">
        <w:t xml:space="preserve"> Veškeré faktury musí obsahovat zákonem dané náležitosti.</w:t>
      </w:r>
      <w:r w:rsidR="00C237FB">
        <w:t xml:space="preserve"> </w:t>
      </w:r>
      <w:r w:rsidR="00F30B4A">
        <w:t>Úhrada faktury ze strany Archai</w:t>
      </w:r>
      <w:r w:rsidR="00954E26">
        <w:t xml:space="preserve"> bude společníkovi provedena až po připsá</w:t>
      </w:r>
      <w:r w:rsidR="00F30B4A">
        <w:t>ní platby zadavatele na účet Archai, s čímž NPÚ</w:t>
      </w:r>
      <w:r w:rsidR="00954E26">
        <w:t xml:space="preserve"> výslovně souhlasí.</w:t>
      </w:r>
      <w:r w:rsidR="00892444">
        <w:t xml:space="preserve"> Pro datum splatnosti uvedené na vystavené faktuře společníci sjednávají</w:t>
      </w:r>
      <w:r w:rsidR="002A72FB">
        <w:t xml:space="preserve"> lhůtu 40 kalendářních dnů od data </w:t>
      </w:r>
      <w:r w:rsidR="00E61057">
        <w:t xml:space="preserve">jejího </w:t>
      </w:r>
      <w:r w:rsidR="002A72FB">
        <w:t>vystavení</w:t>
      </w:r>
      <w:r w:rsidR="00441B60">
        <w:t xml:space="preserve">. </w:t>
      </w:r>
      <w:r w:rsidR="008A4AAB">
        <w:t>Úhrada po termínu splatnosti, provedená z důvodu opožděné platby ze strany zadavatele, nebude sankcionována.</w:t>
      </w:r>
    </w:p>
    <w:p w:rsidR="001E07F3" w:rsidRDefault="001E07F3" w:rsidP="00BF11D3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Podklady k </w:t>
      </w:r>
      <w:r w:rsidR="00F30B4A">
        <w:t xml:space="preserve">fakturacím vůči zadavateli bude </w:t>
      </w:r>
      <w:r w:rsidR="00FA325F">
        <w:t>NPÚ</w:t>
      </w:r>
      <w:r>
        <w:t xml:space="preserve"> zasílat</w:t>
      </w:r>
      <w:r w:rsidR="00F30B4A">
        <w:t xml:space="preserve"> </w:t>
      </w:r>
      <w:proofErr w:type="spellStart"/>
      <w:r w:rsidR="00F30B4A">
        <w:t>Archai</w:t>
      </w:r>
      <w:proofErr w:type="spellEnd"/>
      <w:r>
        <w:t xml:space="preserve"> v </w:t>
      </w:r>
      <w:r w:rsidR="00BB4A2B">
        <w:t xml:space="preserve">intervalech, </w:t>
      </w:r>
      <w:r w:rsidR="000759E6">
        <w:t>určených smlouvou se zadavatelem.</w:t>
      </w:r>
    </w:p>
    <w:p w:rsidR="003F0DD8" w:rsidRDefault="003F0DD8" w:rsidP="00BF11D3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Ve f</w:t>
      </w:r>
      <w:r w:rsidR="00F30B4A">
        <w:t>akturacích mezi Archaiou a NPÚ</w:t>
      </w:r>
      <w:r>
        <w:t xml:space="preserve">, za práci vykonanou v přímém plnění zakázky, budou vždy použity stejné jednotkové/hodinové sazby jako mezi </w:t>
      </w:r>
      <w:r w:rsidR="00FA325F">
        <w:t xml:space="preserve">zadavatelem </w:t>
      </w:r>
      <w:r w:rsidR="00F30B4A">
        <w:t>a Archaiou</w:t>
      </w:r>
      <w:r w:rsidR="00A17D9B">
        <w:t xml:space="preserve">. Služby, dle bodu 5 Stanov, budou refakturovány ve výši fakturace subdodavatelů, tzn. bez </w:t>
      </w:r>
      <w:r w:rsidR="001C44A9">
        <w:t xml:space="preserve">navýšení, a </w:t>
      </w:r>
      <w:r w:rsidR="006E172B">
        <w:t>s doložením kopie subdodavatelské faktury.</w:t>
      </w:r>
      <w:r>
        <w:t xml:space="preserve"> </w:t>
      </w:r>
    </w:p>
    <w:p w:rsidR="00BF11D3" w:rsidRDefault="00BF11D3" w:rsidP="00BF11D3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Faktu</w:t>
      </w:r>
      <w:r w:rsidR="0006281D">
        <w:t xml:space="preserve">race </w:t>
      </w:r>
      <w:r w:rsidR="00AA6CD6">
        <w:t xml:space="preserve">společníka </w:t>
      </w:r>
      <w:r w:rsidR="00F30B4A">
        <w:t>vůči Archai</w:t>
      </w:r>
      <w:r w:rsidR="00431754">
        <w:t>,</w:t>
      </w:r>
      <w:r w:rsidR="001B0235">
        <w:t xml:space="preserve"> je </w:t>
      </w:r>
      <w:r>
        <w:t xml:space="preserve">vždy podmíněna písemným odsouhlasením provedených prací ze strany vedoucího </w:t>
      </w:r>
      <w:r w:rsidR="00F30B4A">
        <w:t>archeologického týmu za Archaiu</w:t>
      </w:r>
      <w:r>
        <w:t>.</w:t>
      </w:r>
    </w:p>
    <w:p w:rsidR="00FC3604" w:rsidRDefault="001E07F3" w:rsidP="00D97A1C">
      <w:pPr>
        <w:pStyle w:val="Odstavecseseznamem"/>
        <w:numPr>
          <w:ilvl w:val="0"/>
          <w:numId w:val="3"/>
        </w:numPr>
        <w:tabs>
          <w:tab w:val="num" w:pos="-7938"/>
          <w:tab w:val="left" w:pos="2977"/>
        </w:tabs>
        <w:jc w:val="both"/>
      </w:pPr>
      <w:r>
        <w:t>Za správu společnosti, tj. administrativní činnosti ve prospěch všech společníků, bude</w:t>
      </w:r>
      <w:r w:rsidR="004850BD">
        <w:t xml:space="preserve"> po dobu trvání </w:t>
      </w:r>
      <w:r w:rsidR="00FA325F">
        <w:t>S</w:t>
      </w:r>
      <w:r w:rsidR="004850BD">
        <w:t>polečnosti,</w:t>
      </w:r>
      <w:r w:rsidR="006B3DF6">
        <w:t xml:space="preserve"> </w:t>
      </w:r>
      <w:proofErr w:type="spellStart"/>
      <w:r w:rsidR="006B3DF6">
        <w:t>Archaia</w:t>
      </w:r>
      <w:proofErr w:type="spellEnd"/>
      <w:r w:rsidR="0006281D">
        <w:t xml:space="preserve"> fakturovat společníkovi</w:t>
      </w:r>
      <w:r>
        <w:t xml:space="preserve"> paušální</w:t>
      </w:r>
      <w:r w:rsidR="00DD6D10">
        <w:t xml:space="preserve"> </w:t>
      </w:r>
      <w:r>
        <w:t xml:space="preserve">poplatek, který bude vypočten jako </w:t>
      </w:r>
      <w:r w:rsidRPr="007C6087">
        <w:t xml:space="preserve">součin </w:t>
      </w:r>
      <w:r w:rsidR="0029615C" w:rsidRPr="0029615C">
        <w:t>2</w:t>
      </w:r>
      <w:r w:rsidR="0006281D" w:rsidRPr="0029615C">
        <w:t>0</w:t>
      </w:r>
      <w:r w:rsidR="004850BD" w:rsidRPr="0029615C">
        <w:t xml:space="preserve"> Kč</w:t>
      </w:r>
      <w:r w:rsidR="004850BD" w:rsidRPr="007C6087">
        <w:t xml:space="preserve"> </w:t>
      </w:r>
      <w:r w:rsidR="004850BD">
        <w:t xml:space="preserve">a </w:t>
      </w:r>
      <w:r>
        <w:t>počtu hodin společníkem fakturovaný</w:t>
      </w:r>
      <w:r w:rsidR="004850BD">
        <w:t xml:space="preserve">ch za práci na </w:t>
      </w:r>
      <w:r w:rsidR="00B74FF8">
        <w:t>Z</w:t>
      </w:r>
      <w:r w:rsidR="00DD6D10">
        <w:t>akázce</w:t>
      </w:r>
      <w:r w:rsidR="004850BD">
        <w:t xml:space="preserve">. K vypočtenému paušálu bude připočtena DPH v zákonné výši. </w:t>
      </w:r>
      <w:r w:rsidR="002834BB">
        <w:t>Ustanovení v těchto stanovách neuvedené se řídí Smlouvou a obecně závaznými právními předpisy.</w:t>
      </w:r>
    </w:p>
    <w:p w:rsidR="00D97A1C" w:rsidRDefault="00D97A1C"/>
    <w:p w:rsidR="0006281D" w:rsidRDefault="00BB4A2B">
      <w:r>
        <w:t>V Ostravě,</w:t>
      </w:r>
      <w:r w:rsidR="0006281D">
        <w:t xml:space="preserve"> dne</w:t>
      </w:r>
      <w:r w:rsidR="007D6B18">
        <w:t xml:space="preserve"> </w:t>
      </w:r>
    </w:p>
    <w:p w:rsidR="00A50325" w:rsidRDefault="0006281D">
      <w:r>
        <w:t xml:space="preserve"> </w:t>
      </w:r>
      <w:r w:rsidR="00A50325">
        <w:br/>
      </w:r>
    </w:p>
    <w:p w:rsidR="00D97A1C" w:rsidRDefault="00D97A1C"/>
    <w:p w:rsidR="00D97A1C" w:rsidRDefault="00D97A1C"/>
    <w:p w:rsidR="0006281D" w:rsidRPr="00CB0A27" w:rsidRDefault="0006281D" w:rsidP="0006281D">
      <w:pPr>
        <w:keepNext/>
        <w:tabs>
          <w:tab w:val="left" w:pos="0"/>
        </w:tabs>
        <w:jc w:val="both"/>
      </w:pPr>
      <w:r w:rsidRPr="00CB0A27">
        <w:t>…………………………….</w:t>
      </w:r>
      <w:r>
        <w:t xml:space="preserve">                                      </w:t>
      </w:r>
      <w:r w:rsidRPr="00CB0A27">
        <w:t>…………………………….</w:t>
      </w:r>
    </w:p>
    <w:p w:rsidR="0006281D" w:rsidRPr="00CB0A27" w:rsidRDefault="0006281D" w:rsidP="0006281D">
      <w:pPr>
        <w:keepNext/>
        <w:tabs>
          <w:tab w:val="left" w:pos="0"/>
        </w:tabs>
        <w:jc w:val="both"/>
      </w:pPr>
      <w:r>
        <w:t>Mgr. Michal Zezula, Ph.D.                                           Mgr. Marek Peška, Ph.D.</w:t>
      </w:r>
    </w:p>
    <w:p w:rsidR="004A139F" w:rsidRDefault="0006281D" w:rsidP="00D97A1C">
      <w:pPr>
        <w:keepNext/>
        <w:tabs>
          <w:tab w:val="left" w:pos="0"/>
        </w:tabs>
        <w:jc w:val="both"/>
      </w:pPr>
      <w:r>
        <w:t xml:space="preserve">ředitel NPÚ, ÚOP v Ostravě                                           </w:t>
      </w:r>
      <w:r w:rsidRPr="00565565">
        <w:t>ředitel Archaia Brno</w:t>
      </w:r>
    </w:p>
    <w:sectPr w:rsidR="004A139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032" w:rsidRDefault="00520032" w:rsidP="00173395">
      <w:r>
        <w:separator/>
      </w:r>
    </w:p>
  </w:endnote>
  <w:endnote w:type="continuationSeparator" w:id="0">
    <w:p w:rsidR="00520032" w:rsidRDefault="00520032" w:rsidP="001733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rlito-Bold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032" w:rsidRDefault="00520032" w:rsidP="00173395">
      <w:r>
        <w:separator/>
      </w:r>
    </w:p>
  </w:footnote>
  <w:footnote w:type="continuationSeparator" w:id="0">
    <w:p w:rsidR="00520032" w:rsidRDefault="00520032" w:rsidP="001733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73395" w:rsidRDefault="00173395" w:rsidP="00173395">
    <w:pPr>
      <w:jc w:val="center"/>
      <w:rPr>
        <w:b/>
        <w:bCs/>
        <w:caps/>
        <w:color w:val="808080"/>
        <w:sz w:val="16"/>
      </w:rPr>
    </w:pPr>
    <w:r w:rsidRPr="00A44639">
      <w:rPr>
        <w:color w:val="808080"/>
        <w:sz w:val="16"/>
      </w:rPr>
      <w:t>„</w:t>
    </w:r>
    <w:r>
      <w:rPr>
        <w:b/>
        <w:bCs/>
        <w:color w:val="808080"/>
        <w:sz w:val="16"/>
      </w:rPr>
      <w:t>RS1 VRT Prosenice – Ostrava-</w:t>
    </w:r>
    <w:proofErr w:type="spellStart"/>
    <w:r>
      <w:rPr>
        <w:b/>
        <w:bCs/>
        <w:color w:val="808080"/>
        <w:sz w:val="16"/>
      </w:rPr>
      <w:t>Svinov</w:t>
    </w:r>
    <w:proofErr w:type="spellEnd"/>
    <w:r>
      <w:rPr>
        <w:b/>
        <w:bCs/>
        <w:color w:val="808080"/>
        <w:sz w:val="16"/>
      </w:rPr>
      <w:t xml:space="preserve">, </w:t>
    </w:r>
    <w:proofErr w:type="spellStart"/>
    <w:proofErr w:type="gramStart"/>
    <w:r>
      <w:rPr>
        <w:b/>
        <w:bCs/>
        <w:color w:val="808080"/>
        <w:sz w:val="16"/>
      </w:rPr>
      <w:t>II.část</w:t>
    </w:r>
    <w:proofErr w:type="spellEnd"/>
    <w:proofErr w:type="gramEnd"/>
    <w:r>
      <w:rPr>
        <w:b/>
        <w:bCs/>
        <w:color w:val="808080"/>
        <w:sz w:val="16"/>
      </w:rPr>
      <w:t>, Hranice na Moravě – Ostrava-</w:t>
    </w:r>
    <w:proofErr w:type="spellStart"/>
    <w:r>
      <w:rPr>
        <w:b/>
        <w:bCs/>
        <w:color w:val="808080"/>
        <w:sz w:val="16"/>
      </w:rPr>
      <w:t>Svinov</w:t>
    </w:r>
    <w:proofErr w:type="spellEnd"/>
    <w:r>
      <w:rPr>
        <w:b/>
        <w:bCs/>
        <w:color w:val="808080"/>
        <w:sz w:val="16"/>
      </w:rPr>
      <w:t>; Předběžný archeologický výzkum</w:t>
    </w:r>
    <w:r w:rsidRPr="00A44639">
      <w:rPr>
        <w:b/>
        <w:bCs/>
        <w:color w:val="808080"/>
        <w:sz w:val="16"/>
      </w:rPr>
      <w:t>“</w:t>
    </w:r>
  </w:p>
  <w:p w:rsidR="00173395" w:rsidRDefault="00173395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481B9A"/>
    <w:multiLevelType w:val="singleLevel"/>
    <w:tmpl w:val="E7706304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  <w:b w:val="0"/>
      </w:rPr>
    </w:lvl>
  </w:abstractNum>
  <w:abstractNum w:abstractNumId="1" w15:restartNumberingAfterBreak="0">
    <w:nsid w:val="0EEF1DDC"/>
    <w:multiLevelType w:val="hybridMultilevel"/>
    <w:tmpl w:val="36B6748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0D54CBA"/>
    <w:multiLevelType w:val="hybridMultilevel"/>
    <w:tmpl w:val="651EBAB4"/>
    <w:lvl w:ilvl="0" w:tplc="B16E3E46">
      <w:numFmt w:val="bullet"/>
      <w:lvlText w:val="-"/>
      <w:lvlJc w:val="left"/>
      <w:pPr>
        <w:ind w:left="786" w:hanging="360"/>
      </w:pPr>
      <w:rPr>
        <w:rFonts w:ascii="Times New Roman" w:eastAsia="Calibr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61E00861"/>
    <w:multiLevelType w:val="hybridMultilevel"/>
    <w:tmpl w:val="62443412"/>
    <w:lvl w:ilvl="0" w:tplc="0405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6C635B01"/>
    <w:multiLevelType w:val="hybridMultilevel"/>
    <w:tmpl w:val="0BEA8458"/>
    <w:lvl w:ilvl="0" w:tplc="0405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604"/>
    <w:rsid w:val="00020260"/>
    <w:rsid w:val="00022D32"/>
    <w:rsid w:val="000627D6"/>
    <w:rsid w:val="0006281D"/>
    <w:rsid w:val="000759E6"/>
    <w:rsid w:val="00093991"/>
    <w:rsid w:val="000D63F6"/>
    <w:rsid w:val="000E2776"/>
    <w:rsid w:val="00101AFD"/>
    <w:rsid w:val="001118C2"/>
    <w:rsid w:val="00136439"/>
    <w:rsid w:val="001625DA"/>
    <w:rsid w:val="00164898"/>
    <w:rsid w:val="00173395"/>
    <w:rsid w:val="001B0235"/>
    <w:rsid w:val="001C44A9"/>
    <w:rsid w:val="001C7A78"/>
    <w:rsid w:val="001E07F3"/>
    <w:rsid w:val="001E7519"/>
    <w:rsid w:val="001F3A37"/>
    <w:rsid w:val="0020233B"/>
    <w:rsid w:val="00225C92"/>
    <w:rsid w:val="00250FFA"/>
    <w:rsid w:val="002834BB"/>
    <w:rsid w:val="0029615C"/>
    <w:rsid w:val="002A0B55"/>
    <w:rsid w:val="002A72FB"/>
    <w:rsid w:val="002D5A80"/>
    <w:rsid w:val="002F182C"/>
    <w:rsid w:val="00363417"/>
    <w:rsid w:val="003A3452"/>
    <w:rsid w:val="003A6424"/>
    <w:rsid w:val="003D5BDF"/>
    <w:rsid w:val="003E2642"/>
    <w:rsid w:val="003F0DD8"/>
    <w:rsid w:val="00410831"/>
    <w:rsid w:val="00416D8F"/>
    <w:rsid w:val="004223CA"/>
    <w:rsid w:val="00431754"/>
    <w:rsid w:val="00441B60"/>
    <w:rsid w:val="00461255"/>
    <w:rsid w:val="004850BD"/>
    <w:rsid w:val="004A139F"/>
    <w:rsid w:val="004D7475"/>
    <w:rsid w:val="00520032"/>
    <w:rsid w:val="00521E6D"/>
    <w:rsid w:val="005330E1"/>
    <w:rsid w:val="00552E30"/>
    <w:rsid w:val="00555C31"/>
    <w:rsid w:val="005D09FE"/>
    <w:rsid w:val="005F7040"/>
    <w:rsid w:val="00645D84"/>
    <w:rsid w:val="00671874"/>
    <w:rsid w:val="0069253C"/>
    <w:rsid w:val="006B123A"/>
    <w:rsid w:val="006B3DF6"/>
    <w:rsid w:val="006D6DC3"/>
    <w:rsid w:val="006E172B"/>
    <w:rsid w:val="006F1961"/>
    <w:rsid w:val="00714067"/>
    <w:rsid w:val="00770820"/>
    <w:rsid w:val="007849F9"/>
    <w:rsid w:val="00791150"/>
    <w:rsid w:val="007943CF"/>
    <w:rsid w:val="007B078F"/>
    <w:rsid w:val="007C1A5F"/>
    <w:rsid w:val="007C6087"/>
    <w:rsid w:val="007D6B18"/>
    <w:rsid w:val="0081179B"/>
    <w:rsid w:val="00847930"/>
    <w:rsid w:val="00892444"/>
    <w:rsid w:val="008A4AAB"/>
    <w:rsid w:val="008D0E98"/>
    <w:rsid w:val="00907CA0"/>
    <w:rsid w:val="00954E26"/>
    <w:rsid w:val="009C4634"/>
    <w:rsid w:val="009F3CF5"/>
    <w:rsid w:val="00A17D9B"/>
    <w:rsid w:val="00A26003"/>
    <w:rsid w:val="00A50325"/>
    <w:rsid w:val="00A61D84"/>
    <w:rsid w:val="00A72889"/>
    <w:rsid w:val="00AA6CD6"/>
    <w:rsid w:val="00AC020E"/>
    <w:rsid w:val="00B20BC3"/>
    <w:rsid w:val="00B2740C"/>
    <w:rsid w:val="00B54F8F"/>
    <w:rsid w:val="00B74FF8"/>
    <w:rsid w:val="00BB4A2B"/>
    <w:rsid w:val="00BC6D9C"/>
    <w:rsid w:val="00BF11D3"/>
    <w:rsid w:val="00C157EC"/>
    <w:rsid w:val="00C237FB"/>
    <w:rsid w:val="00C52ABD"/>
    <w:rsid w:val="00C92E8C"/>
    <w:rsid w:val="00C977D9"/>
    <w:rsid w:val="00CE2A37"/>
    <w:rsid w:val="00CE5C35"/>
    <w:rsid w:val="00CF2A3F"/>
    <w:rsid w:val="00CF2B1F"/>
    <w:rsid w:val="00D250FF"/>
    <w:rsid w:val="00D309E3"/>
    <w:rsid w:val="00D40029"/>
    <w:rsid w:val="00D509B3"/>
    <w:rsid w:val="00D84F2E"/>
    <w:rsid w:val="00D93750"/>
    <w:rsid w:val="00D97A1C"/>
    <w:rsid w:val="00DA50CD"/>
    <w:rsid w:val="00DB7E51"/>
    <w:rsid w:val="00DD6D10"/>
    <w:rsid w:val="00DE3367"/>
    <w:rsid w:val="00E526DB"/>
    <w:rsid w:val="00E61057"/>
    <w:rsid w:val="00E61CAD"/>
    <w:rsid w:val="00F30B4A"/>
    <w:rsid w:val="00F44566"/>
    <w:rsid w:val="00F53E5D"/>
    <w:rsid w:val="00FA2241"/>
    <w:rsid w:val="00FA325F"/>
    <w:rsid w:val="00FC0969"/>
    <w:rsid w:val="00FC3604"/>
    <w:rsid w:val="00FD0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D7549C"/>
  <w15:chartTrackingRefBased/>
  <w15:docId w15:val="{783FA327-A515-44E2-A759-7D6FE24B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118C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16D8F"/>
    <w:pPr>
      <w:ind w:left="720"/>
      <w:contextualSpacing/>
    </w:pPr>
  </w:style>
  <w:style w:type="character" w:customStyle="1" w:styleId="object">
    <w:name w:val="object"/>
    <w:basedOn w:val="Standardnpsmoodstavce"/>
    <w:rsid w:val="007C1A5F"/>
  </w:style>
  <w:style w:type="paragraph" w:styleId="Textbubliny">
    <w:name w:val="Balloon Text"/>
    <w:basedOn w:val="Normln"/>
    <w:link w:val="TextbublinyChar"/>
    <w:uiPriority w:val="99"/>
    <w:semiHidden/>
    <w:unhideWhenUsed/>
    <w:rsid w:val="000E277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E2776"/>
    <w:rPr>
      <w:rFonts w:ascii="Segoe UI" w:eastAsia="Calibri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17339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173395"/>
    <w:rPr>
      <w:rFonts w:ascii="Times New Roman" w:eastAsia="Calibri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17339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73395"/>
    <w:rPr>
      <w:rFonts w:ascii="Times New Roman" w:eastAsia="Calibri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9327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24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99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390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81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771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44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377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39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706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Bosák Pavel</dc:creator>
  <cp:keywords/>
  <dc:description/>
  <cp:lastModifiedBy>Bosák Pavel</cp:lastModifiedBy>
  <cp:revision>20</cp:revision>
  <dcterms:created xsi:type="dcterms:W3CDTF">2025-04-03T07:42:00Z</dcterms:created>
  <dcterms:modified xsi:type="dcterms:W3CDTF">2025-04-03T11:12:00Z</dcterms:modified>
</cp:coreProperties>
</file>