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6EE3" w14:textId="77777777" w:rsidR="008F1B75" w:rsidRDefault="008F1B75" w:rsidP="008F1B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 2</w:t>
      </w:r>
    </w:p>
    <w:p w14:paraId="5340F220" w14:textId="77777777" w:rsidR="008F1B75" w:rsidRDefault="008F1B75" w:rsidP="008F1B75">
      <w:pPr>
        <w:jc w:val="center"/>
        <w:rPr>
          <w:rFonts w:ascii="Arial" w:hAnsi="Arial" w:cs="Arial"/>
          <w:b/>
          <w:sz w:val="28"/>
          <w:szCs w:val="28"/>
        </w:rPr>
      </w:pPr>
      <w:r w:rsidRPr="006A245B">
        <w:rPr>
          <w:rFonts w:ascii="Arial" w:hAnsi="Arial" w:cs="Arial"/>
          <w:b/>
          <w:sz w:val="28"/>
          <w:szCs w:val="28"/>
        </w:rPr>
        <w:t>Všeobecné informace a pokyny v oblasti Bezpečnosti a ochrany zdraví při práci v areálu společnosti Veletrhy Brno, a.</w:t>
      </w:r>
      <w:r>
        <w:rPr>
          <w:rFonts w:ascii="Arial" w:hAnsi="Arial" w:cs="Arial"/>
          <w:b/>
          <w:sz w:val="28"/>
          <w:szCs w:val="28"/>
        </w:rPr>
        <w:t>s.</w:t>
      </w:r>
    </w:p>
    <w:p w14:paraId="7D959288" w14:textId="77777777" w:rsidR="008F1B75" w:rsidRPr="0072321E" w:rsidRDefault="008F1B75" w:rsidP="008F1B75">
      <w:pPr>
        <w:jc w:val="center"/>
        <w:rPr>
          <w:sz w:val="12"/>
        </w:rPr>
      </w:pPr>
    </w:p>
    <w:p w14:paraId="6E237499" w14:textId="77777777" w:rsidR="008F1B75" w:rsidRPr="00B55DCC" w:rsidRDefault="008F1B75" w:rsidP="008F1B75">
      <w:pPr>
        <w:tabs>
          <w:tab w:val="num" w:pos="360"/>
        </w:tabs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noProof/>
          <w:sz w:val="18"/>
        </w:rPr>
        <w:t>V souladu s ustanovením § 101, odst. 3. zákona 262/2006 Sb. Zákoník práce, Vás seznamujeme s </w:t>
      </w:r>
      <w:r w:rsidRPr="00B55DCC">
        <w:rPr>
          <w:rFonts w:ascii="ITC Officina Sans CE" w:hAnsi="ITC Officina Sans CE"/>
          <w:sz w:val="18"/>
        </w:rPr>
        <w:t xml:space="preserve">Všeobecnými informacemi a pokyny v oblasti bezpečnosti a ochrany zdraví při práci a </w:t>
      </w:r>
      <w:r w:rsidRPr="00B55DCC">
        <w:rPr>
          <w:rFonts w:ascii="ITC Officina Sans CE" w:hAnsi="ITC Officina Sans CE"/>
          <w:noProof/>
          <w:sz w:val="18"/>
        </w:rPr>
        <w:t>možnými riziky</w:t>
      </w:r>
      <w:r w:rsidRPr="00B55DCC">
        <w:rPr>
          <w:rFonts w:ascii="ITC Officina Sans CE" w:hAnsi="ITC Officina Sans CE"/>
          <w:sz w:val="18"/>
        </w:rPr>
        <w:t xml:space="preserve"> v areálu společnosti Veletrhy Brno, a.s.</w:t>
      </w:r>
    </w:p>
    <w:p w14:paraId="613D01E6" w14:textId="77777777" w:rsidR="008F1B75" w:rsidRPr="00B55DCC" w:rsidRDefault="008F1B75" w:rsidP="008F1B75">
      <w:pPr>
        <w:tabs>
          <w:tab w:val="num" w:pos="360"/>
        </w:tabs>
        <w:rPr>
          <w:rFonts w:ascii="ITC Officina Sans CE" w:hAnsi="ITC Officina Sans CE"/>
          <w:sz w:val="18"/>
        </w:rPr>
      </w:pPr>
    </w:p>
    <w:p w14:paraId="47A87C11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rFonts w:ascii="ITC Officina Sans CE" w:hAnsi="ITC Officina Sans CE"/>
          <w:sz w:val="18"/>
        </w:rPr>
        <w:sectPr w:rsidR="008F1B75" w:rsidRPr="00B55DCC" w:rsidSect="00C962E8">
          <w:headerReference w:type="default" r:id="rId10"/>
          <w:footerReference w:type="default" r:id="rId11"/>
          <w:pgSz w:w="11906" w:h="16838"/>
          <w:pgMar w:top="568" w:right="566" w:bottom="284" w:left="900" w:header="708" w:footer="448" w:gutter="0"/>
          <w:cols w:space="708"/>
          <w:docGrid w:linePitch="360"/>
        </w:sectPr>
      </w:pPr>
    </w:p>
    <w:p w14:paraId="25AC60EF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Bezpečnost a ochrana zdraví při práci musí být zajišťována ve smyslu Zákona č.262/2006 Sb. Zákoník práce ve znění pozdějších předpisů a Zákona č.309/2006 Sb., kterým se upravují další požadavky bezpečnosti a ochrany zdraví při práci a NV č.101/2005 Sb. o podrobnějších požadavcích na pracoviště a pracovní prostředí.</w:t>
      </w:r>
    </w:p>
    <w:p w14:paraId="610F729C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Při dopravě v areálu je nutné dodržovat Zákon č. 361/2000 Sb. ve znění pozdějších předpisů o provozu na pozemních komunikací společně s </w:t>
      </w:r>
      <w:proofErr w:type="spellStart"/>
      <w:r w:rsidRPr="00B55DCC">
        <w:rPr>
          <w:rFonts w:ascii="ITC Officina Sans CE" w:hAnsi="ITC Officina Sans CE"/>
          <w:sz w:val="18"/>
        </w:rPr>
        <w:t>Vyhl</w:t>
      </w:r>
      <w:proofErr w:type="spellEnd"/>
      <w:r w:rsidRPr="00B55DCC">
        <w:rPr>
          <w:rFonts w:ascii="ITC Officina Sans CE" w:hAnsi="ITC Officina Sans CE"/>
          <w:sz w:val="18"/>
        </w:rPr>
        <w:t>. č.294/2015 Sb., kterou se provádějí pravidla provozu na pozemních komunikacích a platný Dopravní řád společnosti.</w:t>
      </w:r>
    </w:p>
    <w:p w14:paraId="28ACB6F2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0" w:firstLine="0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Nejvyšší povolená rychlost: </w:t>
      </w:r>
    </w:p>
    <w:p w14:paraId="04F32774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všech vozidel na komunikacích společnosti (pokud není omezena příslušnou dopravní značkou) je </w:t>
      </w:r>
      <w:smartTag w:uri="urn:schemas-microsoft-com:office:smarttags" w:element="metricconverter">
        <w:smartTagPr>
          <w:attr w:name="ProductID" w:val="30 km/hod"/>
        </w:smartTagPr>
        <w:r w:rsidRPr="00B55DCC">
          <w:rPr>
            <w:rFonts w:ascii="ITC Officina Sans CE" w:hAnsi="ITC Officina Sans CE"/>
            <w:sz w:val="18"/>
          </w:rPr>
          <w:t>30 km/hod</w:t>
        </w:r>
      </w:smartTag>
      <w:r w:rsidRPr="00B55DCC">
        <w:rPr>
          <w:rFonts w:ascii="ITC Officina Sans CE" w:hAnsi="ITC Officina Sans CE"/>
          <w:sz w:val="18"/>
        </w:rPr>
        <w:t>.</w:t>
      </w:r>
    </w:p>
    <w:p w14:paraId="7F3D2FD4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ve výstavních pavilonech, skladových a jiných objektech je povolena nejvyšší rychlost </w:t>
      </w:r>
      <w:smartTag w:uri="urn:schemas-microsoft-com:office:smarttags" w:element="metricconverter">
        <w:smartTagPr>
          <w:attr w:name="ProductID" w:val="5 km/hod"/>
        </w:smartTagPr>
        <w:r w:rsidRPr="00B55DCC">
          <w:rPr>
            <w:rFonts w:ascii="ITC Officina Sans CE" w:hAnsi="ITC Officina Sans CE"/>
            <w:sz w:val="18"/>
          </w:rPr>
          <w:t>5 km/hod</w:t>
        </w:r>
      </w:smartTag>
      <w:r w:rsidRPr="00B55DCC">
        <w:rPr>
          <w:rFonts w:ascii="ITC Officina Sans CE" w:hAnsi="ITC Officina Sans CE"/>
          <w:sz w:val="18"/>
        </w:rPr>
        <w:t>.</w:t>
      </w:r>
    </w:p>
    <w:p w14:paraId="6960DC09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Řidiči jsou povinni přizpůsobit rychlost jízdy shora uvedeným rychlostem, povaze nákladu, viditelnosti, stavu vozovky a okamžité dopravní situaci.</w:t>
      </w:r>
    </w:p>
    <w:p w14:paraId="43E64792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Za účelem zajištění bezpečnosti návštěvníků v době konání veletrhů a výstav je provoz vozidel v prostorách areálu značně omezen. Pokud bude nutno výjimečně v tuto dobu provádět přepravu, je řidič povinen dát přednost chodcům a omezit rychlost jízdy tak, aby byla dosažena maximální bezpečnost chodců.</w:t>
      </w:r>
    </w:p>
    <w:p w14:paraId="74548101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Zákaz vjezdu všech motorových vozidel do výstavních pavilónů bez příslušného povolení.</w:t>
      </w:r>
    </w:p>
    <w:p w14:paraId="68E602D0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Parkovat motorová vozidla není povoleno v místech, kde je to zakázáno příslušnou dopravní značkou, na místech vyhrazených pro stání požárních vozidel, na chodnících a vegetaci v areálu. Parkování je povoleno jen na vyznačených parkovištích.</w:t>
      </w:r>
    </w:p>
    <w:p w14:paraId="5B06E4B7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Při montáži, demontáži a při provádění veškerých stavebních prací v areálu společnosti je nutno respektovat předpisy o dodržování bezpečnostních podmínek při provádění stavebních prací podle NV č.591/2006 Sb. o bližších minimálních požadavcích na bezpečnost a ochranu zdraví při práci na staveništích a NV č.101/2005 Sb. o podrobnějších požadavcích na pracoviště a pracovní prostředí.</w:t>
      </w:r>
    </w:p>
    <w:p w14:paraId="328123B0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Při provozu stavebních strojů a při práci na technických zařízeních je nutné dodržovat </w:t>
      </w:r>
      <w:proofErr w:type="spellStart"/>
      <w:r w:rsidRPr="00B55DCC">
        <w:rPr>
          <w:rFonts w:ascii="ITC Officina Sans CE" w:hAnsi="ITC Officina Sans CE"/>
          <w:sz w:val="18"/>
        </w:rPr>
        <w:t>Vyhl</w:t>
      </w:r>
      <w:proofErr w:type="spellEnd"/>
      <w:r w:rsidRPr="00B55DCC">
        <w:rPr>
          <w:rFonts w:ascii="ITC Officina Sans CE" w:hAnsi="ITC Officina Sans CE"/>
          <w:sz w:val="18"/>
        </w:rPr>
        <w:t>. ČÚBP č. 48/1982 Sb.ve znění pozdějších předpisů, kterou se stanoví základní požadavky k zajištění bezpečnosti práce a technických zařízení a NV č.378/2001 Sb., kterým se stanoví bližší požadavky na bezpečný provoz a používání strojů, technických zařízení, přístrojů a nářadí.</w:t>
      </w:r>
    </w:p>
    <w:p w14:paraId="1F42DD4C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Veškeré práce ve výšce nebo hloubce budou probíhat dle NV č. 362/2005 Sb. o bližších požadavcích na bezpečnost a ochranu zdraví při práci na pracovištích s nebezpečím pádu z výšky nebo do hloubky.</w:t>
      </w:r>
    </w:p>
    <w:p w14:paraId="63307596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Vstupujte jen na pracoviště a do prostorů a zařízení, kam jste byli pracovně vysláni. </w:t>
      </w:r>
    </w:p>
    <w:p w14:paraId="551BF88C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Pohybujte se jen po vyznačených komunikacích. Kde není chodník, zásadně choďte vlevo.</w:t>
      </w:r>
    </w:p>
    <w:p w14:paraId="2D1AF2C5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Dejte pozor na naražení, zakopnutí o uložený materiál nebo nářadí.</w:t>
      </w:r>
    </w:p>
    <w:p w14:paraId="7DE03638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Nepohybujte se pod zavěšeným břemenem nebo v jeho nebezpečné blízkosti.</w:t>
      </w:r>
    </w:p>
    <w:p w14:paraId="1D8D0D90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Nevstupujte do rozvoden, trafostanic a regulačních stanic plynu.</w:t>
      </w:r>
    </w:p>
    <w:p w14:paraId="474E13AC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Nepracujte bez pověření se strojním, elektrickým nebo jakýmkoliv jiným zařízením. </w:t>
      </w:r>
    </w:p>
    <w:p w14:paraId="19557678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Dbejte pokynů dopravního, bezpečnostního a požárního značení.</w:t>
      </w:r>
    </w:p>
    <w:p w14:paraId="7EAE89EB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Respektujte zvukové signály řidičů vozidel při navážení materiálu.</w:t>
      </w:r>
    </w:p>
    <w:p w14:paraId="08EE02A5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Nevstupujte na pracoviště Veletrhy Brno, a.s. pod vlivem alkoholu nebo jiných návykových látek. Přinášet nebo požívat alkohol či návykové látky pracoviště je zakázáno. </w:t>
      </w:r>
    </w:p>
    <w:p w14:paraId="2DE83A9A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Kouření povoleno jen na vyhrazených místech.</w:t>
      </w:r>
    </w:p>
    <w:p w14:paraId="411CE470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Dodržujte hygienické limity hluku a vibrací ve vnitřních a venkovních prostorech stanovené pro denní a noční dobu dle NV 272/2011 Sb. O ochraně zdraví před účinky hluku a vibrací.</w:t>
      </w:r>
    </w:p>
    <w:p w14:paraId="0C7462E6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V případě úrazu zaměstnance cizího zaměstnavatele, právnické a fyzické osoby provádějící pracovní činnost na pracovištích Veletrhy Brno, a.s. je zaměstnavatel povinen vzniklý úraz nahlásit bezpečnostnímu technikovi společnosti Veletrhy Brno, a.s.na telefonní číslo 541 153 117. </w:t>
      </w:r>
    </w:p>
    <w:p w14:paraId="6802CC99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left" w:pos="227"/>
        </w:tabs>
        <w:spacing w:before="40"/>
        <w:ind w:left="227" w:hanging="22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Informujeme Vás o možných zbytkových rizicích, která vyplývají z naší činnosti:</w:t>
      </w:r>
    </w:p>
    <w:p w14:paraId="4E6FE884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Neoprávněný vstup na pracoviště nebo do vymezeného prostoru při provádění práce ve výšce.</w:t>
      </w:r>
    </w:p>
    <w:p w14:paraId="3637EF1D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Pád materiálu z výšky při vertikální nebo šikmé dopravě materiálu.</w:t>
      </w:r>
    </w:p>
    <w:p w14:paraId="1ADCF93D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Pád použitého zdvihacího mechanismu při vertikální nebo šikmé dopravě.</w:t>
      </w:r>
    </w:p>
    <w:p w14:paraId="2A525A80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Pád materiálu, nářadí z výšky při neopatrné manipulaci.</w:t>
      </w:r>
    </w:p>
    <w:p w14:paraId="3466A2F6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Pád osob z výšky při nedodržení zásad kolektivního nebo osobního zajištění.</w:t>
      </w:r>
    </w:p>
    <w:p w14:paraId="608695A0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Uklouznutí po blátivém, namrzlém terénu, nebezpečí plynoucí z prohlubní a jiných nerovností terénu.</w:t>
      </w:r>
    </w:p>
    <w:p w14:paraId="2627084C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Naražení, zakopnutí o uložený materiál nebo nářadí.</w:t>
      </w:r>
    </w:p>
    <w:p w14:paraId="42761809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Riziko výskytu prachu, hluku, vibrací.</w:t>
      </w:r>
    </w:p>
    <w:p w14:paraId="4784F599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Popálení rozstřikem kovu při broušení, svařování apod.</w:t>
      </w:r>
    </w:p>
    <w:p w14:paraId="52CED0BD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Úraz elektrickým proudem při přejíždění špatně zakrytých kabelů.</w:t>
      </w:r>
    </w:p>
    <w:p w14:paraId="632ABA8D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Úraz při přejíždění přívodů stlačeného vzduchu.</w:t>
      </w:r>
    </w:p>
    <w:p w14:paraId="79438F88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Úraz a následný požár při přejíždění přívodů technických plynů pro svařování.</w:t>
      </w:r>
    </w:p>
    <w:p w14:paraId="2FE64C38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Vznik požáru při nedostatečném odstranění nebo zakrytí lehce vznětlivých látek.</w:t>
      </w:r>
    </w:p>
    <w:p w14:paraId="3106C4E8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Pohyb vozidel při navážení nebo odvážení materiálu.</w:t>
      </w:r>
    </w:p>
    <w:p w14:paraId="6BBCB379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Nerespektování zvukových signálů řidiče nebo jiných předem určených signálů.</w:t>
      </w:r>
    </w:p>
    <w:p w14:paraId="413E15D4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Možný pád zavěšeného břemene a vznik úrazu, pokud by se osoba pohybovala pod ním nebo v jeho nebezpečné blízkosti.</w:t>
      </w:r>
    </w:p>
    <w:p w14:paraId="05D83D03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Přejetí pohybujícím se mechanismem i ručně vedeným v případě nedodržení bezpečné vzdálenosti, tj. min.2 m od jeho maximálního dosahu nebo v místě na které osoba nevidí a neopustit je po zvukovém znamení.</w:t>
      </w:r>
    </w:p>
    <w:p w14:paraId="53A94B25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Vznik úrazu při prodlévání v prostoru otáčení, couvání, popojíždění vozidel.</w:t>
      </w:r>
    </w:p>
    <w:p w14:paraId="20B4A6FB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Úraz při neoprávněném použití nástrojů, strojů, zařízení, při odstranění krytů apod.</w:t>
      </w:r>
    </w:p>
    <w:p w14:paraId="4D76AB2C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Provádění jakékoliv činnosti pro vlastní potřebu.</w:t>
      </w:r>
    </w:p>
    <w:p w14:paraId="5C919578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Neohlášení vzniklého nedostatku nebo závady.</w:t>
      </w:r>
    </w:p>
    <w:p w14:paraId="581FF84E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Popálení, opaření při neoprávněném vstupu do kotelen nebo výměníkových stanic.</w:t>
      </w:r>
    </w:p>
    <w:p w14:paraId="5D85AEC3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Vznik úrazu, popálení při nedodržení příkazů bezpečnostních a požárních tabulek.</w:t>
      </w:r>
    </w:p>
    <w:p w14:paraId="6C8E544A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Nedodržení příkazů a upozornění dopravních značek.</w:t>
      </w:r>
    </w:p>
    <w:p w14:paraId="2B4498D7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Úraz při nebezpečném vystupování a nastupování do vozidla.</w:t>
      </w:r>
    </w:p>
    <w:p w14:paraId="01A8309F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lastRenderedPageBreak/>
        <w:t>Úraz při přelézání, přeskakování a výstupu na dopravníky nebo opírání sebe nebo předmětů o jejich konstrukci a pásy.</w:t>
      </w:r>
    </w:p>
    <w:p w14:paraId="2C5E064D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Úraz při neoprávněném vstupu do rozvodny, trafostanice, regulační stanice plynu.</w:t>
      </w:r>
    </w:p>
    <w:p w14:paraId="2E2476D7" w14:textId="77777777" w:rsidR="008F1B75" w:rsidRPr="00B55DCC" w:rsidRDefault="008F1B75" w:rsidP="008F1B75">
      <w:pPr>
        <w:numPr>
          <w:ilvl w:val="0"/>
          <w:numId w:val="4"/>
        </w:numPr>
        <w:tabs>
          <w:tab w:val="clear" w:pos="357"/>
        </w:tabs>
        <w:ind w:left="284" w:hanging="207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>Pád na schodech v případě mokré obuvi nebo podrážky.</w:t>
      </w:r>
    </w:p>
    <w:p w14:paraId="47EFE44B" w14:textId="77777777" w:rsidR="008F1B75" w:rsidRPr="00B55DCC" w:rsidRDefault="008F1B75" w:rsidP="008F1B75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ITC Officina Sans CE" w:hAnsi="ITC Officina Sans CE"/>
          <w:sz w:val="18"/>
        </w:rPr>
        <w:sectPr w:rsidR="008F1B75" w:rsidRPr="00B55DCC" w:rsidSect="0000103F">
          <w:type w:val="continuous"/>
          <w:pgSz w:w="11906" w:h="16838"/>
          <w:pgMar w:top="540" w:right="566" w:bottom="360" w:left="851" w:header="708" w:footer="708" w:gutter="0"/>
          <w:cols w:num="2" w:sep="1" w:space="232"/>
          <w:docGrid w:linePitch="360"/>
        </w:sectPr>
      </w:pPr>
    </w:p>
    <w:p w14:paraId="5915ECB2" w14:textId="77777777" w:rsidR="008F1B75" w:rsidRPr="00B55DCC" w:rsidRDefault="008F1B75" w:rsidP="008F1B75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ITC Officina Sans CE" w:hAnsi="ITC Officina Sans CE"/>
          <w:sz w:val="18"/>
        </w:rPr>
        <w:sectPr w:rsidR="008F1B75" w:rsidRPr="00B55DCC" w:rsidSect="006E7DBF">
          <w:type w:val="continuous"/>
          <w:pgSz w:w="11906" w:h="16838"/>
          <w:pgMar w:top="540" w:right="566" w:bottom="360" w:left="851" w:header="708" w:footer="708" w:gutter="0"/>
          <w:cols w:num="2" w:sep="1" w:space="232"/>
          <w:docGrid w:linePitch="360"/>
        </w:sectPr>
      </w:pPr>
    </w:p>
    <w:p w14:paraId="392649EC" w14:textId="77777777" w:rsidR="008F1B75" w:rsidRPr="00B55DCC" w:rsidRDefault="008F1B75" w:rsidP="008F1B75">
      <w:pPr>
        <w:pStyle w:val="psmenodk"/>
        <w:numPr>
          <w:ilvl w:val="0"/>
          <w:numId w:val="0"/>
        </w:numPr>
        <w:spacing w:before="20"/>
        <w:jc w:val="left"/>
        <w:rPr>
          <w:rFonts w:ascii="ITC Officina Sans CE" w:hAnsi="ITC Officina Sans CE"/>
          <w:color w:val="auto"/>
          <w:sz w:val="18"/>
        </w:rPr>
      </w:pPr>
    </w:p>
    <w:p w14:paraId="0CEEB3BC" w14:textId="77777777" w:rsidR="008F1B75" w:rsidRPr="00B55DCC" w:rsidRDefault="008F1B75" w:rsidP="008F1B75">
      <w:pPr>
        <w:pStyle w:val="psmenodk"/>
        <w:numPr>
          <w:ilvl w:val="0"/>
          <w:numId w:val="3"/>
        </w:numPr>
        <w:tabs>
          <w:tab w:val="clear" w:pos="720"/>
        </w:tabs>
        <w:spacing w:before="20"/>
        <w:ind w:left="0" w:firstLine="0"/>
        <w:jc w:val="left"/>
        <w:rPr>
          <w:rFonts w:ascii="ITC Officina Sans CE" w:hAnsi="ITC Officina Sans CE"/>
          <w:b/>
          <w:color w:val="auto"/>
          <w:sz w:val="18"/>
        </w:rPr>
      </w:pPr>
      <w:r w:rsidRPr="00B55DCC">
        <w:rPr>
          <w:rFonts w:ascii="ITC Officina Sans CE" w:hAnsi="ITC Officina Sans CE"/>
          <w:b/>
          <w:color w:val="auto"/>
          <w:sz w:val="18"/>
        </w:rPr>
        <w:t>Důležitá telefonní čísla v areálu Veletrhy Brno, a.s.</w:t>
      </w:r>
    </w:p>
    <w:p w14:paraId="3C71F456" w14:textId="77777777" w:rsidR="008F1B75" w:rsidRPr="00B55DCC" w:rsidRDefault="008F1B75" w:rsidP="008F1B75">
      <w:pPr>
        <w:pStyle w:val="psmenodk"/>
        <w:numPr>
          <w:ilvl w:val="0"/>
          <w:numId w:val="0"/>
        </w:numPr>
        <w:spacing w:before="20"/>
        <w:ind w:left="360" w:hanging="360"/>
        <w:jc w:val="left"/>
        <w:rPr>
          <w:rFonts w:ascii="ITC Officina Sans CE" w:hAnsi="ITC Officina Sans CE"/>
          <w:b/>
          <w:color w:val="auto"/>
          <w:sz w:val="18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0"/>
        <w:gridCol w:w="1510"/>
        <w:gridCol w:w="1800"/>
      </w:tblGrid>
      <w:tr w:rsidR="008F1B75" w:rsidRPr="00715BBB" w14:paraId="48A965E0" w14:textId="77777777" w:rsidTr="00534718"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5431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637" w:right="70"/>
              <w:jc w:val="right"/>
              <w:rPr>
                <w:rFonts w:ascii="ITC Officina Sans CE" w:hAnsi="ITC Officina Sans CE"/>
                <w:sz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CA8B" w14:textId="494DA6A5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b/>
                <w:bCs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2251" w14:textId="23212322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b/>
                <w:bCs/>
                <w:sz w:val="18"/>
              </w:rPr>
            </w:pPr>
          </w:p>
        </w:tc>
      </w:tr>
      <w:tr w:rsidR="008F1B75" w:rsidRPr="00715BBB" w14:paraId="0BB4F62C" w14:textId="77777777" w:rsidTr="00534718"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2429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0"/>
              <w:rPr>
                <w:rFonts w:ascii="ITC Officina Sans CE" w:hAnsi="ITC Officina Sans CE"/>
                <w:sz w:val="18"/>
              </w:rPr>
            </w:pPr>
            <w:r w:rsidRPr="00B55DCC">
              <w:rPr>
                <w:rFonts w:ascii="ITC Officina Sans CE" w:hAnsi="ITC Officina Sans CE"/>
                <w:sz w:val="18"/>
              </w:rPr>
              <w:t>Služba – ohlašovna mimořádných událostí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EDF1" w14:textId="42FED2DF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2778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ITC Officina Sans CE" w:hAnsi="ITC Officina Sans CE"/>
                <w:sz w:val="18"/>
              </w:rPr>
            </w:pPr>
          </w:p>
        </w:tc>
      </w:tr>
      <w:tr w:rsidR="008F1B75" w:rsidRPr="00715BBB" w14:paraId="239310C5" w14:textId="77777777" w:rsidTr="00534718"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A5B7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0"/>
              <w:rPr>
                <w:rFonts w:ascii="ITC Officina Sans CE" w:hAnsi="ITC Officina Sans CE"/>
                <w:sz w:val="18"/>
              </w:rPr>
            </w:pPr>
            <w:r w:rsidRPr="00B55DCC">
              <w:rPr>
                <w:rFonts w:ascii="ITC Officina Sans CE" w:hAnsi="ITC Officina Sans CE"/>
                <w:sz w:val="18"/>
              </w:rPr>
              <w:t>Venkovní ostraha (4. brána)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2C02" w14:textId="40202AAA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09FD" w14:textId="44EC8110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ITC Officina Sans CE" w:hAnsi="ITC Officina Sans CE"/>
                <w:sz w:val="18"/>
              </w:rPr>
            </w:pPr>
          </w:p>
        </w:tc>
      </w:tr>
      <w:tr w:rsidR="008F1B75" w:rsidRPr="00715BBB" w14:paraId="111DB7EF" w14:textId="77777777" w:rsidTr="00534718"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1195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0"/>
              <w:rPr>
                <w:rFonts w:ascii="ITC Officina Sans CE" w:hAnsi="ITC Officina Sans CE"/>
                <w:sz w:val="18"/>
              </w:rPr>
            </w:pPr>
            <w:proofErr w:type="spellStart"/>
            <w:r w:rsidRPr="00B55DCC">
              <w:rPr>
                <w:rFonts w:ascii="ITC Officina Sans CE" w:hAnsi="ITC Officina Sans CE"/>
                <w:sz w:val="18"/>
              </w:rPr>
              <w:t>Olman</w:t>
            </w:r>
            <w:proofErr w:type="spellEnd"/>
            <w:r w:rsidRPr="00B55DCC">
              <w:rPr>
                <w:rFonts w:ascii="ITC Officina Sans CE" w:hAnsi="ITC Officina Sans CE"/>
                <w:sz w:val="18"/>
              </w:rPr>
              <w:t xml:space="preserve"> </w:t>
            </w:r>
            <w:proofErr w:type="spellStart"/>
            <w:r w:rsidRPr="00B55DCC">
              <w:rPr>
                <w:rFonts w:ascii="ITC Officina Sans CE" w:hAnsi="ITC Officina Sans CE"/>
                <w:sz w:val="18"/>
              </w:rPr>
              <w:t>service</w:t>
            </w:r>
            <w:proofErr w:type="spellEnd"/>
            <w:r w:rsidRPr="00B55DCC">
              <w:rPr>
                <w:rFonts w:ascii="ITC Officina Sans CE" w:hAnsi="ITC Officina Sans CE"/>
                <w:sz w:val="18"/>
              </w:rPr>
              <w:t xml:space="preserve"> – vnější ostraha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6DED" w14:textId="153AB08D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ED0B" w14:textId="2D118C28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</w:tr>
      <w:tr w:rsidR="008F1B75" w:rsidRPr="00715BBB" w14:paraId="5D11F1F2" w14:textId="77777777" w:rsidTr="00534718"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05E5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0"/>
              <w:rPr>
                <w:rFonts w:ascii="ITC Officina Sans CE" w:hAnsi="ITC Officina Sans CE"/>
                <w:sz w:val="18"/>
              </w:rPr>
            </w:pPr>
            <w:r w:rsidRPr="00B55DCC">
              <w:rPr>
                <w:rFonts w:ascii="ITC Officina Sans CE" w:hAnsi="ITC Officina Sans CE"/>
                <w:sz w:val="18"/>
              </w:rPr>
              <w:t>Ohlašovna požárů BVV – Ústředna</w:t>
            </w:r>
            <w:r w:rsidRPr="00B55DCC">
              <w:rPr>
                <w:rFonts w:ascii="ITC Officina Sans CE" w:hAnsi="ITC Officina Sans CE"/>
                <w:color w:val="000000"/>
                <w:sz w:val="18"/>
              </w:rPr>
              <w:t xml:space="preserve"> EPS BVV</w:t>
            </w:r>
            <w:r w:rsidRPr="00B55DCC">
              <w:rPr>
                <w:rFonts w:ascii="ITC Officina Sans CE" w:hAnsi="ITC Officina Sans CE" w:cs="Helv"/>
                <w:color w:val="000000"/>
                <w:sz w:val="18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F344" w14:textId="4DF0360A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3FB7" w14:textId="0793D8C8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</w:tr>
      <w:tr w:rsidR="008F1B75" w:rsidRPr="00715BBB" w14:paraId="33CF9C3A" w14:textId="77777777" w:rsidTr="00534718"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C009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0"/>
              <w:rPr>
                <w:rFonts w:ascii="ITC Officina Sans CE" w:hAnsi="ITC Officina Sans CE"/>
                <w:sz w:val="18"/>
              </w:rPr>
            </w:pPr>
            <w:r w:rsidRPr="00B55DCC">
              <w:rPr>
                <w:rFonts w:ascii="ITC Officina Sans CE" w:hAnsi="ITC Officina Sans CE"/>
                <w:sz w:val="18"/>
              </w:rPr>
              <w:t>Zdravotní středisko BVV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E685" w14:textId="1355FF1E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6092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</w:tr>
      <w:tr w:rsidR="008F1B75" w:rsidRPr="00715BBB" w14:paraId="50116C2E" w14:textId="77777777" w:rsidTr="00534718"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3915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0"/>
              <w:rPr>
                <w:rFonts w:ascii="ITC Officina Sans CE" w:hAnsi="ITC Officina Sans CE"/>
                <w:sz w:val="18"/>
              </w:rPr>
            </w:pPr>
            <w:r w:rsidRPr="00B55DCC">
              <w:rPr>
                <w:rFonts w:ascii="ITC Officina Sans CE" w:hAnsi="ITC Officina Sans CE"/>
                <w:sz w:val="18"/>
              </w:rPr>
              <w:t>Oddělení PO a BOZP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B690" w14:textId="6C5D60B9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ADA4" w14:textId="6528E170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</w:tr>
      <w:tr w:rsidR="008F1B75" w:rsidRPr="00715BBB" w14:paraId="0C982B3C" w14:textId="77777777" w:rsidTr="00534718"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0770" w14:textId="77777777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150" w:right="70"/>
              <w:rPr>
                <w:rFonts w:ascii="ITC Officina Sans CE" w:hAnsi="ITC Officina Sans CE"/>
                <w:sz w:val="18"/>
              </w:rPr>
            </w:pPr>
            <w:r w:rsidRPr="00B55DCC">
              <w:rPr>
                <w:rFonts w:ascii="ITC Officina Sans CE" w:hAnsi="ITC Officina Sans CE"/>
                <w:sz w:val="18"/>
              </w:rPr>
              <w:t xml:space="preserve">Vedoucí technické obsluhy výstaviště 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2EA7" w14:textId="27CAD746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83C6" w14:textId="55548DA5" w:rsidR="008F1B75" w:rsidRPr="00B55DCC" w:rsidRDefault="008F1B75" w:rsidP="00534718">
            <w:pPr>
              <w:keepNext/>
              <w:keepLines/>
              <w:autoSpaceDE w:val="0"/>
              <w:autoSpaceDN w:val="0"/>
              <w:adjustRightInd w:val="0"/>
              <w:ind w:left="70" w:right="70"/>
              <w:rPr>
                <w:rFonts w:ascii="ITC Officina Sans CE" w:hAnsi="ITC Officina Sans CE"/>
                <w:sz w:val="18"/>
              </w:rPr>
            </w:pPr>
          </w:p>
        </w:tc>
      </w:tr>
    </w:tbl>
    <w:p w14:paraId="44BF4A47" w14:textId="77777777" w:rsidR="008F1B75" w:rsidRPr="00B55DCC" w:rsidRDefault="008F1B75" w:rsidP="008F1B75">
      <w:pPr>
        <w:pStyle w:val="psmenodk"/>
        <w:numPr>
          <w:ilvl w:val="0"/>
          <w:numId w:val="0"/>
        </w:numPr>
        <w:spacing w:before="20"/>
        <w:ind w:left="360" w:hanging="360"/>
        <w:jc w:val="left"/>
        <w:rPr>
          <w:rFonts w:ascii="ITC Officina Sans CE" w:hAnsi="ITC Officina Sans CE"/>
          <w:b/>
          <w:color w:val="auto"/>
          <w:sz w:val="18"/>
        </w:rPr>
      </w:pPr>
    </w:p>
    <w:p w14:paraId="79916972" w14:textId="77777777" w:rsidR="008F1B75" w:rsidRPr="00B55DCC" w:rsidRDefault="008F1B75" w:rsidP="008F1B75">
      <w:pPr>
        <w:rPr>
          <w:rFonts w:ascii="ITC Officina Sans CE" w:hAnsi="ITC Officina Sans CE"/>
          <w:sz w:val="18"/>
        </w:rPr>
      </w:pPr>
    </w:p>
    <w:p w14:paraId="5A872A95" w14:textId="77777777" w:rsidR="008F1B75" w:rsidRPr="00B55DCC" w:rsidRDefault="008F1B75" w:rsidP="008F1B75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rFonts w:ascii="ITC Officina Sans CE" w:hAnsi="ITC Officina Sans CE"/>
          <w:sz w:val="18"/>
        </w:rPr>
      </w:pPr>
      <w:r w:rsidRPr="00B55DCC">
        <w:rPr>
          <w:rFonts w:ascii="ITC Officina Sans CE" w:hAnsi="ITC Officina Sans CE"/>
          <w:sz w:val="18"/>
        </w:rPr>
        <w:t xml:space="preserve">Zástupci </w:t>
      </w:r>
      <w:r>
        <w:rPr>
          <w:rFonts w:ascii="ITC Officina Sans CE" w:hAnsi="ITC Officina Sans CE"/>
          <w:sz w:val="18"/>
        </w:rPr>
        <w:t>objednatele a poskytovatele</w:t>
      </w:r>
      <w:r w:rsidRPr="00B55DCC">
        <w:rPr>
          <w:rFonts w:ascii="ITC Officina Sans CE" w:hAnsi="ITC Officina Sans CE"/>
          <w:sz w:val="18"/>
        </w:rPr>
        <w:t xml:space="preserve"> jsou povinni provést písemně vzájemné seznámení s riziky a opatřeními ve smyslu § 101 odst. 3 a 4 zákona č. 262/2006 Sb. o veškerých možných rizicích, informacích, pokynech v oblasti bezpečnosti a ochrany zdraví při práci v areálu společnosti Veletrhy Brno, a.s. musí být informováni všichni vaši zaměstnanci, podnájemci, právnické a fyzické osoby provádějící pracovní činnost v areálu společnosti Veletrhy Brno, a.s. </w:t>
      </w:r>
    </w:p>
    <w:p w14:paraId="0E796CD3" w14:textId="77777777" w:rsidR="004F2551" w:rsidRDefault="004F2551"/>
    <w:sectPr w:rsidR="004F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8BFC" w14:textId="77777777" w:rsidR="004F2551" w:rsidRDefault="004F2551">
      <w:r>
        <w:separator/>
      </w:r>
    </w:p>
  </w:endnote>
  <w:endnote w:type="continuationSeparator" w:id="0">
    <w:p w14:paraId="5C8E0FA7" w14:textId="77777777" w:rsidR="004F2551" w:rsidRDefault="004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Officina Sans CE">
    <w:altName w:val="Calibri"/>
    <w:charset w:val="EE"/>
    <w:family w:val="auto"/>
    <w:pitch w:val="variable"/>
    <w:sig w:usb0="80000027" w:usb1="00000000" w:usb2="00000000" w:usb3="00000000" w:csb0="0000000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E372" w14:textId="77777777" w:rsidR="004F2551" w:rsidRDefault="004F2551">
    <w:pPr>
      <w:pStyle w:val="Zpat"/>
      <w:framePr w:wrap="around" w:vAnchor="text" w:hAnchor="margin" w:xAlign="center" w:y="1"/>
      <w:rPr>
        <w:rStyle w:val="slostrnky"/>
      </w:rPr>
    </w:pPr>
  </w:p>
  <w:p w14:paraId="1679546C" w14:textId="77777777" w:rsidR="004F2551" w:rsidRDefault="004F25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4B12" w14:textId="77777777" w:rsidR="004F2551" w:rsidRDefault="004F2551">
      <w:r>
        <w:separator/>
      </w:r>
    </w:p>
  </w:footnote>
  <w:footnote w:type="continuationSeparator" w:id="0">
    <w:p w14:paraId="23636D24" w14:textId="77777777" w:rsidR="004F2551" w:rsidRDefault="004F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A5AC" w14:textId="77777777" w:rsidR="004F2551" w:rsidRDefault="004F25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301B"/>
    <w:multiLevelType w:val="singleLevel"/>
    <w:tmpl w:val="6E260D68"/>
    <w:lvl w:ilvl="0">
      <w:start w:val="1"/>
      <w:numFmt w:val="lowerLetter"/>
      <w:pStyle w:val="psmenodk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2E3146E3"/>
    <w:multiLevelType w:val="hybridMultilevel"/>
    <w:tmpl w:val="EA8213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5820"/>
    <w:multiLevelType w:val="hybridMultilevel"/>
    <w:tmpl w:val="22C43F32"/>
    <w:lvl w:ilvl="0" w:tplc="03D6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1BC48C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36DCF"/>
    <w:multiLevelType w:val="hybridMultilevel"/>
    <w:tmpl w:val="F7CCE896"/>
    <w:lvl w:ilvl="0" w:tplc="4BB6F20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521804">
    <w:abstractNumId w:val="0"/>
  </w:num>
  <w:num w:numId="2" w16cid:durableId="385107250">
    <w:abstractNumId w:val="1"/>
  </w:num>
  <w:num w:numId="3" w16cid:durableId="161774851">
    <w:abstractNumId w:val="2"/>
  </w:num>
  <w:num w:numId="4" w16cid:durableId="39054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75"/>
    <w:rsid w:val="00420F52"/>
    <w:rsid w:val="004F2551"/>
    <w:rsid w:val="00520501"/>
    <w:rsid w:val="00710AC6"/>
    <w:rsid w:val="008E6B70"/>
    <w:rsid w:val="008F1B75"/>
    <w:rsid w:val="00B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F0D807"/>
  <w15:chartTrackingRefBased/>
  <w15:docId w15:val="{C4D4C799-2BD6-4F8C-BA5F-8FF3FD6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F1B75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rsid w:val="008F1B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F1B75"/>
    <w:rPr>
      <w:rFonts w:cs="Times New Roman"/>
    </w:rPr>
  </w:style>
  <w:style w:type="paragraph" w:styleId="Zhlav">
    <w:name w:val="header"/>
    <w:basedOn w:val="Normln"/>
    <w:link w:val="ZhlavChar"/>
    <w:unhideWhenUsed/>
    <w:rsid w:val="008F1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1B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dk">
    <w:name w:val="písmeno) řádk"/>
    <w:rsid w:val="008F1B75"/>
    <w:pPr>
      <w:numPr>
        <w:numId w:val="1"/>
      </w:numPr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42da5422c2e95186a3c5996837949676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49b36e1dad314f52447bb59e0a5af087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a16cec-ab3b-4534-9a5d-218d82c903c8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BE232-05B2-4610-997D-09DCBC2D8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164A9-AA9D-45CE-A7C1-DADC302A2508}">
  <ds:schemaRefs>
    <ds:schemaRef ds:uri="http://schemas.microsoft.com/office/2006/metadata/properties"/>
    <ds:schemaRef ds:uri="http://schemas.microsoft.com/office/infopath/2007/PartnerControls"/>
    <ds:schemaRef ds:uri="9cccfaa7-4bf1-42b3-8b91-9fb81b7f9697"/>
    <ds:schemaRef ds:uri="d2399262-2c93-47e8-bb25-1cf69ecd43d2"/>
  </ds:schemaRefs>
</ds:datastoreItem>
</file>

<file path=customXml/itemProps3.xml><?xml version="1.0" encoding="utf-8"?>
<ds:datastoreItem xmlns:ds="http://schemas.openxmlformats.org/officeDocument/2006/customXml" ds:itemID="{D0C4C2B1-A0FA-4043-BF5C-C03C0647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Gubeková</dc:creator>
  <cp:keywords/>
  <dc:description/>
  <cp:lastModifiedBy>Megová Dana</cp:lastModifiedBy>
  <cp:revision>3</cp:revision>
  <dcterms:created xsi:type="dcterms:W3CDTF">2025-04-23T06:52:00Z</dcterms:created>
  <dcterms:modified xsi:type="dcterms:W3CDTF">2025-04-23T06:52:00Z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0x010100B420F35683F3AE4BA0C69A07D288F0F9</vt:lpwstr>
  </property>
  <property fmtid="{D5CDD505-2E9C-101B-9397-08002B2CF9AE}" pid="3" name="MediaServiceImageTag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2025-04-23T06:52:13Z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652a6abc-3b81-40d9-9b21-9153fb4f64bd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MSIP_Label_690ebb53-23a2-471a-9c6e-17bd0d11311e_Tag">
    <vt:lpwstr>10, 3, 0, 1</vt:lpwstr>
  </property>
</Properties>
</file>