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502F9" w14:textId="77777777" w:rsidR="00435258" w:rsidRDefault="00591576" w:rsidP="00591576">
      <w:pPr>
        <w:ind w:left="211"/>
        <w:jc w:val="left"/>
      </w:pPr>
      <w:r>
        <w:t xml:space="preserve">Nemocnice Rudolfa a Stefanie Benešov, a. s. nemocnice Středočeského kraje Máchova 400, 256 30 Benešov zastoupená ředitelem Ing. Petrem </w:t>
      </w:r>
      <w:proofErr w:type="spellStart"/>
      <w:r>
        <w:t>Hostkem</w:t>
      </w:r>
      <w:proofErr w:type="spellEnd"/>
      <w:r>
        <w:t xml:space="preserve">, MBA </w:t>
      </w:r>
      <w:proofErr w:type="spellStart"/>
      <w:r>
        <w:t>lč</w:t>
      </w:r>
      <w:proofErr w:type="spellEnd"/>
      <w:r>
        <w:t>: 272 53 236 DIČ: CZ27253236</w:t>
      </w:r>
    </w:p>
    <w:p w14:paraId="47FFF2FB" w14:textId="25B5513C" w:rsidR="00435258" w:rsidRDefault="00591576" w:rsidP="00591576">
      <w:pPr>
        <w:spacing w:after="1104"/>
        <w:ind w:left="211" w:right="2628"/>
        <w:jc w:val="left"/>
      </w:pPr>
      <w:r>
        <w:t xml:space="preserve">Bankovní spojení: </w:t>
      </w:r>
      <w:proofErr w:type="spellStart"/>
      <w:r>
        <w:t>xxxxxxxxxxxxxxxxx</w:t>
      </w:r>
      <w:proofErr w:type="spellEnd"/>
      <w:r>
        <w:t xml:space="preserve"> </w:t>
      </w:r>
      <w:r>
        <w:br/>
        <w:t>(dále jen „objednatel”)</w:t>
      </w:r>
    </w:p>
    <w:p w14:paraId="41197002" w14:textId="34FFD962" w:rsidR="00435258" w:rsidRDefault="00591576" w:rsidP="00591576">
      <w:pPr>
        <w:ind w:left="211" w:right="3514"/>
        <w:jc w:val="left"/>
      </w:pPr>
      <w:r>
        <w:t xml:space="preserve">Oblastní nemocnice Příbram, a. s. se sídlem Podbrdská 269 261 95 Příbram </w:t>
      </w:r>
      <w:proofErr w:type="gramStart"/>
      <w:r>
        <w:t xml:space="preserve">V - </w:t>
      </w:r>
      <w:proofErr w:type="spellStart"/>
      <w:r>
        <w:t>Zdaboř</w:t>
      </w:r>
      <w:proofErr w:type="spellEnd"/>
      <w:proofErr w:type="gramEnd"/>
      <w:r>
        <w:t xml:space="preserve"> zastoupena ředitelem MUDr. Stanislavem Holobradou </w:t>
      </w:r>
      <w:proofErr w:type="spellStart"/>
      <w:r>
        <w:t>lČ</w:t>
      </w:r>
      <w:proofErr w:type="spellEnd"/>
      <w:r>
        <w:t xml:space="preserve">: 27085031 </w:t>
      </w:r>
      <w:r>
        <w:br/>
        <w:t>DIČ: CZ27085031</w:t>
      </w:r>
      <w:r>
        <w:br/>
        <w:t xml:space="preserve">bankovní spojení: </w:t>
      </w:r>
      <w:proofErr w:type="spellStart"/>
      <w:r>
        <w:t>xxxxxxxxxxxxxxxxx</w:t>
      </w:r>
      <w:proofErr w:type="spellEnd"/>
      <w:r>
        <w:br/>
        <w:t xml:space="preserve"> číslo účtu: </w:t>
      </w:r>
      <w:proofErr w:type="spellStart"/>
      <w:r>
        <w:t>xxxxxxxxx</w:t>
      </w:r>
      <w:proofErr w:type="spellEnd"/>
    </w:p>
    <w:p w14:paraId="07EADAFD" w14:textId="77777777" w:rsidR="00435258" w:rsidRDefault="00591576" w:rsidP="00591576">
      <w:pPr>
        <w:spacing w:after="528"/>
        <w:ind w:left="211" w:right="14"/>
        <w:jc w:val="left"/>
      </w:pPr>
      <w:r>
        <w:t>(dále jen „zhotovitel”)</w:t>
      </w:r>
    </w:p>
    <w:p w14:paraId="57DFE2B7" w14:textId="77777777" w:rsidR="00435258" w:rsidRDefault="00591576">
      <w:pPr>
        <w:spacing w:after="4" w:line="252" w:lineRule="auto"/>
        <w:ind w:left="3657" w:right="3431" w:hanging="10"/>
        <w:jc w:val="center"/>
      </w:pPr>
      <w:r>
        <w:t>uzavírají tuto rámcovou</w:t>
      </w:r>
    </w:p>
    <w:p w14:paraId="43097945" w14:textId="77777777" w:rsidR="00435258" w:rsidRDefault="00591576">
      <w:pPr>
        <w:spacing w:after="4" w:line="252" w:lineRule="auto"/>
        <w:ind w:left="614" w:right="388" w:hanging="10"/>
        <w:jc w:val="center"/>
      </w:pPr>
      <w:r>
        <w:t>SMLOUVU O DÍLO dle ustanovení S 536 a násl. zákona č. 513/1991 Sb., obchodního zákoníku a zákona č.</w:t>
      </w:r>
    </w:p>
    <w:p w14:paraId="5D7E3065" w14:textId="77777777" w:rsidR="00435258" w:rsidRDefault="00591576">
      <w:pPr>
        <w:spacing w:after="796"/>
        <w:ind w:left="3744" w:right="1454" w:hanging="1584"/>
      </w:pPr>
      <w:r>
        <w:t>378/2007 Sb. o léčivech, ve znění pozdějších předpisů (dále jen „smlouva”)</w:t>
      </w:r>
    </w:p>
    <w:p w14:paraId="4D1374D9" w14:textId="77777777" w:rsidR="00435258" w:rsidRDefault="00591576">
      <w:pPr>
        <w:spacing w:after="0" w:line="259" w:lineRule="auto"/>
        <w:ind w:left="209" w:right="0" w:firstLine="0"/>
        <w:jc w:val="center"/>
      </w:pPr>
      <w:r>
        <w:rPr>
          <w:sz w:val="26"/>
        </w:rPr>
        <w:t>1.</w:t>
      </w:r>
    </w:p>
    <w:p w14:paraId="7E7680B8" w14:textId="77777777" w:rsidR="00435258" w:rsidRDefault="00591576">
      <w:pPr>
        <w:pStyle w:val="Nadpis1"/>
        <w:ind w:left="233" w:right="14"/>
      </w:pPr>
      <w:r>
        <w:t>Preambule</w:t>
      </w:r>
    </w:p>
    <w:p w14:paraId="23351585" w14:textId="77777777" w:rsidR="00435258" w:rsidRDefault="00591576">
      <w:pPr>
        <w:numPr>
          <w:ilvl w:val="0"/>
          <w:numId w:val="1"/>
        </w:numPr>
        <w:ind w:right="14" w:hanging="245"/>
      </w:pPr>
      <w:r>
        <w:t>Zhotovitel je oprávněn k poskytování lékárenské péče na adrese: Lékárna Oblastní nemocnice Příbram, U Nemocnice 84, 261 26 Příbram I s oprávněním k přípravě sterilních léčivých přípravků s obsahem cytotoxických látek.</w:t>
      </w:r>
    </w:p>
    <w:p w14:paraId="468760C3" w14:textId="77777777" w:rsidR="00435258" w:rsidRDefault="00591576">
      <w:pPr>
        <w:numPr>
          <w:ilvl w:val="0"/>
          <w:numId w:val="1"/>
        </w:numPr>
        <w:spacing w:after="782"/>
        <w:ind w:right="14" w:hanging="245"/>
      </w:pPr>
      <w:r>
        <w:t>Objednatel je oprávněným poskytovatelem zdravotních služeb včetně lůžkové péče.</w:t>
      </w:r>
    </w:p>
    <w:p w14:paraId="529803B0" w14:textId="77777777" w:rsidR="00435258" w:rsidRDefault="00591576">
      <w:pPr>
        <w:spacing w:after="4" w:line="252" w:lineRule="auto"/>
        <w:ind w:left="614" w:right="410" w:hanging="10"/>
        <w:jc w:val="center"/>
      </w:pPr>
      <w:r>
        <w:t>11.</w:t>
      </w:r>
    </w:p>
    <w:p w14:paraId="2CD25187" w14:textId="77777777" w:rsidR="00435258" w:rsidRDefault="00591576">
      <w:pPr>
        <w:pStyle w:val="Nadpis1"/>
        <w:ind w:left="233" w:right="22"/>
      </w:pPr>
      <w:r>
        <w:t>Předmět smlouvy</w:t>
      </w:r>
    </w:p>
    <w:p w14:paraId="1B8E72AD" w14:textId="77777777" w:rsidR="00435258" w:rsidRDefault="00591576">
      <w:pPr>
        <w:ind w:left="211" w:right="14"/>
      </w:pPr>
      <w:r>
        <w:t>1. Zhotovitel se touto smlouvou zavazuje poskytovat objednateli následující služby lékárenské péče:</w:t>
      </w:r>
    </w:p>
    <w:p w14:paraId="42D20707" w14:textId="77777777" w:rsidR="00435258" w:rsidRDefault="00591576">
      <w:pPr>
        <w:spacing w:after="792"/>
        <w:ind w:left="211" w:right="14"/>
      </w:pPr>
      <w:r>
        <w:t xml:space="preserve">- centralizovaná příprava cytostatických léčiv (dále jen „léčivý přípravek”) dle zákona č.378/2007 Sb. o léčivech a vyhlášky č. 84/2008 včetně nákupu léčivých přípravků a pomocných materiálů, přípravy léčivých přípravků a zajištění správných skladovacích podmínek během přepravy k objednateli dle jednotlivých žádanek </w:t>
      </w:r>
      <w:proofErr w:type="spellStart"/>
      <w:proofErr w:type="gramStart"/>
      <w:r>
        <w:t>objednatele.Přepravu</w:t>
      </w:r>
      <w:proofErr w:type="spellEnd"/>
      <w:proofErr w:type="gramEnd"/>
      <w:r>
        <w:t xml:space="preserve"> si zajištuje objednatel na svoje náklady.</w:t>
      </w:r>
    </w:p>
    <w:p w14:paraId="0E646985" w14:textId="77777777" w:rsidR="00435258" w:rsidRDefault="00591576">
      <w:pPr>
        <w:numPr>
          <w:ilvl w:val="0"/>
          <w:numId w:val="2"/>
        </w:numPr>
        <w:ind w:right="14" w:hanging="245"/>
      </w:pPr>
      <w:r>
        <w:lastRenderedPageBreak/>
        <w:t>Zhotovitel se dále zavazuje:</w:t>
      </w:r>
    </w:p>
    <w:p w14:paraId="3D30BBDA" w14:textId="77777777" w:rsidR="00435258" w:rsidRDefault="00591576">
      <w:pPr>
        <w:numPr>
          <w:ilvl w:val="1"/>
          <w:numId w:val="2"/>
        </w:numPr>
        <w:ind w:right="14" w:hanging="266"/>
      </w:pPr>
      <w:r>
        <w:t xml:space="preserve">připravit a dodat léčivé přípravky v množství a frekvenci dle objednávek objednatele </w:t>
      </w:r>
      <w:r>
        <w:rPr>
          <w:noProof/>
        </w:rPr>
        <w:drawing>
          <wp:inline distT="0" distB="0" distL="0" distR="0" wp14:anchorId="44A05FE3" wp14:editId="578B5AB6">
            <wp:extent cx="50292" cy="18280"/>
            <wp:effectExtent l="0" t="0" r="0" b="0"/>
            <wp:docPr id="3133" name="Picture 3133"/>
            <wp:cNvGraphicFramePr/>
            <a:graphic xmlns:a="http://schemas.openxmlformats.org/drawingml/2006/main">
              <a:graphicData uri="http://schemas.openxmlformats.org/drawingml/2006/picture">
                <pic:pic xmlns:pic="http://schemas.openxmlformats.org/drawingml/2006/picture">
                  <pic:nvPicPr>
                    <pic:cNvPr id="3133" name="Picture 3133"/>
                    <pic:cNvPicPr/>
                  </pic:nvPicPr>
                  <pic:blipFill>
                    <a:blip r:embed="rId5"/>
                    <a:stretch>
                      <a:fillRect/>
                    </a:stretch>
                  </pic:blipFill>
                  <pic:spPr>
                    <a:xfrm>
                      <a:off x="0" y="0"/>
                      <a:ext cx="50292" cy="18280"/>
                    </a:xfrm>
                    <a:prstGeom prst="rect">
                      <a:avLst/>
                    </a:prstGeom>
                  </pic:spPr>
                </pic:pic>
              </a:graphicData>
            </a:graphic>
          </wp:inline>
        </w:drawing>
      </w:r>
      <w:r>
        <w:t xml:space="preserve"> cytostatická léčiva a pomocný materiál pro přípravu odebírat pouze přímo od distributorů disponujících příslušným oprávněním </w:t>
      </w:r>
      <w:r>
        <w:rPr>
          <w:noProof/>
        </w:rPr>
        <w:drawing>
          <wp:inline distT="0" distB="0" distL="0" distR="0" wp14:anchorId="1823CA64" wp14:editId="301822BD">
            <wp:extent cx="45720" cy="22850"/>
            <wp:effectExtent l="0" t="0" r="0" b="0"/>
            <wp:docPr id="3134" name="Picture 3134"/>
            <wp:cNvGraphicFramePr/>
            <a:graphic xmlns:a="http://schemas.openxmlformats.org/drawingml/2006/main">
              <a:graphicData uri="http://schemas.openxmlformats.org/drawingml/2006/picture">
                <pic:pic xmlns:pic="http://schemas.openxmlformats.org/drawingml/2006/picture">
                  <pic:nvPicPr>
                    <pic:cNvPr id="3134" name="Picture 3134"/>
                    <pic:cNvPicPr/>
                  </pic:nvPicPr>
                  <pic:blipFill>
                    <a:blip r:embed="rId6"/>
                    <a:stretch>
                      <a:fillRect/>
                    </a:stretch>
                  </pic:blipFill>
                  <pic:spPr>
                    <a:xfrm>
                      <a:off x="0" y="0"/>
                      <a:ext cx="45720" cy="22850"/>
                    </a:xfrm>
                    <a:prstGeom prst="rect">
                      <a:avLst/>
                    </a:prstGeom>
                  </pic:spPr>
                </pic:pic>
              </a:graphicData>
            </a:graphic>
          </wp:inline>
        </w:drawing>
      </w:r>
      <w:r>
        <w:t xml:space="preserve"> přípravu a manipulaci s léčivými látkami provádět výlučně kvalifikovanými pracovníky v souladu s příslušnými právními předpisy, včetně správné laboratorní praxe a správné lékárenské praxe.</w:t>
      </w:r>
    </w:p>
    <w:p w14:paraId="11A37E4D" w14:textId="77777777" w:rsidR="00435258" w:rsidRDefault="00591576">
      <w:pPr>
        <w:numPr>
          <w:ilvl w:val="1"/>
          <w:numId w:val="2"/>
        </w:numPr>
        <w:ind w:right="14" w:hanging="266"/>
      </w:pPr>
      <w:r>
        <w:t xml:space="preserve">poskytnout objednateli elektronický program </w:t>
      </w:r>
      <w:proofErr w:type="spellStart"/>
      <w:r>
        <w:t>Doctis</w:t>
      </w:r>
      <w:proofErr w:type="spellEnd"/>
      <w:r>
        <w:t>, přes který budou realizovány objednávky</w:t>
      </w:r>
    </w:p>
    <w:p w14:paraId="48311D39" w14:textId="77777777" w:rsidR="00435258" w:rsidRDefault="00591576">
      <w:pPr>
        <w:numPr>
          <w:ilvl w:val="1"/>
          <w:numId w:val="2"/>
        </w:numPr>
        <w:spacing w:after="528"/>
        <w:ind w:right="14" w:hanging="266"/>
      </w:pPr>
      <w:r>
        <w:t xml:space="preserve">naředit cytostatika v čase, který požaduje objednatel tak, aby nedošlo k překročení expirační doby dle SPC léčiva a byla tak zajištěna včasná aplikace pacientovi </w:t>
      </w:r>
      <w:r>
        <w:rPr>
          <w:noProof/>
        </w:rPr>
        <w:drawing>
          <wp:inline distT="0" distB="0" distL="0" distR="0" wp14:anchorId="28F98048" wp14:editId="06BB18E9">
            <wp:extent cx="45720" cy="22850"/>
            <wp:effectExtent l="0" t="0" r="0" b="0"/>
            <wp:docPr id="3136" name="Picture 3136"/>
            <wp:cNvGraphicFramePr/>
            <a:graphic xmlns:a="http://schemas.openxmlformats.org/drawingml/2006/main">
              <a:graphicData uri="http://schemas.openxmlformats.org/drawingml/2006/picture">
                <pic:pic xmlns:pic="http://schemas.openxmlformats.org/drawingml/2006/picture">
                  <pic:nvPicPr>
                    <pic:cNvPr id="3136" name="Picture 3136"/>
                    <pic:cNvPicPr/>
                  </pic:nvPicPr>
                  <pic:blipFill>
                    <a:blip r:embed="rId7"/>
                    <a:stretch>
                      <a:fillRect/>
                    </a:stretch>
                  </pic:blipFill>
                  <pic:spPr>
                    <a:xfrm>
                      <a:off x="0" y="0"/>
                      <a:ext cx="45720" cy="22850"/>
                    </a:xfrm>
                    <a:prstGeom prst="rect">
                      <a:avLst/>
                    </a:prstGeom>
                  </pic:spPr>
                </pic:pic>
              </a:graphicData>
            </a:graphic>
          </wp:inline>
        </w:drawing>
      </w:r>
      <w:r>
        <w:t xml:space="preserve"> připravit cytostatika objednaná objednatelem předcházející den do 14,00 hod. k převzetí objednatelem do 8,00 hod.</w:t>
      </w:r>
    </w:p>
    <w:p w14:paraId="1F3AF7F7" w14:textId="77777777" w:rsidR="00435258" w:rsidRDefault="00591576">
      <w:pPr>
        <w:numPr>
          <w:ilvl w:val="0"/>
          <w:numId w:val="2"/>
        </w:numPr>
        <w:ind w:right="14" w:hanging="245"/>
      </w:pPr>
      <w:r>
        <w:t>Objednatel se zavazuje:</w:t>
      </w:r>
    </w:p>
    <w:p w14:paraId="3447738E" w14:textId="3A6B96EE" w:rsidR="00435258" w:rsidRDefault="00591576">
      <w:pPr>
        <w:spacing w:after="793"/>
        <w:ind w:left="565" w:right="14"/>
      </w:pPr>
      <w:r>
        <w:rPr>
          <w:noProof/>
        </w:rPr>
        <w:drawing>
          <wp:inline distT="0" distB="0" distL="0" distR="0" wp14:anchorId="52B75273" wp14:editId="5DE2DB45">
            <wp:extent cx="50292" cy="22850"/>
            <wp:effectExtent l="0" t="0" r="0" b="0"/>
            <wp:docPr id="3137" name="Picture 3137"/>
            <wp:cNvGraphicFramePr/>
            <a:graphic xmlns:a="http://schemas.openxmlformats.org/drawingml/2006/main">
              <a:graphicData uri="http://schemas.openxmlformats.org/drawingml/2006/picture">
                <pic:pic xmlns:pic="http://schemas.openxmlformats.org/drawingml/2006/picture">
                  <pic:nvPicPr>
                    <pic:cNvPr id="3137" name="Picture 3137"/>
                    <pic:cNvPicPr/>
                  </pic:nvPicPr>
                  <pic:blipFill>
                    <a:blip r:embed="rId8"/>
                    <a:stretch>
                      <a:fillRect/>
                    </a:stretch>
                  </pic:blipFill>
                  <pic:spPr>
                    <a:xfrm>
                      <a:off x="0" y="0"/>
                      <a:ext cx="50292" cy="22850"/>
                    </a:xfrm>
                    <a:prstGeom prst="rect">
                      <a:avLst/>
                    </a:prstGeom>
                  </pic:spPr>
                </pic:pic>
              </a:graphicData>
            </a:graphic>
          </wp:inline>
        </w:drawing>
      </w:r>
      <w:r>
        <w:t xml:space="preserve"> řádně a včas objednaná léčiva převzít a uhradit zhotoviteli dále dohodnutou cenu </w:t>
      </w:r>
      <w:r>
        <w:rPr>
          <w:noProof/>
        </w:rPr>
        <w:drawing>
          <wp:inline distT="0" distB="0" distL="0" distR="0" wp14:anchorId="6302C992" wp14:editId="7CFBC844">
            <wp:extent cx="50292" cy="22850"/>
            <wp:effectExtent l="0" t="0" r="0" b="0"/>
            <wp:docPr id="3138" name="Picture 3138"/>
            <wp:cNvGraphicFramePr/>
            <a:graphic xmlns:a="http://schemas.openxmlformats.org/drawingml/2006/main">
              <a:graphicData uri="http://schemas.openxmlformats.org/drawingml/2006/picture">
                <pic:pic xmlns:pic="http://schemas.openxmlformats.org/drawingml/2006/picture">
                  <pic:nvPicPr>
                    <pic:cNvPr id="3138" name="Picture 3138"/>
                    <pic:cNvPicPr/>
                  </pic:nvPicPr>
                  <pic:blipFill>
                    <a:blip r:embed="rId9"/>
                    <a:stretch>
                      <a:fillRect/>
                    </a:stretch>
                  </pic:blipFill>
                  <pic:spPr>
                    <a:xfrm>
                      <a:off x="0" y="0"/>
                      <a:ext cx="50292" cy="22850"/>
                    </a:xfrm>
                    <a:prstGeom prst="rect">
                      <a:avLst/>
                    </a:prstGeom>
                  </pic:spPr>
                </pic:pic>
              </a:graphicData>
            </a:graphic>
          </wp:inline>
        </w:drawing>
      </w:r>
      <w:r>
        <w:t xml:space="preserve"> předat před první dodávkou léčiva zhotoviteli seznam osob oprávněných přijímat léčivé přípravky ke přepravě </w:t>
      </w:r>
      <w:r>
        <w:rPr>
          <w:noProof/>
        </w:rPr>
        <w:drawing>
          <wp:inline distT="0" distB="0" distL="0" distR="0" wp14:anchorId="623EDDED" wp14:editId="20D4A571">
            <wp:extent cx="50292" cy="22850"/>
            <wp:effectExtent l="0" t="0" r="0" b="0"/>
            <wp:docPr id="3139" name="Picture 3139"/>
            <wp:cNvGraphicFramePr/>
            <a:graphic xmlns:a="http://schemas.openxmlformats.org/drawingml/2006/main">
              <a:graphicData uri="http://schemas.openxmlformats.org/drawingml/2006/picture">
                <pic:pic xmlns:pic="http://schemas.openxmlformats.org/drawingml/2006/picture">
                  <pic:nvPicPr>
                    <pic:cNvPr id="3139" name="Picture 3139"/>
                    <pic:cNvPicPr/>
                  </pic:nvPicPr>
                  <pic:blipFill>
                    <a:blip r:embed="rId10"/>
                    <a:stretch>
                      <a:fillRect/>
                    </a:stretch>
                  </pic:blipFill>
                  <pic:spPr>
                    <a:xfrm>
                      <a:off x="0" y="0"/>
                      <a:ext cx="50292" cy="22850"/>
                    </a:xfrm>
                    <a:prstGeom prst="rect">
                      <a:avLst/>
                    </a:prstGeom>
                  </pic:spPr>
                </pic:pic>
              </a:graphicData>
            </a:graphic>
          </wp:inline>
        </w:drawing>
      </w:r>
      <w:r>
        <w:t xml:space="preserve"> proškolit oprávněné osoby s bezpečnostními předpisy k přepravě a manipulaci s léčivými přípravky </w:t>
      </w:r>
      <w:r>
        <w:rPr>
          <w:noProof/>
        </w:rPr>
        <w:drawing>
          <wp:inline distT="0" distB="0" distL="0" distR="0" wp14:anchorId="18DB9973" wp14:editId="3B9A8980">
            <wp:extent cx="45720" cy="22850"/>
            <wp:effectExtent l="0" t="0" r="0" b="0"/>
            <wp:docPr id="3140" name="Picture 3140"/>
            <wp:cNvGraphicFramePr/>
            <a:graphic xmlns:a="http://schemas.openxmlformats.org/drawingml/2006/main">
              <a:graphicData uri="http://schemas.openxmlformats.org/drawingml/2006/picture">
                <pic:pic xmlns:pic="http://schemas.openxmlformats.org/drawingml/2006/picture">
                  <pic:nvPicPr>
                    <pic:cNvPr id="3140" name="Picture 3140"/>
                    <pic:cNvPicPr/>
                  </pic:nvPicPr>
                  <pic:blipFill>
                    <a:blip r:embed="rId11"/>
                    <a:stretch>
                      <a:fillRect/>
                    </a:stretch>
                  </pic:blipFill>
                  <pic:spPr>
                    <a:xfrm>
                      <a:off x="0" y="0"/>
                      <a:ext cx="45720" cy="22850"/>
                    </a:xfrm>
                    <a:prstGeom prst="rect">
                      <a:avLst/>
                    </a:prstGeom>
                  </pic:spPr>
                </pic:pic>
              </a:graphicData>
            </a:graphic>
          </wp:inline>
        </w:drawing>
      </w:r>
      <w:r>
        <w:t xml:space="preserve"> zajistit x chladící plastové boxy pro dodržení předepsané teploty a zabránění kontaminaci při manipulaci </w:t>
      </w:r>
      <w:r>
        <w:rPr>
          <w:noProof/>
        </w:rPr>
        <w:drawing>
          <wp:inline distT="0" distB="0" distL="0" distR="0" wp14:anchorId="3299BA3C" wp14:editId="4E8A5541">
            <wp:extent cx="50292" cy="27420"/>
            <wp:effectExtent l="0" t="0" r="0" b="0"/>
            <wp:docPr id="3141" name="Picture 3141"/>
            <wp:cNvGraphicFramePr/>
            <a:graphic xmlns:a="http://schemas.openxmlformats.org/drawingml/2006/main">
              <a:graphicData uri="http://schemas.openxmlformats.org/drawingml/2006/picture">
                <pic:pic xmlns:pic="http://schemas.openxmlformats.org/drawingml/2006/picture">
                  <pic:nvPicPr>
                    <pic:cNvPr id="3141" name="Picture 3141"/>
                    <pic:cNvPicPr/>
                  </pic:nvPicPr>
                  <pic:blipFill>
                    <a:blip r:embed="rId12"/>
                    <a:stretch>
                      <a:fillRect/>
                    </a:stretch>
                  </pic:blipFill>
                  <pic:spPr>
                    <a:xfrm>
                      <a:off x="0" y="0"/>
                      <a:ext cx="50292" cy="27420"/>
                    </a:xfrm>
                    <a:prstGeom prst="rect">
                      <a:avLst/>
                    </a:prstGeom>
                  </pic:spPr>
                </pic:pic>
              </a:graphicData>
            </a:graphic>
          </wp:inline>
        </w:drawing>
      </w:r>
      <w:r>
        <w:t xml:space="preserve"> objednatel se zavazuje objednávat léčivé přípravky elektronicky přes program </w:t>
      </w:r>
      <w:proofErr w:type="spellStart"/>
      <w:r>
        <w:t>xxxxx</w:t>
      </w:r>
      <w:proofErr w:type="spellEnd"/>
      <w:r>
        <w:t xml:space="preserve"> s dostatečným časovým předstihem </w:t>
      </w:r>
      <w:r>
        <w:rPr>
          <w:noProof/>
        </w:rPr>
        <w:drawing>
          <wp:inline distT="0" distB="0" distL="0" distR="0" wp14:anchorId="2BF58711" wp14:editId="054B5299">
            <wp:extent cx="45720" cy="22850"/>
            <wp:effectExtent l="0" t="0" r="0" b="0"/>
            <wp:docPr id="3142" name="Picture 3142"/>
            <wp:cNvGraphicFramePr/>
            <a:graphic xmlns:a="http://schemas.openxmlformats.org/drawingml/2006/main">
              <a:graphicData uri="http://schemas.openxmlformats.org/drawingml/2006/picture">
                <pic:pic xmlns:pic="http://schemas.openxmlformats.org/drawingml/2006/picture">
                  <pic:nvPicPr>
                    <pic:cNvPr id="3142" name="Picture 3142"/>
                    <pic:cNvPicPr/>
                  </pic:nvPicPr>
                  <pic:blipFill>
                    <a:blip r:embed="rId13"/>
                    <a:stretch>
                      <a:fillRect/>
                    </a:stretch>
                  </pic:blipFill>
                  <pic:spPr>
                    <a:xfrm>
                      <a:off x="0" y="0"/>
                      <a:ext cx="45720" cy="22850"/>
                    </a:xfrm>
                    <a:prstGeom prst="rect">
                      <a:avLst/>
                    </a:prstGeom>
                  </pic:spPr>
                </pic:pic>
              </a:graphicData>
            </a:graphic>
          </wp:inline>
        </w:drawing>
      </w:r>
      <w:r>
        <w:t xml:space="preserve"> po dobu přepravy se monitoruje dodržování předepsané teploty skladování. Léčivo je přepravováno v uzavřeném chladícím obalu podle předpisu jednak při teplotě 2-8 C, nebo při teplotě 15-25 C.</w:t>
      </w:r>
    </w:p>
    <w:p w14:paraId="3428EA99" w14:textId="77777777" w:rsidR="00435258" w:rsidRDefault="00591576">
      <w:pPr>
        <w:spacing w:after="0" w:line="259" w:lineRule="auto"/>
        <w:ind w:left="151" w:right="0" w:firstLine="0"/>
        <w:jc w:val="center"/>
      </w:pPr>
      <w:r>
        <w:rPr>
          <w:sz w:val="22"/>
        </w:rPr>
        <w:t>111.</w:t>
      </w:r>
    </w:p>
    <w:p w14:paraId="20BCCB85" w14:textId="77777777" w:rsidR="00435258" w:rsidRDefault="00591576">
      <w:pPr>
        <w:pStyle w:val="Nadpis1"/>
        <w:ind w:left="233" w:right="65"/>
      </w:pPr>
      <w:r>
        <w:t>Cena díla</w:t>
      </w:r>
    </w:p>
    <w:p w14:paraId="05D8824A" w14:textId="77777777" w:rsidR="00435258" w:rsidRDefault="00591576">
      <w:pPr>
        <w:spacing w:after="201"/>
        <w:ind w:left="211" w:right="14"/>
      </w:pPr>
      <w:r>
        <w:t xml:space="preserve">1. Objednatel se zavazuje uhradit zhotoviteli cenu díla ve výši součtu ceny za provedené ředění a ceny spotřebovaného množství použitých léčiv a </w:t>
      </w:r>
      <w:proofErr w:type="spellStart"/>
      <w:r>
        <w:t>infusorů</w:t>
      </w:r>
      <w:proofErr w:type="spellEnd"/>
      <w:r>
        <w:t>, jak následuje:</w:t>
      </w:r>
    </w:p>
    <w:p w14:paraId="5E0B039C" w14:textId="77777777" w:rsidR="00435258" w:rsidRDefault="00591576">
      <w:pPr>
        <w:ind w:left="211" w:right="14"/>
      </w:pPr>
      <w:r>
        <w:t>- cena dle počtu provedených ředění:</w:t>
      </w:r>
    </w:p>
    <w:p w14:paraId="67965063" w14:textId="4E958AE8" w:rsidR="00435258" w:rsidRDefault="00591576">
      <w:pPr>
        <w:numPr>
          <w:ilvl w:val="0"/>
          <w:numId w:val="3"/>
        </w:numPr>
        <w:ind w:right="14" w:hanging="259"/>
      </w:pPr>
      <w:r>
        <w:t xml:space="preserve">od x — </w:t>
      </w:r>
      <w:proofErr w:type="spellStart"/>
      <w:r>
        <w:t>xx</w:t>
      </w:r>
      <w:proofErr w:type="spellEnd"/>
      <w:r>
        <w:t xml:space="preserve"> ředění za </w:t>
      </w:r>
      <w:proofErr w:type="gramStart"/>
      <w:r>
        <w:t>měsíc - cena</w:t>
      </w:r>
      <w:proofErr w:type="gramEnd"/>
      <w:r>
        <w:t xml:space="preserve"> </w:t>
      </w:r>
      <w:proofErr w:type="spellStart"/>
      <w:r>
        <w:t>xxxxKč</w:t>
      </w:r>
      <w:proofErr w:type="spellEnd"/>
      <w:r>
        <w:t xml:space="preserve"> /I ředění</w:t>
      </w:r>
    </w:p>
    <w:p w14:paraId="0C96C234" w14:textId="4FC9ABC2" w:rsidR="00435258" w:rsidRDefault="00591576">
      <w:pPr>
        <w:numPr>
          <w:ilvl w:val="0"/>
          <w:numId w:val="3"/>
        </w:numPr>
        <w:spacing w:after="194"/>
        <w:ind w:right="14" w:hanging="259"/>
      </w:pPr>
      <w:r>
        <w:t xml:space="preserve">více jak </w:t>
      </w:r>
      <w:proofErr w:type="spellStart"/>
      <w:r>
        <w:t>xxx</w:t>
      </w:r>
      <w:proofErr w:type="spellEnd"/>
      <w:r>
        <w:t xml:space="preserve"> ředění za </w:t>
      </w:r>
      <w:proofErr w:type="gramStart"/>
      <w:r>
        <w:t>měsíc - cena</w:t>
      </w:r>
      <w:proofErr w:type="gramEnd"/>
      <w:r>
        <w:t xml:space="preserve"> </w:t>
      </w:r>
      <w:proofErr w:type="spellStart"/>
      <w:r>
        <w:t>xxx</w:t>
      </w:r>
      <w:proofErr w:type="spellEnd"/>
      <w:r>
        <w:t xml:space="preserve"> Kč / 1 ředění</w:t>
      </w:r>
    </w:p>
    <w:p w14:paraId="0EA50F5F" w14:textId="77777777" w:rsidR="00435258" w:rsidRDefault="00591576">
      <w:pPr>
        <w:ind w:left="211" w:right="14"/>
      </w:pPr>
      <w:r>
        <w:t xml:space="preserve">- cena dle nákupní ceny a množství spotřebovaných cytostatických léčiv a </w:t>
      </w:r>
      <w:proofErr w:type="spellStart"/>
      <w:proofErr w:type="gramStart"/>
      <w:r>
        <w:t>infusorů</w:t>
      </w:r>
      <w:proofErr w:type="spellEnd"/>
      <w:r>
        <w:t xml:space="preserve"> ,</w:t>
      </w:r>
      <w:proofErr w:type="gramEnd"/>
      <w:r>
        <w:t xml:space="preserve"> a to:</w:t>
      </w:r>
    </w:p>
    <w:p w14:paraId="6D4B781D" w14:textId="10F0F4FF" w:rsidR="00435258" w:rsidRDefault="00591576">
      <w:pPr>
        <w:numPr>
          <w:ilvl w:val="0"/>
          <w:numId w:val="4"/>
        </w:numPr>
        <w:ind w:right="14" w:hanging="259"/>
      </w:pPr>
      <w:r>
        <w:t xml:space="preserve">nákupní cena x Kč — </w:t>
      </w:r>
      <w:proofErr w:type="spellStart"/>
      <w:r>
        <w:t>xxxxxx</w:t>
      </w:r>
      <w:proofErr w:type="spellEnd"/>
      <w:r>
        <w:t xml:space="preserve"> Kč včetně /za 1 balení + obchodní přirážka x%</w:t>
      </w:r>
    </w:p>
    <w:p w14:paraId="034BF11E" w14:textId="23B17345" w:rsidR="00435258" w:rsidRDefault="00591576">
      <w:pPr>
        <w:numPr>
          <w:ilvl w:val="0"/>
          <w:numId w:val="4"/>
        </w:numPr>
        <w:ind w:right="14" w:hanging="259"/>
      </w:pPr>
      <w:r>
        <w:t xml:space="preserve">nákupní cena </w:t>
      </w:r>
      <w:proofErr w:type="spellStart"/>
      <w:r>
        <w:t>xxxxxx</w:t>
      </w:r>
      <w:proofErr w:type="spellEnd"/>
      <w:r>
        <w:t xml:space="preserve"> Kč — </w:t>
      </w:r>
      <w:proofErr w:type="spellStart"/>
      <w:r>
        <w:t>xxxxxx</w:t>
      </w:r>
      <w:proofErr w:type="spellEnd"/>
      <w:r>
        <w:t xml:space="preserve"> Kč /za 1 balení + obchodní přirážka x%</w:t>
      </w:r>
    </w:p>
    <w:p w14:paraId="136DB3B0" w14:textId="029C5406" w:rsidR="00435258" w:rsidRDefault="00591576">
      <w:pPr>
        <w:numPr>
          <w:ilvl w:val="0"/>
          <w:numId w:val="4"/>
        </w:numPr>
        <w:spacing w:after="218"/>
        <w:ind w:right="14" w:hanging="259"/>
      </w:pPr>
      <w:r>
        <w:t xml:space="preserve">nákupní cena </w:t>
      </w:r>
      <w:proofErr w:type="spellStart"/>
      <w:r>
        <w:t>xxxxxxx</w:t>
      </w:r>
      <w:proofErr w:type="spellEnd"/>
      <w:r>
        <w:t xml:space="preserve"> Kč a výše/za x balení + obchodní přirážka x%</w:t>
      </w:r>
    </w:p>
    <w:p w14:paraId="72932BB9" w14:textId="77777777" w:rsidR="00435258" w:rsidRDefault="00591576">
      <w:pPr>
        <w:numPr>
          <w:ilvl w:val="0"/>
          <w:numId w:val="5"/>
        </w:numPr>
        <w:spacing w:after="511"/>
        <w:ind w:right="14"/>
      </w:pPr>
      <w:r>
        <w:t xml:space="preserve">Cena léčiv a </w:t>
      </w:r>
      <w:proofErr w:type="spellStart"/>
      <w:r>
        <w:t>infusorů</w:t>
      </w:r>
      <w:proofErr w:type="spellEnd"/>
      <w:r>
        <w:t xml:space="preserve"> bude fakturována v nákupních cenách bez DPH plus obchodní přirážka zhotovitele, jak uvedena shora.</w:t>
      </w:r>
    </w:p>
    <w:p w14:paraId="13013F50" w14:textId="5E32B811" w:rsidR="00435258" w:rsidRDefault="00591576">
      <w:pPr>
        <w:numPr>
          <w:ilvl w:val="0"/>
          <w:numId w:val="5"/>
        </w:numPr>
        <w:spacing w:after="232"/>
        <w:ind w:right="14"/>
      </w:pPr>
      <w:r>
        <w:lastRenderedPageBreak/>
        <w:t xml:space="preserve">Kupující se dále zavazuje uhradit cenu za užívání jeho softwarového vybavení k elektronickým objednávkám zboží ve výši </w:t>
      </w:r>
      <w:proofErr w:type="spellStart"/>
      <w:r>
        <w:t>xxx</w:t>
      </w:r>
      <w:proofErr w:type="spellEnd"/>
      <w:r>
        <w:t xml:space="preserve"> Kč měsíčně a jednorázový instalační poplatek ve výši </w:t>
      </w:r>
      <w:proofErr w:type="spellStart"/>
      <w:r>
        <w:t>xxxx</w:t>
      </w:r>
      <w:proofErr w:type="spellEnd"/>
      <w:r>
        <w:t xml:space="preserve"> Kč.</w:t>
      </w:r>
    </w:p>
    <w:p w14:paraId="31E69124" w14:textId="77777777" w:rsidR="00435258" w:rsidRDefault="00591576">
      <w:pPr>
        <w:spacing w:after="218" w:line="259" w:lineRule="auto"/>
        <w:ind w:left="230" w:right="0" w:firstLine="0"/>
        <w:jc w:val="left"/>
      </w:pPr>
      <w:r>
        <w:rPr>
          <w:sz w:val="26"/>
        </w:rPr>
        <w:t>K uvedeným cenám bude připočteno DPH dle platných předpisů</w:t>
      </w:r>
    </w:p>
    <w:p w14:paraId="755AEAF1" w14:textId="77777777" w:rsidR="00435258" w:rsidRDefault="00591576">
      <w:pPr>
        <w:ind w:left="211" w:right="14"/>
      </w:pPr>
      <w:r>
        <w:t xml:space="preserve">Nákupní ceny léčiv a </w:t>
      </w:r>
      <w:proofErr w:type="spellStart"/>
      <w:r>
        <w:t>infusorů</w:t>
      </w:r>
      <w:proofErr w:type="spellEnd"/>
      <w:r>
        <w:t xml:space="preserve"> pro objednavatele</w:t>
      </w:r>
    </w:p>
    <w:p w14:paraId="3BF409BA" w14:textId="77777777" w:rsidR="00435258" w:rsidRDefault="00591576">
      <w:pPr>
        <w:numPr>
          <w:ilvl w:val="0"/>
          <w:numId w:val="6"/>
        </w:numPr>
        <w:ind w:right="14" w:hanging="360"/>
      </w:pPr>
      <w:r>
        <w:t>dojedná objednavatel přímo s výrobcem nebo distributorem</w:t>
      </w:r>
    </w:p>
    <w:p w14:paraId="1C25E6E2" w14:textId="77777777" w:rsidR="00435258" w:rsidRDefault="00591576">
      <w:pPr>
        <w:numPr>
          <w:ilvl w:val="0"/>
          <w:numId w:val="6"/>
        </w:numPr>
        <w:spacing w:after="531"/>
        <w:ind w:right="14" w:hanging="360"/>
      </w:pPr>
      <w:r>
        <w:t>případně objednavatel schválí cenu dojednanou dodavatelem</w:t>
      </w:r>
    </w:p>
    <w:p w14:paraId="75173C6C" w14:textId="77777777" w:rsidR="00435258" w:rsidRDefault="00591576">
      <w:pPr>
        <w:numPr>
          <w:ilvl w:val="0"/>
          <w:numId w:val="7"/>
        </w:numPr>
        <w:spacing w:after="237"/>
        <w:ind w:right="14" w:hanging="238"/>
      </w:pPr>
      <w:r>
        <w:t>Smluvní strany se dohodly, že takto dohodnutá cena díla bude uhrazena objednatelem bankovním převodem na základě faktury vždy za uplynulý kalendářní měsíc. Splatnost faktury je 14 dní ode dne doručení objednateli.</w:t>
      </w:r>
    </w:p>
    <w:p w14:paraId="1775F0A6" w14:textId="77777777" w:rsidR="00435258" w:rsidRDefault="00591576">
      <w:pPr>
        <w:numPr>
          <w:ilvl w:val="0"/>
          <w:numId w:val="7"/>
        </w:numPr>
        <w:ind w:right="14" w:hanging="238"/>
      </w:pPr>
      <w:r>
        <w:t>Faktury musí obsahovat náležitosti daňového dokladu v souladu s ustanovením 28 zákona</w:t>
      </w:r>
    </w:p>
    <w:p w14:paraId="229DDC0F" w14:textId="77777777" w:rsidR="00435258" w:rsidRDefault="00591576">
      <w:pPr>
        <w:spacing w:after="276"/>
        <w:ind w:left="211" w:right="14"/>
      </w:pPr>
      <w:r>
        <w:t>č. 235/2004 Sb., o dani z přidané hodnoty, ve znění pozdějších předpisů. Objednatel je oprávněn vrátit zhotoviteli fakturu, která neobsahuje některou zákonnou náležitost.</w:t>
      </w:r>
    </w:p>
    <w:p w14:paraId="1D0FF76E" w14:textId="3E0C029A" w:rsidR="00435258" w:rsidRDefault="00591576">
      <w:pPr>
        <w:numPr>
          <w:ilvl w:val="0"/>
          <w:numId w:val="7"/>
        </w:numPr>
        <w:spacing w:after="747"/>
        <w:ind w:right="14" w:hanging="238"/>
      </w:pPr>
      <w:r>
        <w:t xml:space="preserve">V případě prodlení objednatele se zaplacením ceny je objednatel povinen uhradit zhotoviteli smluvní úrok z prodlení ve výši </w:t>
      </w:r>
      <w:proofErr w:type="spellStart"/>
      <w:r>
        <w:t>xxxxx</w:t>
      </w:r>
      <w:proofErr w:type="spellEnd"/>
      <w:r>
        <w:t xml:space="preserve"> % z ceny díla za každý započatý den prodlení s úhradou faktury.</w:t>
      </w:r>
    </w:p>
    <w:p w14:paraId="0893F17C" w14:textId="77777777" w:rsidR="00435258" w:rsidRDefault="00591576">
      <w:pPr>
        <w:pStyle w:val="Nadpis1"/>
        <w:spacing w:after="254"/>
        <w:ind w:left="233"/>
      </w:pPr>
      <w:r>
        <w:t>Závěrečná ustanovení</w:t>
      </w:r>
    </w:p>
    <w:p w14:paraId="2EA3D034" w14:textId="77777777" w:rsidR="00435258" w:rsidRDefault="00591576">
      <w:pPr>
        <w:numPr>
          <w:ilvl w:val="0"/>
          <w:numId w:val="8"/>
        </w:numPr>
        <w:ind w:right="14" w:hanging="353"/>
      </w:pPr>
      <w:r>
        <w:t>Tato smlouva se uzavírá na dobu neurčitou.</w:t>
      </w:r>
    </w:p>
    <w:p w14:paraId="5D773088" w14:textId="77777777" w:rsidR="00435258" w:rsidRDefault="00591576">
      <w:pPr>
        <w:numPr>
          <w:ilvl w:val="0"/>
          <w:numId w:val="8"/>
        </w:numPr>
        <w:ind w:right="14" w:hanging="353"/>
      </w:pPr>
      <w:r>
        <w:t>Kterákoli ze smluvních stran může tuto smlouvu vypovědět, a to s výpovědní dobou 2 měsíce, která počne běžet prvním dnem měsíce následujícího po měsíci, ve kterém byla doručena písemná výpověď. V případě prodlení objednatele s úhradou ceny díla nebo jiného peněžitého závazku po dobu delší 14 ti dnů, je zhotovitel oprávněn od této smlouvy odstoupit s okamžitým účinkem ke dni doručení oznámení o odstoupení objednateli.</w:t>
      </w:r>
    </w:p>
    <w:p w14:paraId="408DC2D9" w14:textId="77777777" w:rsidR="00435258" w:rsidRDefault="00591576">
      <w:pPr>
        <w:numPr>
          <w:ilvl w:val="0"/>
          <w:numId w:val="8"/>
        </w:numPr>
        <w:ind w:right="14" w:hanging="353"/>
      </w:pPr>
      <w:r>
        <w:t>Změnu nebo doplnění této smlouvy je možné provést pouze písemným dodatkem k této smlouvě.</w:t>
      </w:r>
    </w:p>
    <w:p w14:paraId="1978D8D3" w14:textId="77777777" w:rsidR="00435258" w:rsidRDefault="00591576">
      <w:pPr>
        <w:numPr>
          <w:ilvl w:val="0"/>
          <w:numId w:val="8"/>
        </w:numPr>
        <w:ind w:right="14" w:hanging="353"/>
      </w:pPr>
      <w:r>
        <w:t xml:space="preserve">Neplatnost kterýchkoliv jednotlivých ustanovení této smlouvy nemá vliv na platnost této smlouvy jako celku. Pokud bude kterékoliv z ustanovení této smlouvy neplatné nebo nevynutitelné podle příslušných zákonů, strany této smlouvy souhlasí s tím, že je nahradí jiným ustanovením, které je platné, zákonné a vynutitelné, a které bude co možná nejvíce odpovídat významu a účelu předešlého ustanovení, který bylo neplatné nebo nezákonné nebo nevynutitelné. Jinak budou použity ustanovení </w:t>
      </w:r>
      <w:r>
        <w:rPr>
          <w:noProof/>
        </w:rPr>
        <w:drawing>
          <wp:inline distT="0" distB="0" distL="0" distR="0" wp14:anchorId="35AC6CA2" wp14:editId="32D04D68">
            <wp:extent cx="1353312" cy="155380"/>
            <wp:effectExtent l="0" t="0" r="0" b="0"/>
            <wp:docPr id="5615" name="Picture 5615"/>
            <wp:cNvGraphicFramePr/>
            <a:graphic xmlns:a="http://schemas.openxmlformats.org/drawingml/2006/main">
              <a:graphicData uri="http://schemas.openxmlformats.org/drawingml/2006/picture">
                <pic:pic xmlns:pic="http://schemas.openxmlformats.org/drawingml/2006/picture">
                  <pic:nvPicPr>
                    <pic:cNvPr id="5615" name="Picture 5615"/>
                    <pic:cNvPicPr/>
                  </pic:nvPicPr>
                  <pic:blipFill>
                    <a:blip r:embed="rId14"/>
                    <a:stretch>
                      <a:fillRect/>
                    </a:stretch>
                  </pic:blipFill>
                  <pic:spPr>
                    <a:xfrm>
                      <a:off x="0" y="0"/>
                      <a:ext cx="1353312" cy="155380"/>
                    </a:xfrm>
                    <a:prstGeom prst="rect">
                      <a:avLst/>
                    </a:prstGeom>
                  </pic:spPr>
                </pic:pic>
              </a:graphicData>
            </a:graphic>
          </wp:inline>
        </w:drawing>
      </w:r>
      <w:r>
        <w:t xml:space="preserve"> která upravují obchodní závazkové vztahy, a pokud nebude možné řešit některé otázky podle těchto ustanovení, budou na ně aplikovány předpisy občanského práva. Pokud ani tyto předpisy nebude možné použít, budou aplikovány spočívá *</w:t>
      </w:r>
      <w:proofErr w:type="spellStart"/>
      <w:r>
        <w:t>Ľzákoník.obchodní</w:t>
      </w:r>
      <w:proofErr w:type="spellEnd"/>
      <w:r>
        <w:t xml:space="preserve"> zvyklosti nejbližší tomuto smluvnímu vztahu, resp. zásady, na kterých </w:t>
      </w:r>
    </w:p>
    <w:p w14:paraId="0AD857CB" w14:textId="573CC888" w:rsidR="001D1907" w:rsidRDefault="00591576" w:rsidP="001D1907">
      <w:pPr>
        <w:numPr>
          <w:ilvl w:val="0"/>
          <w:numId w:val="8"/>
        </w:numPr>
        <w:spacing w:after="1080" w:line="250" w:lineRule="auto"/>
        <w:ind w:left="494" w:right="11" w:hanging="352"/>
      </w:pPr>
      <w:r>
        <w:lastRenderedPageBreak/>
        <w:t>Tato smlouvaje sepsána ve dvou stejnopisech, když po jednom obdrží každá ze smluvních stran</w:t>
      </w:r>
      <w:r w:rsidR="001D1907">
        <w:t>.</w:t>
      </w:r>
    </w:p>
    <w:p w14:paraId="573E767D" w14:textId="74123EFF" w:rsidR="001D1907" w:rsidRDefault="001D1907" w:rsidP="001D1907">
      <w:pPr>
        <w:spacing w:after="1689"/>
        <w:ind w:left="144" w:right="14" w:firstLine="353"/>
      </w:pPr>
      <w:r>
        <w:t>V Benešově dne</w:t>
      </w:r>
      <w:r>
        <w:tab/>
      </w:r>
      <w:r>
        <w:tab/>
      </w:r>
      <w:r>
        <w:tab/>
      </w:r>
      <w:r>
        <w:tab/>
      </w:r>
      <w:r>
        <w:tab/>
      </w:r>
      <w:r>
        <w:tab/>
        <w:t>V Příbrami dne</w:t>
      </w:r>
    </w:p>
    <w:p w14:paraId="1D98445A" w14:textId="78BF3198" w:rsidR="001D1907" w:rsidRDefault="001D1907" w:rsidP="001D1907">
      <w:pPr>
        <w:spacing w:after="1689"/>
        <w:ind w:left="144" w:right="14" w:firstLine="353"/>
      </w:pPr>
      <w:r>
        <w:t xml:space="preserve">-------------------------------                      </w:t>
      </w:r>
      <w:r>
        <w:tab/>
        <w:t xml:space="preserve">           </w:t>
      </w:r>
      <w:r>
        <w:t>-------------------------------</w:t>
      </w:r>
      <w:r>
        <w:br/>
      </w:r>
      <w:r>
        <w:t xml:space="preserve">       Ing. Petr Hostek, MBA                                                MUDr. Stanislav Holobrada</w:t>
      </w:r>
    </w:p>
    <w:p w14:paraId="0566342E" w14:textId="77777777" w:rsidR="001D1907" w:rsidRDefault="001D1907" w:rsidP="001D1907">
      <w:pPr>
        <w:spacing w:before="100" w:beforeAutospacing="1" w:after="840" w:line="250" w:lineRule="auto"/>
        <w:ind w:left="142" w:right="11" w:firstLine="352"/>
      </w:pPr>
    </w:p>
    <w:p w14:paraId="5544DD9E" w14:textId="77777777" w:rsidR="001D1907" w:rsidRDefault="001D1907" w:rsidP="001D1907">
      <w:pPr>
        <w:spacing w:after="1689"/>
        <w:ind w:left="144" w:right="14" w:firstLine="0"/>
      </w:pPr>
    </w:p>
    <w:tbl>
      <w:tblPr>
        <w:tblStyle w:val="TableGrid"/>
        <w:tblW w:w="8698" w:type="dxa"/>
        <w:tblInd w:w="115" w:type="dxa"/>
        <w:tblLook w:val="04A0" w:firstRow="1" w:lastRow="0" w:firstColumn="1" w:lastColumn="0" w:noHBand="0" w:noVBand="1"/>
      </w:tblPr>
      <w:tblGrid>
        <w:gridCol w:w="4583"/>
        <w:gridCol w:w="4115"/>
      </w:tblGrid>
      <w:tr w:rsidR="00435258" w14:paraId="23EC1602" w14:textId="77777777">
        <w:trPr>
          <w:trHeight w:val="1799"/>
        </w:trPr>
        <w:tc>
          <w:tcPr>
            <w:tcW w:w="4583" w:type="dxa"/>
            <w:vMerge w:val="restart"/>
            <w:tcBorders>
              <w:top w:val="nil"/>
              <w:left w:val="nil"/>
              <w:bottom w:val="nil"/>
              <w:right w:val="nil"/>
            </w:tcBorders>
          </w:tcPr>
          <w:p w14:paraId="6E8E7BB3" w14:textId="65B95845" w:rsidR="00435258" w:rsidRDefault="00435258">
            <w:pPr>
              <w:spacing w:after="0" w:line="259" w:lineRule="auto"/>
              <w:ind w:left="14" w:right="0" w:firstLine="0"/>
              <w:jc w:val="left"/>
            </w:pPr>
            <w:bookmarkStart w:id="0" w:name="_GoBack"/>
            <w:bookmarkEnd w:id="0"/>
          </w:p>
        </w:tc>
        <w:tc>
          <w:tcPr>
            <w:tcW w:w="4115" w:type="dxa"/>
            <w:tcBorders>
              <w:top w:val="nil"/>
              <w:left w:val="nil"/>
              <w:bottom w:val="nil"/>
              <w:right w:val="nil"/>
            </w:tcBorders>
          </w:tcPr>
          <w:p w14:paraId="6B2C775D" w14:textId="4758EE5E" w:rsidR="00435258" w:rsidRDefault="00435258">
            <w:pPr>
              <w:spacing w:after="0" w:line="259" w:lineRule="auto"/>
              <w:ind w:left="889" w:right="0" w:firstLine="0"/>
              <w:jc w:val="left"/>
            </w:pPr>
          </w:p>
        </w:tc>
      </w:tr>
      <w:tr w:rsidR="00435258" w14:paraId="6A39865C" w14:textId="77777777">
        <w:trPr>
          <w:trHeight w:val="1367"/>
        </w:trPr>
        <w:tc>
          <w:tcPr>
            <w:tcW w:w="0" w:type="auto"/>
            <w:vMerge/>
            <w:tcBorders>
              <w:top w:val="nil"/>
              <w:left w:val="nil"/>
              <w:bottom w:val="nil"/>
              <w:right w:val="nil"/>
            </w:tcBorders>
          </w:tcPr>
          <w:p w14:paraId="331521DF" w14:textId="77777777" w:rsidR="00435258" w:rsidRDefault="00435258">
            <w:pPr>
              <w:spacing w:after="160" w:line="259" w:lineRule="auto"/>
              <w:ind w:left="0" w:right="0" w:firstLine="0"/>
              <w:jc w:val="left"/>
            </w:pPr>
          </w:p>
        </w:tc>
        <w:tc>
          <w:tcPr>
            <w:tcW w:w="4115" w:type="dxa"/>
            <w:tcBorders>
              <w:top w:val="nil"/>
              <w:left w:val="nil"/>
              <w:bottom w:val="nil"/>
              <w:right w:val="nil"/>
            </w:tcBorders>
          </w:tcPr>
          <w:p w14:paraId="3D89CAE5" w14:textId="77777777" w:rsidR="00435258" w:rsidRDefault="00435258">
            <w:pPr>
              <w:spacing w:after="160" w:line="259" w:lineRule="auto"/>
              <w:ind w:left="0" w:right="0" w:firstLine="0"/>
              <w:jc w:val="left"/>
            </w:pPr>
          </w:p>
        </w:tc>
      </w:tr>
    </w:tbl>
    <w:p w14:paraId="3BE46917" w14:textId="77777777" w:rsidR="005D12BB" w:rsidRDefault="005D12BB"/>
    <w:sectPr w:rsidR="005D12BB">
      <w:pgSz w:w="11563" w:h="16488"/>
      <w:pgMar w:top="1192" w:right="1339" w:bottom="1952" w:left="91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75115594" o:spid="_x0000_i1026" type="#_x0000_t75" style="width:.75pt;height:.75pt;visibility:visible;mso-wrap-style:square" o:bullet="t" filled="t">
        <v:imagedata r:id="rId1" o:title=""/>
        <o:lock v:ext="edit" aspectratio="f"/>
      </v:shape>
    </w:pict>
  </w:numPicBullet>
  <w:abstractNum w:abstractNumId="0" w15:restartNumberingAfterBreak="0">
    <w:nsid w:val="4062328A"/>
    <w:multiLevelType w:val="hybridMultilevel"/>
    <w:tmpl w:val="4940957E"/>
    <w:lvl w:ilvl="0" w:tplc="80328EC2">
      <w:start w:val="1"/>
      <w:numFmt w:val="lowerLetter"/>
      <w:lvlText w:val="%1)"/>
      <w:lvlJc w:val="left"/>
      <w:pPr>
        <w:ind w:left="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08690E">
      <w:start w:val="1"/>
      <w:numFmt w:val="lowerLetter"/>
      <w:lvlText w:val="%2"/>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A21DDA">
      <w:start w:val="1"/>
      <w:numFmt w:val="lowerRoman"/>
      <w:lvlText w:val="%3"/>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A41B1C">
      <w:start w:val="1"/>
      <w:numFmt w:val="decimal"/>
      <w:lvlText w:val="%4"/>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5AF18C">
      <w:start w:val="1"/>
      <w:numFmt w:val="lowerLetter"/>
      <w:lvlText w:val="%5"/>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6A9100">
      <w:start w:val="1"/>
      <w:numFmt w:val="lowerRoman"/>
      <w:lvlText w:val="%6"/>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867006">
      <w:start w:val="1"/>
      <w:numFmt w:val="decimal"/>
      <w:lvlText w:val="%7"/>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F6F584">
      <w:start w:val="1"/>
      <w:numFmt w:val="lowerLetter"/>
      <w:lvlText w:val="%8"/>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D8BDE6">
      <w:start w:val="1"/>
      <w:numFmt w:val="lowerRoman"/>
      <w:lvlText w:val="%9"/>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D062BC3"/>
    <w:multiLevelType w:val="hybridMultilevel"/>
    <w:tmpl w:val="17F43DA2"/>
    <w:lvl w:ilvl="0" w:tplc="E0E692A4">
      <w:start w:val="1"/>
      <w:numFmt w:val="decimal"/>
      <w:lvlText w:val="%1."/>
      <w:lvlJc w:val="left"/>
      <w:pPr>
        <w:ind w:left="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C8E1B2">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4EC18E">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2AFEC0">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EA3C5A">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6AB7E8">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DCAA16">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5A9A7C">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D6B9F2">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41D1733"/>
    <w:multiLevelType w:val="hybridMultilevel"/>
    <w:tmpl w:val="43CC367C"/>
    <w:lvl w:ilvl="0" w:tplc="9EC68E56">
      <w:start w:val="1"/>
      <w:numFmt w:val="lowerLetter"/>
      <w:lvlText w:val="%1)"/>
      <w:lvlJc w:val="left"/>
      <w:pPr>
        <w:ind w:left="1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1409BE">
      <w:start w:val="1"/>
      <w:numFmt w:val="lowerLetter"/>
      <w:lvlText w:val="%2"/>
      <w:lvlJc w:val="left"/>
      <w:pPr>
        <w:ind w:left="1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E0D6BA">
      <w:start w:val="1"/>
      <w:numFmt w:val="lowerRoman"/>
      <w:lvlText w:val="%3"/>
      <w:lvlJc w:val="left"/>
      <w:pPr>
        <w:ind w:left="2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349810">
      <w:start w:val="1"/>
      <w:numFmt w:val="decimal"/>
      <w:lvlText w:val="%4"/>
      <w:lvlJc w:val="left"/>
      <w:pPr>
        <w:ind w:left="33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A0D0CC">
      <w:start w:val="1"/>
      <w:numFmt w:val="lowerLetter"/>
      <w:lvlText w:val="%5"/>
      <w:lvlJc w:val="left"/>
      <w:pPr>
        <w:ind w:left="40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D2DD28">
      <w:start w:val="1"/>
      <w:numFmt w:val="lowerRoman"/>
      <w:lvlText w:val="%6"/>
      <w:lvlJc w:val="left"/>
      <w:pPr>
        <w:ind w:left="4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56E2AE">
      <w:start w:val="1"/>
      <w:numFmt w:val="decimal"/>
      <w:lvlText w:val="%7"/>
      <w:lvlJc w:val="left"/>
      <w:pPr>
        <w:ind w:left="5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40B4D2">
      <w:start w:val="1"/>
      <w:numFmt w:val="lowerLetter"/>
      <w:lvlText w:val="%8"/>
      <w:lvlJc w:val="left"/>
      <w:pPr>
        <w:ind w:left="6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3E56CA">
      <w:start w:val="1"/>
      <w:numFmt w:val="lowerRoman"/>
      <w:lvlText w:val="%9"/>
      <w:lvlJc w:val="left"/>
      <w:pPr>
        <w:ind w:left="6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56B47E0C"/>
    <w:multiLevelType w:val="hybridMultilevel"/>
    <w:tmpl w:val="EC948374"/>
    <w:lvl w:ilvl="0" w:tplc="970891F2">
      <w:start w:val="1"/>
      <w:numFmt w:val="decimal"/>
      <w:lvlText w:val="%1."/>
      <w:lvlJc w:val="left"/>
      <w:pPr>
        <w:ind w:left="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FC6660">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C6809E">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88DA70">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9209A0">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B8FE02">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D89614">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60D04A">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822DAE">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9170B15"/>
    <w:multiLevelType w:val="hybridMultilevel"/>
    <w:tmpl w:val="A8E04D42"/>
    <w:lvl w:ilvl="0" w:tplc="709C6BEA">
      <w:start w:val="3"/>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CA443C">
      <w:start w:val="1"/>
      <w:numFmt w:val="lowerLetter"/>
      <w:lvlText w:val="%2"/>
      <w:lvlJc w:val="left"/>
      <w:pPr>
        <w:ind w:left="1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E8586E">
      <w:start w:val="1"/>
      <w:numFmt w:val="lowerRoman"/>
      <w:lvlText w:val="%3"/>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8C858">
      <w:start w:val="1"/>
      <w:numFmt w:val="decimal"/>
      <w:lvlText w:val="%4"/>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AF72E">
      <w:start w:val="1"/>
      <w:numFmt w:val="lowerLetter"/>
      <w:lvlText w:val="%5"/>
      <w:lvlJc w:val="left"/>
      <w:pPr>
        <w:ind w:left="3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74B184">
      <w:start w:val="1"/>
      <w:numFmt w:val="lowerRoman"/>
      <w:lvlText w:val="%6"/>
      <w:lvlJc w:val="left"/>
      <w:pPr>
        <w:ind w:left="4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CAD3E">
      <w:start w:val="1"/>
      <w:numFmt w:val="decimal"/>
      <w:lvlText w:val="%7"/>
      <w:lvlJc w:val="left"/>
      <w:pPr>
        <w:ind w:left="4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98CAFE">
      <w:start w:val="1"/>
      <w:numFmt w:val="lowerLetter"/>
      <w:lvlText w:val="%8"/>
      <w:lvlJc w:val="left"/>
      <w:pPr>
        <w:ind w:left="5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E41184">
      <w:start w:val="1"/>
      <w:numFmt w:val="lowerRoman"/>
      <w:lvlText w:val="%9"/>
      <w:lvlJc w:val="left"/>
      <w:pPr>
        <w:ind w:left="6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3D5F93"/>
    <w:multiLevelType w:val="hybridMultilevel"/>
    <w:tmpl w:val="9F9A4ED8"/>
    <w:lvl w:ilvl="0" w:tplc="404CFE48">
      <w:start w:val="1"/>
      <w:numFmt w:val="lowerLetter"/>
      <w:lvlText w:val="%1)"/>
      <w:lvlJc w:val="left"/>
      <w:pPr>
        <w:ind w:left="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2CD0B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18568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5A71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C6C1D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A86A2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DA84F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266F7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365C7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F8C1E56"/>
    <w:multiLevelType w:val="hybridMultilevel"/>
    <w:tmpl w:val="FBC65F90"/>
    <w:lvl w:ilvl="0" w:tplc="7D5A6510">
      <w:start w:val="2"/>
      <w:numFmt w:val="decimal"/>
      <w:lvlText w:val="%1."/>
      <w:lvlJc w:val="left"/>
      <w:pPr>
        <w:ind w:left="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60A66E">
      <w:start w:val="1"/>
      <w:numFmt w:val="lowerLetter"/>
      <w:lvlText w:val="%2"/>
      <w:lvlJc w:val="left"/>
      <w:pPr>
        <w:ind w:left="1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38B548">
      <w:start w:val="1"/>
      <w:numFmt w:val="lowerRoman"/>
      <w:lvlText w:val="%3"/>
      <w:lvlJc w:val="left"/>
      <w:pPr>
        <w:ind w:left="1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C0449E">
      <w:start w:val="1"/>
      <w:numFmt w:val="decimal"/>
      <w:lvlText w:val="%4"/>
      <w:lvlJc w:val="left"/>
      <w:pPr>
        <w:ind w:left="2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CC2F40">
      <w:start w:val="1"/>
      <w:numFmt w:val="lowerLetter"/>
      <w:lvlText w:val="%5"/>
      <w:lvlJc w:val="left"/>
      <w:pPr>
        <w:ind w:left="3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3264B2">
      <w:start w:val="1"/>
      <w:numFmt w:val="lowerRoman"/>
      <w:lvlText w:val="%6"/>
      <w:lvlJc w:val="left"/>
      <w:pPr>
        <w:ind w:left="4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20261C">
      <w:start w:val="1"/>
      <w:numFmt w:val="decimal"/>
      <w:lvlText w:val="%7"/>
      <w:lvlJc w:val="left"/>
      <w:pPr>
        <w:ind w:left="4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8E297E">
      <w:start w:val="1"/>
      <w:numFmt w:val="lowerLetter"/>
      <w:lvlText w:val="%8"/>
      <w:lvlJc w:val="left"/>
      <w:pPr>
        <w:ind w:left="5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EE6756">
      <w:start w:val="1"/>
      <w:numFmt w:val="lowerRoman"/>
      <w:lvlText w:val="%9"/>
      <w:lvlJc w:val="left"/>
      <w:pPr>
        <w:ind w:left="6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67D681B"/>
    <w:multiLevelType w:val="hybridMultilevel"/>
    <w:tmpl w:val="2820B452"/>
    <w:lvl w:ilvl="0" w:tplc="1F5EA438">
      <w:start w:val="2"/>
      <w:numFmt w:val="decimal"/>
      <w:lvlText w:val="%1."/>
      <w:lvlJc w:val="left"/>
      <w:pPr>
        <w:ind w:left="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FA5984">
      <w:start w:val="1"/>
      <w:numFmt w:val="bullet"/>
      <w:lvlText w:val="•"/>
      <w:lvlPicBulletId w:val="0"/>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261CB2">
      <w:start w:val="1"/>
      <w:numFmt w:val="bullet"/>
      <w:lvlText w:val="▪"/>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821552">
      <w:start w:val="1"/>
      <w:numFmt w:val="bullet"/>
      <w:lvlText w:val="•"/>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34CF6E">
      <w:start w:val="1"/>
      <w:numFmt w:val="bullet"/>
      <w:lvlText w:val="o"/>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C05F02">
      <w:start w:val="1"/>
      <w:numFmt w:val="bullet"/>
      <w:lvlText w:val="▪"/>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D275A4">
      <w:start w:val="1"/>
      <w:numFmt w:val="bullet"/>
      <w:lvlText w:val="•"/>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6A118C">
      <w:start w:val="1"/>
      <w:numFmt w:val="bullet"/>
      <w:lvlText w:val="o"/>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C85722">
      <w:start w:val="1"/>
      <w:numFmt w:val="bullet"/>
      <w:lvlText w:val="▪"/>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5"/>
  </w:num>
  <w:num w:numId="4">
    <w:abstractNumId w:val="0"/>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258"/>
    <w:rsid w:val="001D1907"/>
    <w:rsid w:val="00435258"/>
    <w:rsid w:val="00540622"/>
    <w:rsid w:val="00591576"/>
    <w:rsid w:val="005D12BB"/>
    <w:rsid w:val="00B96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52121B"/>
  <w15:docId w15:val="{BB13BB3E-26DB-46D0-93DD-4F9B4AAA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5" w:line="249" w:lineRule="auto"/>
      <w:ind w:left="248" w:right="1282" w:hanging="3"/>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217" w:line="259" w:lineRule="auto"/>
      <w:ind w:left="219" w:hanging="10"/>
      <w:jc w:val="center"/>
      <w:outlineLvl w:val="0"/>
    </w:pPr>
    <w:rPr>
      <w:rFonts w:ascii="Times New Roman" w:eastAsia="Times New Roman" w:hAnsi="Times New Roman" w:cs="Times New Roman"/>
      <w:color w:val="000000"/>
      <w:sz w:val="26"/>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fontTable" Target="fontTable.xml"/><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952</Words>
  <Characters>5617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Oblastní nemocnice Příbram</dc:creator>
  <cp:keywords/>
  <cp:lastModifiedBy>User</cp:lastModifiedBy>
  <cp:revision>3</cp:revision>
  <dcterms:created xsi:type="dcterms:W3CDTF">2025-03-31T12:49:00Z</dcterms:created>
  <dcterms:modified xsi:type="dcterms:W3CDTF">2025-04-22T10:51:00Z</dcterms:modified>
</cp:coreProperties>
</file>