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128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1381/2024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260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“K. Vary - Horova 12 - osobní výtah”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6"/>
      <w:bookmarkEnd w:id="37"/>
      <w:bookmarkEnd w:id="38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9"/>
      <w:bookmarkEnd w:id="40"/>
      <w:bookmarkEnd w:id="41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42"/>
      <w:bookmarkEnd w:id="43"/>
      <w:bookmarkEnd w:id="4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45"/>
      <w:bookmarkEnd w:id="46"/>
      <w:bookmarkEnd w:id="4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8"/>
      <w:bookmarkEnd w:id="49"/>
      <w:bookmarkEnd w:id="5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51"/>
      <w:bookmarkEnd w:id="52"/>
      <w:bookmarkEnd w:id="5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54"/>
      <w:bookmarkEnd w:id="55"/>
      <w:bookmarkEnd w:id="56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VÝTAHY VANĚRKA s.r.o.</w:t>
      </w:r>
      <w:bookmarkEnd w:id="57"/>
      <w:bookmarkEnd w:id="58"/>
      <w:bookmarkEnd w:id="59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U hrádku 2960, 415 01 Teplice</w:t>
      </w:r>
      <w:bookmarkEnd w:id="60"/>
      <w:bookmarkEnd w:id="61"/>
      <w:bookmarkEnd w:id="6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254 79 296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CZ25479296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84"/>
      <w:bookmarkEnd w:id="85"/>
      <w:bookmarkEnd w:id="8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7"/>
      <w:bookmarkEnd w:id="88"/>
      <w:bookmarkEnd w:id="89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Labem, oddíl C, vložka 20025 tel.:</w:t>
        <w:tab/>
        <w:t>e-mail:</w:t>
      </w:r>
      <w:bookmarkEnd w:id="90"/>
      <w:bookmarkEnd w:id="91"/>
      <w:bookmarkEnd w:id="9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93"/>
      <w:bookmarkEnd w:id="9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Jedná se o změnu dílčího termínu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zpracování kompletní projektové dokumentace v souladu s Vyhláškou o dokumentaci staveb č.131/2024 Sb. a s rozsahem PD dle přílohy č. 2 včetně zabezpečení inženýrské činnosti a povolení záměru.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Důvodem prodloužení dílčího termínu je pozdržení při volbě vhodného technického řešení výtahu s ohledem na nosné konstrukce, statiku budovy a zjištěné skutečnosti průzkumem na místě plnění díla. Vzhledem ke statice budovy dochází k nutnosti zajištění náročnějšího legislativního rámce, než bylo předpokládáno.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byla řádně projednána a odsouhlasena oprávněnými zástupci smluvních stran.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Čl. II. Termín plnění, odst. 1.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následujících lhůtách a podmínkách pro realizaci díla.</w:t>
      </w:r>
      <w:bookmarkEnd w:id="95"/>
      <w:bookmarkEnd w:id="96"/>
      <w:bookmarkEnd w:id="9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provést dílo v následujících termínech: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zpracování kompletní projektové dokumentace v souladu Vyhláškou o dokumentaci staveb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131/2024 Sb. a s rozsahem PD dle přílohy č. 2 včetně zabezpečení inženýrské činnosti a povolení záměru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původně:</w:t>
        <w:tab/>
        <w:t>nejpozději do 4 měsíců od nabytí účinnosti smlouvy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5" w:val="left"/>
        </w:tabs>
        <w:bidi w:val="0"/>
        <w:spacing w:before="0" w:after="4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nově:</w:t>
        <w:tab/>
        <w:t>nejpozději do 31.8.2025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tbl>
      <w:tblPr>
        <w:tblOverlap w:val="never"/>
        <w:jc w:val="center"/>
        <w:tblLayout w:type="fixed"/>
      </w:tblPr>
      <w:tblGrid>
        <w:gridCol w:w="4037"/>
        <w:gridCol w:w="5078"/>
      </w:tblGrid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Chomutově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Duchcově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oprávněný zástupce objednatele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oprávněný zástupce zhotovitele</w:t>
            </w: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67" w:left="1394" w:right="1389" w:bottom="1301" w:header="639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2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868" w:bottom="1219" w:header="0" w:footer="3" w:gutter="0"/>
          <w:cols w:num="2" w:space="236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VÝTAHY VANĚRKA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2868" w:bottom="1219" w:header="0" w:footer="3" w:gutter="0"/>
      <w:cols w:num="2" w:space="2365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9929495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4999999999999pt;margin-top:781.85000000000002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