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037FF883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301B92" w:rsidRPr="00301B92">
        <w:rPr>
          <w:rFonts w:ascii="Calibri" w:hAnsi="Calibri"/>
          <w:b/>
          <w:sz w:val="24"/>
          <w:szCs w:val="24"/>
        </w:rPr>
        <w:t>MSMT-6226/2025-</w:t>
      </w:r>
      <w:r w:rsidR="00847223">
        <w:rPr>
          <w:rFonts w:ascii="Calibri" w:hAnsi="Calibri"/>
          <w:b/>
          <w:sz w:val="24"/>
          <w:szCs w:val="24"/>
        </w:rPr>
        <w:t>7</w:t>
      </w:r>
      <w:r w:rsidR="003D794E" w:rsidRPr="003D794E">
        <w:rPr>
          <w:rFonts w:ascii="Calibri" w:hAnsi="Calibri"/>
          <w:b/>
          <w:sz w:val="24"/>
          <w:szCs w:val="24"/>
        </w:rPr>
        <w:t xml:space="preserve"> 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15132767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dvoudenního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54B1D7DC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theme="minorHAnsi"/>
          <w:sz w:val="24"/>
          <w:szCs w:val="24"/>
        </w:rPr>
        <w:t>2</w:t>
      </w:r>
      <w:r w:rsidR="00847223">
        <w:rPr>
          <w:rFonts w:cstheme="minorHAnsi"/>
          <w:sz w:val="24"/>
          <w:szCs w:val="24"/>
        </w:rPr>
        <w:t>3</w:t>
      </w:r>
      <w:r w:rsidR="00A40F9C" w:rsidRPr="00A40F9C">
        <w:rPr>
          <w:rFonts w:cstheme="minorHAnsi"/>
          <w:sz w:val="24"/>
          <w:szCs w:val="24"/>
        </w:rPr>
        <w:t>. a 2</w:t>
      </w:r>
      <w:r w:rsidR="00847223">
        <w:rPr>
          <w:rFonts w:cstheme="minorHAnsi"/>
          <w:sz w:val="24"/>
          <w:szCs w:val="24"/>
        </w:rPr>
        <w:t>4</w:t>
      </w:r>
      <w:r w:rsidR="00A40F9C" w:rsidRPr="00A40F9C">
        <w:rPr>
          <w:rFonts w:cstheme="minorHAnsi"/>
          <w:sz w:val="24"/>
          <w:szCs w:val="24"/>
        </w:rPr>
        <w:t xml:space="preserve">. </w:t>
      </w:r>
      <w:r w:rsidR="00847223">
        <w:rPr>
          <w:rFonts w:cstheme="minorHAnsi"/>
          <w:sz w:val="24"/>
          <w:szCs w:val="24"/>
        </w:rPr>
        <w:t>4</w:t>
      </w:r>
      <w:r w:rsidR="00A40F9C" w:rsidRPr="00A40F9C">
        <w:rPr>
          <w:rFonts w:cstheme="minorHAnsi"/>
          <w:sz w:val="24"/>
          <w:szCs w:val="24"/>
        </w:rPr>
        <w:t>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08E0D305" w14:textId="77777777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74502927" w:rsidR="00393C13" w:rsidRPr="00A40F9C" w:rsidRDefault="003D794E" w:rsidP="008101E7">
      <w:pPr>
        <w:spacing w:after="0"/>
        <w:ind w:left="1405"/>
        <w:jc w:val="both"/>
        <w:rPr>
          <w:sz w:val="24"/>
          <w:szCs w:val="24"/>
        </w:rPr>
      </w:pPr>
      <w:r w:rsidRPr="00A40F9C">
        <w:rPr>
          <w:sz w:val="24"/>
          <w:szCs w:val="24"/>
        </w:rPr>
        <w:t>2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 w:rsidRPr="00A40F9C">
        <w:rPr>
          <w:sz w:val="24"/>
          <w:szCs w:val="24"/>
        </w:rPr>
        <w:t>y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 12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08E807A5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3D794E" w:rsidRPr="00A40F9C">
        <w:rPr>
          <w:b/>
          <w:bCs/>
          <w:sz w:val="24"/>
          <w:szCs w:val="24"/>
        </w:rPr>
        <w:t>y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1</w:t>
      </w:r>
      <w:r w:rsidR="00A40F9C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výukových hodin</w:t>
      </w:r>
      <w:r w:rsidR="008101E7" w:rsidRPr="00A40F9C">
        <w:rPr>
          <w:b/>
          <w:bCs/>
          <w:sz w:val="24"/>
          <w:szCs w:val="24"/>
        </w:rPr>
        <w:t>.</w:t>
      </w:r>
    </w:p>
    <w:p w14:paraId="5F13A236" w14:textId="6BF97CE2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6261B2" w:rsidRPr="00A40F9C">
        <w:rPr>
          <w:sz w:val="24"/>
          <w:szCs w:val="24"/>
        </w:rPr>
        <w:t>Prezenční forma</w:t>
      </w:r>
      <w:r w:rsidR="00393C13" w:rsidRPr="00A40F9C">
        <w:rPr>
          <w:sz w:val="24"/>
          <w:szCs w:val="24"/>
        </w:rPr>
        <w:t>.</w:t>
      </w:r>
    </w:p>
    <w:p w14:paraId="0F42E815" w14:textId="3D7D22A8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r w:rsidR="00847223" w:rsidRPr="00847223">
        <w:rPr>
          <w:rFonts w:cstheme="minorHAnsi"/>
          <w:sz w:val="24"/>
          <w:szCs w:val="24"/>
        </w:rPr>
        <w:t>Hotel Naháč, Komorní Hrádek 277, 257 24 Chocerady</w:t>
      </w:r>
      <w:r w:rsidR="00A40F9C" w:rsidRPr="00A40F9C">
        <w:rPr>
          <w:rFonts w:cstheme="minorHAnsi"/>
          <w:sz w:val="24"/>
          <w:szCs w:val="24"/>
        </w:rPr>
        <w:t>.</w:t>
      </w:r>
    </w:p>
    <w:p w14:paraId="4122A6C6" w14:textId="2325493B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357C31">
        <w:rPr>
          <w:rFonts w:cstheme="minorHAnsi"/>
          <w:sz w:val="24"/>
          <w:szCs w:val="24"/>
        </w:rPr>
        <w:t>Dvoudenního setkání se zúčastní 1</w:t>
      </w:r>
      <w:r w:rsidR="00847223">
        <w:rPr>
          <w:rFonts w:cstheme="minorHAnsi"/>
          <w:sz w:val="24"/>
          <w:szCs w:val="24"/>
        </w:rPr>
        <w:t>6</w:t>
      </w:r>
      <w:r w:rsidR="00357C31">
        <w:rPr>
          <w:rFonts w:cstheme="minorHAnsi"/>
          <w:sz w:val="24"/>
          <w:szCs w:val="24"/>
        </w:rPr>
        <w:t xml:space="preserve"> osob z cílové skupiny (viz Příloha č. 1 Prezenční listina).</w:t>
      </w:r>
    </w:p>
    <w:p w14:paraId="590C418B" w14:textId="77777777" w:rsidR="00E0438B" w:rsidRDefault="00E0438B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2FED2CF7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59E946CB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>i dvoudenního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>
        <w:rPr>
          <w:rFonts w:ascii="Calibri" w:hAnsi="Calibri"/>
          <w:sz w:val="24"/>
          <w:szCs w:val="24"/>
        </w:rPr>
        <w:t>dvoudenního setkání.</w:t>
      </w:r>
    </w:p>
    <w:p w14:paraId="4534F2B5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</w:p>
    <w:p w14:paraId="20721985" w14:textId="2B87A71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>
        <w:rPr>
          <w:rFonts w:ascii="Calibri" w:hAnsi="Calibri"/>
          <w:sz w:val="24"/>
          <w:szCs w:val="24"/>
        </w:rPr>
        <w:t>dvoudenního setkání</w:t>
      </w:r>
      <w:r w:rsidRPr="0064204F">
        <w:rPr>
          <w:rFonts w:ascii="Calibri" w:hAnsi="Calibri"/>
          <w:sz w:val="24"/>
          <w:szCs w:val="24"/>
        </w:rPr>
        <w:t xml:space="preserve"> (minimálně prezentační technika, didaktické pomůcky, studijní a výukové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listiny</w:t>
      </w:r>
      <w:r>
        <w:rPr>
          <w:rFonts w:ascii="Calibri" w:hAnsi="Calibri"/>
          <w:sz w:val="24"/>
          <w:szCs w:val="24"/>
        </w:rPr>
        <w:t xml:space="preserve"> pro každý den setkání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5E3D10B" w14:textId="77777777" w:rsidR="00B362C7" w:rsidRP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</w:p>
    <w:p w14:paraId="3521DCE6" w14:textId="3F6FA76B" w:rsidR="00BF3BC9" w:rsidRDefault="00BF3BC9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DVOUDENNÍ SETKÁNÍ</w:t>
      </w:r>
    </w:p>
    <w:p w14:paraId="11416975" w14:textId="0A4D8F9C" w:rsidR="00E0438B" w:rsidRPr="00E0438B" w:rsidRDefault="00E0438B" w:rsidP="00E0438B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="00847223" w:rsidRPr="00847223">
        <w:rPr>
          <w:rFonts w:cs="Calibri"/>
          <w:b/>
          <w:bCs/>
          <w:sz w:val="24"/>
          <w:szCs w:val="24"/>
        </w:rPr>
        <w:t xml:space="preserve">Řešení problémů a kreativní myšlení </w:t>
      </w:r>
      <w:r w:rsidRPr="00847223">
        <w:rPr>
          <w:rFonts w:cs="Calibri"/>
          <w:sz w:val="24"/>
          <w:szCs w:val="24"/>
        </w:rPr>
        <w:t>(</w:t>
      </w:r>
      <w:r w:rsidR="00847223" w:rsidRPr="00847223">
        <w:rPr>
          <w:rFonts w:cs="Calibri"/>
          <w:sz w:val="24"/>
          <w:szCs w:val="24"/>
        </w:rPr>
        <w:t>Identifikace problémů a příčin, hledání řešení, techniky kreativního myšlení. Efektivní komunikace a stanovení cílů.</w:t>
      </w:r>
      <w:r w:rsidRPr="00847223">
        <w:rPr>
          <w:rFonts w:cs="Calibri"/>
          <w:sz w:val="24"/>
          <w:szCs w:val="24"/>
        </w:rPr>
        <w:t>)</w:t>
      </w:r>
    </w:p>
    <w:p w14:paraId="728ACE45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51C80C9C" w14:textId="5EBE2E6B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>Cíl</w:t>
      </w:r>
      <w:r w:rsidR="00025FBF" w:rsidRPr="00E043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setkání</w:t>
      </w:r>
      <w:r w:rsidR="00025FBF" w:rsidRPr="00E0438B">
        <w:rPr>
          <w:rFonts w:cstheme="minorHAnsi"/>
          <w:b/>
          <w:sz w:val="24"/>
          <w:szCs w:val="24"/>
        </w:rPr>
        <w:t xml:space="preserve">: </w:t>
      </w:r>
      <w:r w:rsidR="00025FBF" w:rsidRPr="00E0438B">
        <w:rPr>
          <w:rFonts w:cstheme="minorHAnsi"/>
          <w:b/>
          <w:sz w:val="24"/>
          <w:szCs w:val="24"/>
        </w:rPr>
        <w:tab/>
      </w:r>
      <w:bookmarkStart w:id="0" w:name="_Hlk36651677"/>
      <w:r w:rsidR="00847223" w:rsidRPr="00847223">
        <w:rPr>
          <w:rFonts w:cs="Calibri"/>
          <w:sz w:val="24"/>
          <w:szCs w:val="24"/>
        </w:rPr>
        <w:t>Naučit se systematickému přístupu v řešení problémů. Posílit schopnost přicházet s novými nápady, zlepšování a inovacemi, sdílet je a motivovat ostatní k jejich realizaci</w:t>
      </w:r>
      <w:r w:rsidRPr="00E0438B">
        <w:rPr>
          <w:rFonts w:cs="Calibri"/>
          <w:sz w:val="24"/>
          <w:szCs w:val="24"/>
        </w:rPr>
        <w:t>.</w:t>
      </w:r>
      <w:bookmarkEnd w:id="0"/>
    </w:p>
    <w:p w14:paraId="0151A710" w14:textId="77777777" w:rsidR="00A33AB8" w:rsidRDefault="00A33AB8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6F0F4F36" w14:textId="20284D29" w:rsidR="00847223" w:rsidRPr="00847223" w:rsidRDefault="00E0438B" w:rsidP="00847223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="00847223">
        <w:rPr>
          <w:rFonts w:cs="Calibri"/>
          <w:b/>
          <w:bCs/>
          <w:sz w:val="24"/>
          <w:szCs w:val="24"/>
        </w:rPr>
        <w:tab/>
      </w:r>
      <w:r w:rsidR="00847223" w:rsidRPr="00847223">
        <w:rPr>
          <w:rFonts w:cs="Calibri"/>
          <w:sz w:val="24"/>
          <w:szCs w:val="24"/>
        </w:rPr>
        <w:t xml:space="preserve">Identifikace problému a popis </w:t>
      </w:r>
    </w:p>
    <w:p w14:paraId="395EBC95" w14:textId="34DF28E0" w:rsidR="00847223" w:rsidRPr="00847223" w:rsidRDefault="00847223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847223">
        <w:rPr>
          <w:rFonts w:cs="Calibri"/>
          <w:sz w:val="24"/>
          <w:szCs w:val="24"/>
        </w:rPr>
        <w:t xml:space="preserve">Analýza kořenových příčin </w:t>
      </w:r>
    </w:p>
    <w:p w14:paraId="0275849D" w14:textId="5B2C1881" w:rsidR="00847223" w:rsidRPr="00847223" w:rsidRDefault="00847223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847223">
        <w:rPr>
          <w:rFonts w:cs="Calibri"/>
          <w:sz w:val="24"/>
          <w:szCs w:val="24"/>
        </w:rPr>
        <w:t xml:space="preserve">Techniky hledání řešení </w:t>
      </w:r>
    </w:p>
    <w:p w14:paraId="716D1E66" w14:textId="49762861" w:rsidR="00847223" w:rsidRPr="00847223" w:rsidRDefault="00847223" w:rsidP="00847223">
      <w:pPr>
        <w:spacing w:after="0"/>
        <w:ind w:left="708" w:firstLine="696"/>
        <w:jc w:val="both"/>
        <w:rPr>
          <w:rFonts w:cs="Calibri"/>
          <w:sz w:val="24"/>
          <w:szCs w:val="24"/>
        </w:rPr>
      </w:pPr>
      <w:r w:rsidRPr="00847223">
        <w:rPr>
          <w:rFonts w:cs="Calibri"/>
          <w:sz w:val="24"/>
          <w:szCs w:val="24"/>
        </w:rPr>
        <w:t xml:space="preserve">Prioritizace návrhů </w:t>
      </w:r>
    </w:p>
    <w:p w14:paraId="02342513" w14:textId="46C2C746" w:rsidR="00847223" w:rsidRPr="00847223" w:rsidRDefault="00847223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847223">
        <w:rPr>
          <w:rFonts w:cs="Calibri"/>
          <w:sz w:val="24"/>
          <w:szCs w:val="24"/>
        </w:rPr>
        <w:t xml:space="preserve">Definování nápravných opatření </w:t>
      </w:r>
    </w:p>
    <w:p w14:paraId="443CA1A6" w14:textId="3D217094" w:rsidR="00847223" w:rsidRPr="00E0438B" w:rsidRDefault="00847223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847223">
        <w:rPr>
          <w:rFonts w:cs="Calibri"/>
          <w:sz w:val="24"/>
          <w:szCs w:val="24"/>
        </w:rPr>
        <w:t>Techniky generování nápadů</w:t>
      </w:r>
    </w:p>
    <w:p w14:paraId="184F3572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1973998E" w14:textId="3482C869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M</w:t>
      </w:r>
      <w:r w:rsidR="008101E7" w:rsidRPr="00E0438B">
        <w:rPr>
          <w:b/>
          <w:sz w:val="24"/>
          <w:szCs w:val="24"/>
        </w:rPr>
        <w:t xml:space="preserve">etody výuky: </w:t>
      </w:r>
      <w:r w:rsidR="004B02B8" w:rsidRPr="00E0438B">
        <w:rPr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Hra, interaktivní kvíz.</w:t>
      </w:r>
    </w:p>
    <w:p w14:paraId="02D69742" w14:textId="243D8B1E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Nácvik ve dvojicích.</w:t>
      </w:r>
    </w:p>
    <w:p w14:paraId="7D757B11" w14:textId="7C67CE5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Skupinová práce.</w:t>
      </w:r>
    </w:p>
    <w:p w14:paraId="1EFF2EF2" w14:textId="7FF9346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ab/>
        <w:t xml:space="preserve">Rozbor case </w:t>
      </w:r>
      <w:proofErr w:type="spellStart"/>
      <w:r w:rsidRPr="00E0438B">
        <w:rPr>
          <w:rFonts w:cs="Calibri"/>
          <w:sz w:val="24"/>
          <w:szCs w:val="24"/>
        </w:rPr>
        <w:t>studies</w:t>
      </w:r>
      <w:proofErr w:type="spellEnd"/>
      <w:r w:rsidRPr="00E0438B">
        <w:rPr>
          <w:rFonts w:cs="Calibri"/>
          <w:sz w:val="24"/>
          <w:szCs w:val="24"/>
        </w:rPr>
        <w:t>.</w:t>
      </w:r>
    </w:p>
    <w:p w14:paraId="513665FA" w14:textId="33A0425C" w:rsidR="008101E7" w:rsidRPr="00E0438B" w:rsidRDefault="00E0438B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Testy a jejich interpretace</w:t>
      </w:r>
      <w:r w:rsidR="008064B6" w:rsidRPr="00E0438B">
        <w:rPr>
          <w:rFonts w:cstheme="minorHAnsi"/>
          <w:sz w:val="24"/>
          <w:szCs w:val="24"/>
        </w:rPr>
        <w:t>.</w:t>
      </w:r>
    </w:p>
    <w:p w14:paraId="7E315858" w14:textId="77777777" w:rsidR="00A33AB8" w:rsidRDefault="00A33AB8" w:rsidP="004B02B8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5154C3BB" w14:textId="72C70E67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hyperlink r:id="rId8" w:history="1">
        <w:r w:rsidR="00804C79" w:rsidRPr="00804C79">
          <w:rPr>
            <w:rFonts w:ascii="Calibri" w:hAnsi="Calibri"/>
            <w:sz w:val="24"/>
            <w:szCs w:val="24"/>
          </w:rPr>
          <w:t>XXXXXXXXXXXXX</w:t>
        </w:r>
        <w:r w:rsidR="00804C79">
          <w:rPr>
            <w:rFonts w:ascii="Calibri" w:hAnsi="Calibri"/>
            <w:sz w:val="24"/>
            <w:szCs w:val="24"/>
          </w:rPr>
          <w:t xml:space="preserve"> </w:t>
        </w:r>
      </w:hyperlink>
    </w:p>
    <w:p w14:paraId="430F9755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6484A72" w14:textId="77777777" w:rsidR="00847223" w:rsidRDefault="00847223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72C0AF" w14:textId="77777777" w:rsidR="00847223" w:rsidRDefault="00847223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E303421" w14:textId="696E2F0B" w:rsidR="00BF3BC9" w:rsidRPr="00BF3BC9" w:rsidRDefault="00BF3BC9" w:rsidP="00BF3BC9">
      <w:pPr>
        <w:spacing w:after="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BF3BC9">
        <w:rPr>
          <w:rFonts w:cs="Calibri"/>
          <w:b/>
          <w:bCs/>
          <w:color w:val="000000"/>
          <w:sz w:val="24"/>
          <w:szCs w:val="24"/>
        </w:rPr>
        <w:t>OBČERSTVENÍ A STRAVOVÁNÍ</w:t>
      </w:r>
    </w:p>
    <w:p w14:paraId="2EA03B18" w14:textId="68771F91" w:rsidR="00BF3BC9" w:rsidRDefault="00BF3BC9" w:rsidP="00BF3BC9">
      <w:pPr>
        <w:spacing w:after="0"/>
        <w:ind w:left="-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Dodavatel</w:t>
      </w:r>
      <w:r w:rsidRPr="004E0AEF">
        <w:rPr>
          <w:rFonts w:cs="Calibri"/>
          <w:color w:val="000000"/>
          <w:sz w:val="24"/>
          <w:szCs w:val="24"/>
        </w:rPr>
        <w:t xml:space="preserve"> zajistí pro všechny účastníky setkání občerstvení a při dvoudenních setkání </w:t>
      </w:r>
      <w:r w:rsidRPr="004E0AEF">
        <w:rPr>
          <w:rFonts w:cs="Calibri"/>
          <w:color w:val="000000"/>
          <w:sz w:val="24"/>
          <w:szCs w:val="24"/>
        </w:rPr>
        <w:br/>
        <w:t xml:space="preserve">i stravování.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Bližší požadavky jsou uvedeny v čl. 3 Smlouvy 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 Občerstvení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r w:rsidR="00B362C7" w:rsidRPr="00A33AB8">
        <w:rPr>
          <w:rFonts w:eastAsia="Times New Roman" w:cs="Calibri"/>
          <w:color w:val="000000"/>
          <w:sz w:val="24"/>
          <w:szCs w:val="24"/>
          <w:lang w:eastAsia="cs-CZ"/>
        </w:rPr>
        <w:t>stravování.</w:t>
      </w:r>
      <w:r w:rsidR="00B362C7" w:rsidRPr="00A33AB8">
        <w:rPr>
          <w:rFonts w:cs="Calibri"/>
          <w:color w:val="000000"/>
          <w:sz w:val="24"/>
          <w:szCs w:val="24"/>
        </w:rPr>
        <w:t xml:space="preserve"> </w:t>
      </w:r>
    </w:p>
    <w:p w14:paraId="6D2A9245" w14:textId="77777777" w:rsidR="00B362C7" w:rsidRDefault="00B362C7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10A1A657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791C38D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45E872FA" w14:textId="77777777" w:rsidR="00847223" w:rsidRDefault="0084722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9B1486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356282F7" w14:textId="77777777" w:rsidR="00847223" w:rsidRDefault="0084722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3DEDF0B" w14:textId="77777777" w:rsidR="00847223" w:rsidRDefault="0084722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AE968C0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6098D31" w14:textId="7133CA6B" w:rsidR="00806BCC" w:rsidRPr="00E0438B" w:rsidRDefault="00806BCC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E0438B">
        <w:rPr>
          <w:rFonts w:ascii="Calibri" w:hAnsi="Calibri"/>
          <w:b/>
          <w:sz w:val="24"/>
          <w:szCs w:val="24"/>
        </w:rPr>
        <w:lastRenderedPageBreak/>
        <w:t>Fakturace:</w:t>
      </w:r>
    </w:p>
    <w:p w14:paraId="4F45BB6F" w14:textId="2E64A1A6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E0438B" w:rsidRPr="00E0438B">
        <w:rPr>
          <w:rFonts w:ascii="Calibri" w:hAnsi="Calibri"/>
          <w:sz w:val="24"/>
          <w:szCs w:val="24"/>
        </w:rPr>
        <w:t>dvoudenního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prezenčních listin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16762EC0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804C79" w:rsidRPr="00804C79">
        <w:rPr>
          <w:rFonts w:ascii="Calibri" w:hAnsi="Calibri"/>
          <w:sz w:val="24"/>
          <w:szCs w:val="24"/>
        </w:rPr>
        <w:t>XXXXXXXXXXXXX</w:t>
      </w:r>
      <w:r w:rsidR="00E0438B" w:rsidRPr="00E0438B">
        <w:rPr>
          <w:rFonts w:ascii="Calibri" w:hAnsi="Calibri"/>
          <w:sz w:val="24"/>
          <w:szCs w:val="24"/>
        </w:rPr>
        <w:t xml:space="preserve">; prezenční listiny budou zaslány na adresu </w:t>
      </w:r>
      <w:hyperlink r:id="rId9" w:history="1">
        <w:r w:rsidR="00804C79" w:rsidRPr="00804C79">
          <w:rPr>
            <w:rFonts w:ascii="Calibri" w:hAnsi="Calibri"/>
            <w:sz w:val="24"/>
            <w:szCs w:val="24"/>
          </w:rPr>
          <w:t>XXXXXXXXXXXXX</w:t>
        </w:r>
        <w:r w:rsidR="00804C79">
          <w:rPr>
            <w:rFonts w:ascii="Calibri" w:hAnsi="Calibri"/>
            <w:sz w:val="24"/>
            <w:szCs w:val="24"/>
          </w:rPr>
          <w:t xml:space="preserve"> </w:t>
        </w:r>
      </w:hyperlink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7E14B4C" w:rsidR="00842779" w:rsidRPr="00A83B25" w:rsidRDefault="00842779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Cena:</w:t>
      </w:r>
    </w:p>
    <w:p w14:paraId="2128031A" w14:textId="495D7E69" w:rsidR="00842779" w:rsidRDefault="00842779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dvoudenního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8B408B" w:rsidRPr="00A83B25">
        <w:rPr>
          <w:rFonts w:ascii="Calibri" w:hAnsi="Calibri"/>
          <w:b/>
          <w:bCs/>
          <w:sz w:val="24"/>
          <w:szCs w:val="24"/>
        </w:rPr>
        <w:t>3</w:t>
      </w:r>
      <w:r w:rsidR="00A83B25" w:rsidRPr="00A83B25">
        <w:rPr>
          <w:rFonts w:ascii="Calibri" w:hAnsi="Calibri"/>
          <w:b/>
          <w:bCs/>
          <w:sz w:val="24"/>
          <w:szCs w:val="24"/>
        </w:rPr>
        <w:t>9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55B61D7E" w14:textId="6D2B3324" w:rsidR="00A83B25" w:rsidRPr="00A83B25" w:rsidRDefault="00A83B25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Maximální jednotkové cena</w:t>
      </w:r>
      <w:r>
        <w:rPr>
          <w:rFonts w:ascii="Calibri" w:hAnsi="Calibri"/>
          <w:b/>
          <w:sz w:val="24"/>
          <w:szCs w:val="24"/>
        </w:rPr>
        <w:t xml:space="preserve"> za občerstvení a stravování pro 1 účastníka při dvoudenním sekání </w:t>
      </w:r>
      <w:r>
        <w:rPr>
          <w:rFonts w:ascii="Calibri" w:hAnsi="Calibri"/>
          <w:bCs/>
          <w:sz w:val="24"/>
          <w:szCs w:val="24"/>
        </w:rPr>
        <w:t xml:space="preserve">bude činit </w:t>
      </w:r>
      <w:r>
        <w:rPr>
          <w:rFonts w:ascii="Calibri" w:hAnsi="Calibri"/>
          <w:b/>
          <w:sz w:val="24"/>
          <w:szCs w:val="24"/>
        </w:rPr>
        <w:t>1.200,00 Kč</w:t>
      </w:r>
      <w:r>
        <w:rPr>
          <w:rFonts w:ascii="Calibri" w:hAnsi="Calibri"/>
          <w:bCs/>
          <w:sz w:val="24"/>
          <w:szCs w:val="24"/>
        </w:rPr>
        <w:t xml:space="preserve"> bez DPH; </w:t>
      </w:r>
      <w:r>
        <w:rPr>
          <w:rFonts w:ascii="Calibri" w:hAnsi="Calibri"/>
          <w:sz w:val="24"/>
          <w:szCs w:val="24"/>
        </w:rPr>
        <w:t xml:space="preserve">k částce bude připočtena sazba DPH v zákonné výši. </w:t>
      </w:r>
      <w:r w:rsidR="00357C31">
        <w:rPr>
          <w:rFonts w:ascii="Calibri" w:hAnsi="Calibri"/>
          <w:sz w:val="24"/>
          <w:szCs w:val="24"/>
        </w:rPr>
        <w:t>Celková částka za občerstvení a stravování bude fakturována dle skutečného počtu účastníků.</w:t>
      </w:r>
    </w:p>
    <w:p w14:paraId="1EFC8644" w14:textId="008E875E" w:rsidR="00B362C7" w:rsidRPr="00B362C7" w:rsidRDefault="00B362C7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bCs/>
          <w:sz w:val="24"/>
          <w:szCs w:val="24"/>
        </w:rPr>
      </w:pPr>
      <w:r w:rsidRPr="00B362C7">
        <w:rPr>
          <w:rFonts w:ascii="Calibri" w:hAnsi="Calibri"/>
          <w:bCs/>
          <w:sz w:val="24"/>
          <w:szCs w:val="24"/>
        </w:rPr>
        <w:t>Součástí ceny nejsou náklady na cestovné a ubytování účastníků.</w:t>
      </w:r>
      <w:r>
        <w:rPr>
          <w:rFonts w:ascii="Calibri" w:hAnsi="Calibri"/>
          <w:bCs/>
          <w:sz w:val="24"/>
          <w:szCs w:val="24"/>
        </w:rPr>
        <w:t xml:space="preserve"> Tyto náklady hradí objedna</w:t>
      </w:r>
      <w:r w:rsidR="00847223">
        <w:rPr>
          <w:rFonts w:ascii="Calibri" w:hAnsi="Calibri"/>
          <w:bCs/>
          <w:sz w:val="24"/>
          <w:szCs w:val="24"/>
        </w:rPr>
        <w:t>va</w:t>
      </w:r>
      <w:r>
        <w:rPr>
          <w:rFonts w:ascii="Calibri" w:hAnsi="Calibri"/>
          <w:bCs/>
          <w:sz w:val="24"/>
          <w:szCs w:val="24"/>
        </w:rPr>
        <w:t>tel.</w:t>
      </w:r>
    </w:p>
    <w:p w14:paraId="2A251E0E" w14:textId="6CFEDB9F" w:rsidR="0018679E" w:rsidRDefault="0018679E" w:rsidP="00393C13">
      <w:pPr>
        <w:spacing w:after="0"/>
        <w:jc w:val="both"/>
        <w:rPr>
          <w:rFonts w:ascii="Calibri" w:hAnsi="Calibri"/>
          <w:sz w:val="24"/>
          <w:szCs w:val="24"/>
          <w:highlight w:val="yellow"/>
        </w:rPr>
      </w:pPr>
    </w:p>
    <w:p w14:paraId="77609029" w14:textId="77777777" w:rsidR="00393C13" w:rsidRDefault="00393C1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2CCD343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61DD06F3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275390" w14:textId="06BD7CBB" w:rsidR="0013372E" w:rsidRDefault="0013372E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48E7174" w14:textId="77777777" w:rsidR="00F33675" w:rsidRPr="0097584F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1BE74173" w14:textId="7777777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0B37DE8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7DD78815" w14:textId="456DBED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p w14:paraId="3726C317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0A02A03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C40C46D" w14:textId="31650433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1</w:t>
      </w:r>
      <w:r>
        <w:rPr>
          <w:rFonts w:ascii="Calibri" w:hAnsi="Calibri"/>
          <w:sz w:val="24"/>
          <w:szCs w:val="24"/>
        </w:rPr>
        <w:tab/>
        <w:t>Prezenční listina</w:t>
      </w:r>
    </w:p>
    <w:p w14:paraId="11F62645" w14:textId="181F6B29" w:rsidR="00A33AB8" w:rsidRDefault="00A33AB8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04F6F45" w14:textId="77777777" w:rsidR="0031476E" w:rsidRPr="0097584F" w:rsidRDefault="0031476E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sectPr w:rsidR="0031476E" w:rsidRPr="0097584F" w:rsidSect="00D964F6">
      <w:headerReference w:type="default" r:id="rId10"/>
      <w:footerReference w:type="default" r:id="rId11"/>
      <w:pgSz w:w="11906" w:h="16838"/>
      <w:pgMar w:top="1637" w:right="1418" w:bottom="1418" w:left="181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D5D86"/>
    <w:rsid w:val="000E5224"/>
    <w:rsid w:val="000F4DB5"/>
    <w:rsid w:val="0013372E"/>
    <w:rsid w:val="001630AD"/>
    <w:rsid w:val="00163260"/>
    <w:rsid w:val="0018679E"/>
    <w:rsid w:val="001970AC"/>
    <w:rsid w:val="001E7E6D"/>
    <w:rsid w:val="00257A25"/>
    <w:rsid w:val="00263AD4"/>
    <w:rsid w:val="00265BE4"/>
    <w:rsid w:val="00270800"/>
    <w:rsid w:val="00270D15"/>
    <w:rsid w:val="002C026A"/>
    <w:rsid w:val="002D1FDA"/>
    <w:rsid w:val="002D2AB4"/>
    <w:rsid w:val="002E666E"/>
    <w:rsid w:val="00301B92"/>
    <w:rsid w:val="00312446"/>
    <w:rsid w:val="0031476E"/>
    <w:rsid w:val="00357C31"/>
    <w:rsid w:val="00360046"/>
    <w:rsid w:val="0036441B"/>
    <w:rsid w:val="00374D06"/>
    <w:rsid w:val="003777E7"/>
    <w:rsid w:val="00393C13"/>
    <w:rsid w:val="003D5688"/>
    <w:rsid w:val="003D794E"/>
    <w:rsid w:val="004369AF"/>
    <w:rsid w:val="004B02B8"/>
    <w:rsid w:val="004B18D2"/>
    <w:rsid w:val="004C4194"/>
    <w:rsid w:val="004F1208"/>
    <w:rsid w:val="004F3B1F"/>
    <w:rsid w:val="00514AF4"/>
    <w:rsid w:val="00555A04"/>
    <w:rsid w:val="005706E1"/>
    <w:rsid w:val="005C3D88"/>
    <w:rsid w:val="005E210C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D07D5"/>
    <w:rsid w:val="007F4A9D"/>
    <w:rsid w:val="00804C79"/>
    <w:rsid w:val="008064B6"/>
    <w:rsid w:val="00806BCC"/>
    <w:rsid w:val="008101E7"/>
    <w:rsid w:val="00842779"/>
    <w:rsid w:val="00846FC1"/>
    <w:rsid w:val="00847223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B362C7"/>
    <w:rsid w:val="00B540CB"/>
    <w:rsid w:val="00B7780B"/>
    <w:rsid w:val="00B86639"/>
    <w:rsid w:val="00B86E99"/>
    <w:rsid w:val="00B9021C"/>
    <w:rsid w:val="00BB22CE"/>
    <w:rsid w:val="00BB77EC"/>
    <w:rsid w:val="00BD5F11"/>
    <w:rsid w:val="00BF3BC9"/>
    <w:rsid w:val="00C2494E"/>
    <w:rsid w:val="00C62D27"/>
    <w:rsid w:val="00C86C68"/>
    <w:rsid w:val="00CA1AD8"/>
    <w:rsid w:val="00CA4655"/>
    <w:rsid w:val="00D62C18"/>
    <w:rsid w:val="00D663CD"/>
    <w:rsid w:val="00D9468D"/>
    <w:rsid w:val="00D954C4"/>
    <w:rsid w:val="00D964F6"/>
    <w:rsid w:val="00DC04E5"/>
    <w:rsid w:val="00DE409C"/>
    <w:rsid w:val="00E0438B"/>
    <w:rsid w:val="00E04722"/>
    <w:rsid w:val="00E06500"/>
    <w:rsid w:val="00E11C37"/>
    <w:rsid w:val="00E305C6"/>
    <w:rsid w:val="00E54B8B"/>
    <w:rsid w:val="00EE33CD"/>
    <w:rsid w:val="00F16FF5"/>
    <w:rsid w:val="00F33675"/>
    <w:rsid w:val="00F36BBA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novakova2@msmt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novakova2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425</TotalTime>
  <Pages>3</Pages>
  <Words>554</Words>
  <Characters>3274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2025-03-12T08:33:00Z</cp:lastPrinted>
  <dcterms:created xsi:type="dcterms:W3CDTF">2019-12-04T13:28:00Z</dcterms:created>
  <dcterms:modified xsi:type="dcterms:W3CDTF">2025-04-22T06:25:00Z</dcterms:modified>
</cp:coreProperties>
</file>