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86" w:lineRule="auto"/>
        <w:ind w:left="0" w:right="0" w:firstLine="3040"/>
        <w:jc w:val="left"/>
        <w:rPr>
          <w:sz w:val="20"/>
          <w:szCs w:val="20"/>
        </w:rPr>
      </w:pPr>
      <w:bookmarkStart w:id="0" w:name="bookmark0"/>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0"/>
    </w:p>
    <w:p>
      <w:pPr>
        <w:pStyle w:val="Style2"/>
        <w:keepNext w:val="0"/>
        <w:keepLines w:val="0"/>
        <w:widowControl w:val="0"/>
        <w:shd w:val="clear" w:color="auto" w:fill="auto"/>
        <w:tabs>
          <w:tab w:pos="2789"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361/2025</w:t>
      </w:r>
    </w:p>
    <w:p>
      <w:pPr>
        <w:pStyle w:val="Style2"/>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560" w:line="240" w:lineRule="auto"/>
        <w:ind w:left="0" w:right="0" w:firstLine="0"/>
        <w:jc w:val="center"/>
      </w:pPr>
      <w:r>
        <w:rPr>
          <w:b/>
          <w:bCs/>
          <w:color w:val="000000"/>
          <w:spacing w:val="0"/>
          <w:w w:val="100"/>
          <w:position w:val="0"/>
          <w:shd w:val="clear" w:color="auto" w:fill="auto"/>
          <w:lang w:val="cs-CZ" w:eastAsia="cs-CZ" w:bidi="cs-CZ"/>
        </w:rPr>
        <w:t>„MVE Fláje - modernizace soustrojí” – autorský dozor</w:t>
      </w:r>
    </w:p>
    <w:p>
      <w:pPr>
        <w:pStyle w:val="Style10"/>
        <w:keepNext/>
        <w:keepLines/>
        <w:widowControl w:val="0"/>
        <w:shd w:val="clear" w:color="auto" w:fill="auto"/>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9" w:h="16838"/>
          <w:pgMar w:top="2289" w:left="1106" w:right="1120" w:bottom="2078" w:header="0" w:footer="3" w:gutter="0"/>
          <w:pgNumType w:start="1"/>
          <w:cols w:space="720"/>
          <w:noEndnote/>
          <w:rtlGutter w:val="0"/>
          <w:docGrid w:linePitch="360"/>
        </w:sectPr>
      </w:pPr>
      <w:bookmarkStart w:id="1" w:name="bookmark1"/>
      <w:bookmarkStart w:id="2" w:name="bookmark2"/>
      <w:bookmarkStart w:id="3" w:name="bookmark3"/>
      <w:r>
        <w:rPr>
          <w:color w:val="000000"/>
          <w:spacing w:val="0"/>
          <w:w w:val="100"/>
          <w:position w:val="0"/>
          <w:shd w:val="clear" w:color="auto" w:fill="auto"/>
          <w:lang w:val="cs-CZ" w:eastAsia="cs-CZ" w:bidi="cs-CZ"/>
        </w:rPr>
        <w:t>SMLUVNÍ STRAN Y:</w:t>
      </w:r>
      <w:bookmarkEnd w:id="1"/>
      <w:bookmarkEnd w:id="2"/>
      <w:bookmarkEnd w:id="3"/>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2289" w:left="0" w:right="0" w:bottom="2078" w:header="0" w:footer="3" w:gutter="0"/>
          <w:cols w:space="720"/>
          <w:noEndnote/>
          <w:rtlGutter w:val="0"/>
          <w:docGrid w:linePitch="360"/>
        </w:sectPr>
      </w:pPr>
    </w:p>
    <w:p>
      <w:pPr>
        <w:widowControl w:val="0"/>
        <w:spacing w:line="1" w:lineRule="exact"/>
      </w:pPr>
      <w:r>
        <mc:AlternateContent>
          <mc:Choice Requires="wps">
            <w:drawing>
              <wp:anchor distT="736600" distB="139700" distL="114300" distR="114300" simplePos="0" relativeHeight="125829378" behindDoc="0" locked="0" layoutInCell="1" allowOverlap="1">
                <wp:simplePos x="0" y="0"/>
                <wp:positionH relativeFrom="page">
                  <wp:posOffset>3220085</wp:posOffset>
                </wp:positionH>
                <wp:positionV relativeFrom="paragraph">
                  <wp:posOffset>1200785</wp:posOffset>
                </wp:positionV>
                <wp:extent cx="2953385" cy="1029970"/>
                <wp:wrapTopAndBottom/>
                <wp:docPr id="5" name="Shape 5"/>
                <a:graphic xmlns:a="http://schemas.openxmlformats.org/drawingml/2006/main">
                  <a:graphicData uri="http://schemas.microsoft.com/office/word/2010/wordprocessingShape">
                    <wps:wsp>
                      <wps:cNvSpPr txBox="1"/>
                      <wps:spPr>
                        <a:xfrm>
                          <a:ext cx="2953385" cy="1029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1" type="#_x0000_t202" style="position:absolute;margin-left:253.55000000000001pt;margin-top:94.549999999999997pt;width:232.55000000000001pt;height:81.100000000000009pt;z-index:-125829375;mso-wrap-distance-left:9.pt;mso-wrap-distance-top:58.pt;mso-wrap-distance-right:9.pt;mso-wrap-distance-bottom: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20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2"/>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cs-CZ" w:eastAsia="cs-CZ" w:bidi="cs-CZ"/>
        </w:rPr>
        <w:t>(dále jen „příkazce“)</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2289" w:left="1111" w:right="3333" w:bottom="2078" w:header="0" w:footer="3" w:gutter="0"/>
          <w:cols w:num="2" w:space="456"/>
          <w:noEndnote/>
          <w:rtlGutter w:val="0"/>
          <w:docGrid w:linePitch="360"/>
        </w:sectPr>
      </w:pPr>
      <w:r>
        <w:rPr>
          <w:color w:val="000000"/>
          <w:spacing w:val="0"/>
          <w:w w:val="100"/>
          <w:position w:val="0"/>
          <w:shd w:val="clear" w:color="auto" w:fill="auto"/>
          <w:lang w:val="cs-CZ" w:eastAsia="cs-CZ" w:bidi="cs-CZ"/>
        </w:rPr>
        <w:t>Bezručova 4219, 430 03 Chomutov</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289" w:left="0" w:right="0" w:bottom="2078"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Příkazník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doručovací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smlouvy: oprávněn jednat o věcech smluvních: oprávněn jednat o věcech technických:</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2289" w:left="1111" w:right="3127" w:bottom="2078" w:header="0" w:footer="3" w:gutter="0"/>
          <w:cols w:num="2" w:space="113"/>
          <w:noEndnote/>
          <w:rtlGutter w:val="0"/>
          <w:docGrid w:linePitch="360"/>
        </w:sectPr>
      </w:pPr>
      <w:r>
        <w:rPr>
          <w:b/>
          <w:bCs/>
          <w:color w:val="000000"/>
          <w:spacing w:val="0"/>
          <w:w w:val="100"/>
          <w:position w:val="0"/>
          <w:shd w:val="clear" w:color="auto" w:fill="auto"/>
          <w:lang w:val="cs-CZ" w:eastAsia="cs-CZ" w:bidi="cs-CZ"/>
        </w:rPr>
        <w:t xml:space="preserve">„VP PROJEKTING“ s.r.o. </w:t>
      </w:r>
      <w:r>
        <w:rPr>
          <w:color w:val="000000"/>
          <w:spacing w:val="0"/>
          <w:w w:val="100"/>
          <w:position w:val="0"/>
          <w:shd w:val="clear" w:color="auto" w:fill="auto"/>
          <w:lang w:val="cs-CZ" w:eastAsia="cs-CZ" w:bidi="cs-CZ"/>
        </w:rPr>
        <w:t>Přemyslova 84/3, Praha 2 - Vyšehrad</w:t>
      </w: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051" w:header="0" w:footer="3" w:gutter="0"/>
          <w:cols w:space="720"/>
          <w:noEndnote/>
          <w:rtlGutter w:val="0"/>
          <w:docGrid w:linePitch="360"/>
        </w:sectPr>
      </w:pPr>
    </w:p>
    <w:p>
      <w:pPr>
        <w:widowControl w:val="0"/>
        <w:spacing w:line="1" w:lineRule="exact"/>
      </w:pPr>
      <w:r>
        <mc:AlternateContent>
          <mc:Choice Requires="wps">
            <w:drawing>
              <wp:anchor distT="0" distB="481330" distL="114300" distR="2095500" simplePos="0" relativeHeight="125829380" behindDoc="0" locked="0" layoutInCell="1" allowOverlap="1">
                <wp:simplePos x="0" y="0"/>
                <wp:positionH relativeFrom="page">
                  <wp:posOffset>3220085</wp:posOffset>
                </wp:positionH>
                <wp:positionV relativeFrom="paragraph">
                  <wp:posOffset>12700</wp:posOffset>
                </wp:positionV>
                <wp:extent cx="841375" cy="387350"/>
                <wp:wrapSquare wrapText="left"/>
                <wp:docPr id="7" name="Shape 7"/>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wps:txbx>
                      <wps:bodyPr lIns="0" tIns="0" rIns="0" bIns="0">
                        <a:noAutoFit/>
                      </wps:bodyPr>
                    </wps:wsp>
                  </a:graphicData>
                </a:graphic>
              </wp:anchor>
            </w:drawing>
          </mc:Choice>
          <mc:Fallback>
            <w:pict>
              <v:shape id="_x0000_s1033" type="#_x0000_t202" style="position:absolute;margin-left:253.55000000000001pt;margin-top:1.pt;width:66.25pt;height:30.5pt;z-index:-125829373;mso-wrap-distance-left:9.pt;mso-wrap-distance-right:165.pt;mso-wrap-distance-bottom:37.8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v:textbox>
                <w10:wrap type="square" side="left" anchorx="page"/>
              </v:shape>
            </w:pict>
          </mc:Fallback>
        </mc:AlternateContent>
      </w:r>
      <w:r>
        <mc:AlternateContent>
          <mc:Choice Requires="wps">
            <w:drawing>
              <wp:anchor distT="643255" distB="0" distL="114300" distR="114300" simplePos="0" relativeHeight="125829382" behindDoc="0" locked="0" layoutInCell="1" allowOverlap="1">
                <wp:simplePos x="0" y="0"/>
                <wp:positionH relativeFrom="page">
                  <wp:posOffset>3220085</wp:posOffset>
                </wp:positionH>
                <wp:positionV relativeFrom="paragraph">
                  <wp:posOffset>655955</wp:posOffset>
                </wp:positionV>
                <wp:extent cx="2822575" cy="225425"/>
                <wp:wrapSquare wrapText="left"/>
                <wp:docPr id="9" name="Shape 9"/>
                <a:graphic xmlns:a="http://schemas.openxmlformats.org/drawingml/2006/main">
                  <a:graphicData uri="http://schemas.microsoft.com/office/word/2010/wordprocessingShape">
                    <wps:wsp>
                      <wps:cNvSpPr txBox="1"/>
                      <wps:spPr>
                        <a:xfrm>
                          <a:ext cx="28225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37180</w:t>
                            </w:r>
                          </w:p>
                        </w:txbxContent>
                      </wps:txbx>
                      <wps:bodyPr wrap="none" lIns="0" tIns="0" rIns="0" bIns="0">
                        <a:noAutoFit/>
                      </wps:bodyPr>
                    </wps:wsp>
                  </a:graphicData>
                </a:graphic>
              </wp:anchor>
            </w:drawing>
          </mc:Choice>
          <mc:Fallback>
            <w:pict>
              <v:shape id="_x0000_s1035" type="#_x0000_t202" style="position:absolute;margin-left:253.55000000000001pt;margin-top:51.649999999999999pt;width:222.25pt;height:17.75pt;z-index:-125829371;mso-wrap-distance-left:9.pt;mso-wrap-distance-top:50.64999999999999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37180</w:t>
                      </w:r>
                    </w:p>
                  </w:txbxContent>
                </v:textbox>
                <w10:wrap type="square" side="left"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p>
      <w:pPr>
        <w:pStyle w:val="Style10"/>
        <w:keepNext/>
        <w:keepLines/>
        <w:widowControl w:val="0"/>
        <w:shd w:val="clear" w:color="auto" w:fill="auto"/>
        <w:bidi w:val="0"/>
        <w:spacing w:before="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I . Účel a předmět smlouvy</w:t>
      </w:r>
      <w:bookmarkEnd w:id="4"/>
      <w:bookmarkEnd w:id="5"/>
      <w:bookmarkEnd w:id="6"/>
    </w:p>
    <w:p>
      <w:pPr>
        <w:pStyle w:val="Style2"/>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7" w:name="bookmark7"/>
      <w:bookmarkEnd w:id="7"/>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„MVE Fláje - modernizace soustrojí” </w:t>
      </w:r>
      <w:r>
        <w:rPr>
          <w:color w:val="000000"/>
          <w:spacing w:val="0"/>
          <w:w w:val="100"/>
          <w:position w:val="0"/>
          <w:shd w:val="clear" w:color="auto" w:fill="auto"/>
          <w:lang w:val="cs-CZ" w:eastAsia="cs-CZ" w:bidi="cs-CZ"/>
        </w:rPr>
        <w:t>(dále jen „stavba“).</w:t>
      </w:r>
    </w:p>
    <w:p>
      <w:pPr>
        <w:pStyle w:val="Style2"/>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8" w:name="bookmark8"/>
      <w:bookmarkEnd w:id="8"/>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2"/>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0" w:name="bookmark10"/>
      <w:bookmarkEnd w:id="10"/>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1" w:name="bookmark11"/>
      <w:bookmarkEnd w:id="11"/>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2"/>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2" w:name="bookmark12"/>
      <w:bookmarkEnd w:id="12"/>
      <w:r>
        <w:rPr>
          <w:color w:val="000000"/>
          <w:spacing w:val="0"/>
          <w:w w:val="100"/>
          <w:position w:val="0"/>
          <w:shd w:val="clear" w:color="auto" w:fill="auto"/>
          <w:lang w:val="cs-CZ" w:eastAsia="cs-CZ" w:bidi="cs-CZ"/>
        </w:rPr>
        <w:t>kontrola souladu realizační dokumentace zhotovitele stavby s projektovou dokumentací,</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3" w:name="bookmark13"/>
      <w:bookmarkEnd w:id="13"/>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2"/>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4" w:name="bookmark14"/>
      <w:bookmarkEnd w:id="14"/>
      <w:r>
        <w:rPr>
          <w:color w:val="000000"/>
          <w:spacing w:val="0"/>
          <w:w w:val="100"/>
          <w:position w:val="0"/>
          <w:shd w:val="clear" w:color="auto" w:fill="auto"/>
          <w:lang w:val="cs-CZ" w:eastAsia="cs-CZ" w:bidi="cs-CZ"/>
        </w:rPr>
        <w:t>kontrola souladu zabezpečení úrovně staveniště s projektovou dokumentací,</w:t>
      </w:r>
    </w:p>
    <w:p>
      <w:pPr>
        <w:pStyle w:val="Style2"/>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5" w:name="bookmark15"/>
      <w:bookmarkEnd w:id="15"/>
      <w:r>
        <w:rPr>
          <w:color w:val="000000"/>
          <w:spacing w:val="0"/>
          <w:w w:val="100"/>
          <w:position w:val="0"/>
          <w:shd w:val="clear" w:color="auto" w:fill="auto"/>
          <w:lang w:val="cs-CZ" w:eastAsia="cs-CZ" w:bidi="cs-CZ"/>
        </w:rPr>
        <w:t>kontrola souladu provádění vytyčovacích prací s projektovou dokumentací,</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6" w:name="bookmark16"/>
      <w:bookmarkEnd w:id="16"/>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8" w:name="bookmark18"/>
      <w:bookmarkEnd w:id="18"/>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9" w:name="bookmark19"/>
      <w:bookmarkEnd w:id="19"/>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2"/>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2"/>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21" w:name="bookmark21"/>
      <w:bookmarkEnd w:id="21"/>
      <w:r>
        <w:rPr>
          <w:color w:val="000000"/>
          <w:spacing w:val="0"/>
          <w:w w:val="100"/>
          <w:position w:val="0"/>
          <w:shd w:val="clear" w:color="auto" w:fill="auto"/>
          <w:lang w:val="cs-CZ" w:eastAsia="cs-CZ" w:bidi="cs-CZ"/>
        </w:rPr>
        <w:t>kontrola souladu dokumentace skutečného provedení stavby s dokončenou stavbou,</w:t>
      </w:r>
    </w:p>
    <w:p>
      <w:pPr>
        <w:pStyle w:val="Style2"/>
        <w:keepNext w:val="0"/>
        <w:keepLines w:val="0"/>
        <w:widowControl w:val="0"/>
        <w:numPr>
          <w:ilvl w:val="0"/>
          <w:numId w:val="3"/>
        </w:numPr>
        <w:shd w:val="clear" w:color="auto" w:fill="auto"/>
        <w:tabs>
          <w:tab w:pos="908"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2"/>
        <w:keepNext w:val="0"/>
        <w:keepLines w:val="0"/>
        <w:widowControl w:val="0"/>
        <w:numPr>
          <w:ilvl w:val="0"/>
          <w:numId w:val="3"/>
        </w:numPr>
        <w:shd w:val="clear" w:color="auto" w:fill="auto"/>
        <w:tabs>
          <w:tab w:pos="908" w:val="left"/>
        </w:tabs>
        <w:bidi w:val="0"/>
        <w:spacing w:before="0" w:after="40" w:line="240" w:lineRule="auto"/>
        <w:ind w:left="0" w:right="0" w:firstLine="440"/>
        <w:jc w:val="both"/>
      </w:pPr>
      <w:bookmarkStart w:id="23" w:name="bookmark23"/>
      <w:bookmarkEnd w:id="23"/>
      <w:r>
        <w:rPr>
          <w:color w:val="000000"/>
          <w:spacing w:val="0"/>
          <w:w w:val="100"/>
          <w:position w:val="0"/>
          <w:shd w:val="clear" w:color="auto" w:fill="auto"/>
          <w:lang w:val="cs-CZ" w:eastAsia="cs-CZ" w:bidi="cs-CZ"/>
        </w:rPr>
        <w:t>sledování postupu provádění stavby z technického a časového hlediska a</w:t>
      </w:r>
    </w:p>
    <w:p>
      <w:pPr>
        <w:pStyle w:val="Style2"/>
        <w:keepNext w:val="0"/>
        <w:keepLines w:val="0"/>
        <w:widowControl w:val="0"/>
        <w:numPr>
          <w:ilvl w:val="0"/>
          <w:numId w:val="3"/>
        </w:numPr>
        <w:shd w:val="clear" w:color="auto" w:fill="auto"/>
        <w:tabs>
          <w:tab w:pos="908"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2"/>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25" w:name="bookmark25"/>
      <w:bookmarkEnd w:id="25"/>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7" w:name="bookmark27"/>
      <w:bookmarkEnd w:id="27"/>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2"/>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2"/>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2"/>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2"/>
        <w:keepNext w:val="0"/>
        <w:keepLines w:val="0"/>
        <w:widowControl w:val="0"/>
        <w:numPr>
          <w:ilvl w:val="0"/>
          <w:numId w:val="1"/>
        </w:numPr>
        <w:shd w:val="clear" w:color="auto" w:fill="auto"/>
        <w:tabs>
          <w:tab w:pos="400"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Příkazce poskytne příkazníkovi součinnost nezbytnou k plnění této smlouvy.</w:t>
      </w:r>
    </w:p>
    <w:p>
      <w:pPr>
        <w:pStyle w:val="Style2"/>
        <w:keepNext w:val="0"/>
        <w:keepLines w:val="0"/>
        <w:widowControl w:val="0"/>
        <w:numPr>
          <w:ilvl w:val="0"/>
          <w:numId w:val="1"/>
        </w:numPr>
        <w:shd w:val="clear" w:color="auto" w:fill="auto"/>
        <w:tabs>
          <w:tab w:pos="400" w:val="left"/>
        </w:tabs>
        <w:bidi w:val="0"/>
        <w:spacing w:before="0" w:after="24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10"/>
        <w:keepNext/>
        <w:keepLines/>
        <w:widowControl w:val="0"/>
        <w:numPr>
          <w:ilvl w:val="0"/>
          <w:numId w:val="7"/>
        </w:numPr>
        <w:shd w:val="clear" w:color="auto" w:fill="auto"/>
        <w:tabs>
          <w:tab w:pos="400" w:val="left"/>
        </w:tabs>
        <w:bidi w:val="0"/>
        <w:spacing w:before="0" w:line="240"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Doba plnění</w:t>
      </w:r>
      <w:bookmarkEnd w:id="33"/>
      <w:bookmarkEnd w:id="34"/>
      <w:bookmarkEnd w:id="36"/>
    </w:p>
    <w:p>
      <w:pPr>
        <w:pStyle w:val="Style2"/>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2"/>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2"/>
        <w:keepNext w:val="0"/>
        <w:keepLines w:val="0"/>
        <w:widowControl w:val="0"/>
        <w:numPr>
          <w:ilvl w:val="0"/>
          <w:numId w:val="9"/>
        </w:numPr>
        <w:shd w:val="clear" w:color="auto" w:fill="auto"/>
        <w:tabs>
          <w:tab w:pos="400" w:val="left"/>
        </w:tabs>
        <w:bidi w:val="0"/>
        <w:spacing w:before="0" w:after="24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10"/>
        <w:keepNext/>
        <w:keepLines/>
        <w:widowControl w:val="0"/>
        <w:numPr>
          <w:ilvl w:val="0"/>
          <w:numId w:val="7"/>
        </w:numPr>
        <w:shd w:val="clear" w:color="auto" w:fill="auto"/>
        <w:tabs>
          <w:tab w:pos="438" w:val="left"/>
        </w:tabs>
        <w:bidi w:val="0"/>
        <w:spacing w:before="0" w:line="240"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Odměna a náhrada nákladů</w:t>
      </w:r>
      <w:bookmarkEnd w:id="40"/>
      <w:bookmarkEnd w:id="41"/>
      <w:bookmarkEnd w:id="43"/>
    </w:p>
    <w:p>
      <w:pPr>
        <w:pStyle w:val="Style2"/>
        <w:keepNext w:val="0"/>
        <w:keepLines w:val="0"/>
        <w:widowControl w:val="0"/>
        <w:numPr>
          <w:ilvl w:val="0"/>
          <w:numId w:val="11"/>
        </w:numPr>
        <w:shd w:val="clear" w:color="auto" w:fill="auto"/>
        <w:tabs>
          <w:tab w:pos="400" w:val="left"/>
        </w:tabs>
        <w:bidi w:val="0"/>
        <w:spacing w:before="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Příkazníkovi náleží odměna ve výši</w:t>
      </w:r>
    </w:p>
    <w:p>
      <w:pPr>
        <w:pStyle w:val="Style2"/>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5" w:name="bookmark45"/>
      <w:bookmarkEnd w:id="45"/>
      <w:r>
        <w:rPr>
          <w:b/>
          <w:bCs/>
          <w:color w:val="000000"/>
          <w:spacing w:val="0"/>
          <w:w w:val="100"/>
          <w:position w:val="0"/>
          <w:shd w:val="clear" w:color="auto" w:fill="auto"/>
          <w:lang w:val="cs-CZ" w:eastAsia="cs-CZ" w:bidi="cs-CZ"/>
        </w:rPr>
        <w:t xml:space="preserve">7000,- Kč bez DPH </w:t>
      </w:r>
      <w:r>
        <w:rPr>
          <w:color w:val="000000"/>
          <w:spacing w:val="0"/>
          <w:w w:val="100"/>
          <w:position w:val="0"/>
          <w:shd w:val="clear" w:color="auto" w:fill="auto"/>
          <w:lang w:val="cs-CZ" w:eastAsia="cs-CZ" w:bidi="cs-CZ"/>
        </w:rPr>
        <w:t>za aktivní účast na 1 kontrolním dnu stavby včetně dopravy</w:t>
      </w:r>
    </w:p>
    <w:p>
      <w:pPr>
        <w:pStyle w:val="Style2"/>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6" w:name="bookmark46"/>
      <w:bookmarkEnd w:id="46"/>
      <w:r>
        <w:rPr>
          <w:b/>
          <w:bCs/>
          <w:color w:val="000000"/>
          <w:spacing w:val="0"/>
          <w:w w:val="100"/>
          <w:position w:val="0"/>
          <w:shd w:val="clear" w:color="auto" w:fill="auto"/>
          <w:lang w:val="cs-CZ" w:eastAsia="cs-CZ" w:bidi="cs-CZ"/>
        </w:rPr>
        <w:t xml:space="preserve">900,- Kč bez DPH </w:t>
      </w:r>
      <w:r>
        <w:rPr>
          <w:color w:val="000000"/>
          <w:spacing w:val="0"/>
          <w:w w:val="100"/>
          <w:position w:val="0"/>
          <w:shd w:val="clear" w:color="auto" w:fill="auto"/>
          <w:lang w:val="cs-CZ" w:eastAsia="cs-CZ" w:bidi="cs-CZ"/>
        </w:rPr>
        <w:t>za 1 člověkohodinu výkonu dalších činností.</w:t>
      </w:r>
    </w:p>
    <w:p>
      <w:pPr>
        <w:pStyle w:val="Style2"/>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92 000,- Kč bez DPH.</w:t>
      </w:r>
    </w:p>
    <w:p>
      <w:pPr>
        <w:pStyle w:val="Style2"/>
        <w:keepNext w:val="0"/>
        <w:keepLines w:val="0"/>
        <w:widowControl w:val="0"/>
        <w:numPr>
          <w:ilvl w:val="0"/>
          <w:numId w:val="11"/>
        </w:numPr>
        <w:shd w:val="clear" w:color="auto" w:fill="auto"/>
        <w:tabs>
          <w:tab w:pos="400" w:val="left"/>
        </w:tabs>
        <w:bidi w:val="0"/>
        <w:spacing w:before="0" w:line="240" w:lineRule="auto"/>
        <w:ind w:left="440" w:right="0" w:hanging="440"/>
        <w:jc w:val="both"/>
        <w:sectPr>
          <w:footnotePr>
            <w:pos w:val="pageBottom"/>
            <w:numFmt w:val="decimal"/>
            <w:numRestart w:val="continuous"/>
          </w:footnotePr>
          <w:type w:val="continuous"/>
          <w:pgSz w:w="11909" w:h="16838"/>
          <w:pgMar w:top="1161" w:left="1108" w:right="1103" w:bottom="1051" w:header="0" w:footer="3" w:gutter="0"/>
          <w:cols w:space="720"/>
          <w:noEndnote/>
          <w:rtlGutter w:val="0"/>
          <w:docGrid w:linePitch="360"/>
        </w:sectPr>
      </w:pPr>
      <w:bookmarkStart w:id="47" w:name="bookmark47"/>
      <w:bookmarkEnd w:id="47"/>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1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akce č. 502 610</w:t>
      </w:r>
    </w:p>
    <w:p>
      <w:pPr>
        <w:pStyle w:val="Style2"/>
        <w:keepNext w:val="0"/>
        <w:keepLines w:val="0"/>
        <w:widowControl w:val="0"/>
        <w:numPr>
          <w:ilvl w:val="0"/>
          <w:numId w:val="11"/>
        </w:numPr>
        <w:shd w:val="clear" w:color="auto" w:fill="auto"/>
        <w:tabs>
          <w:tab w:pos="414" w:val="left"/>
        </w:tabs>
        <w:bidi w:val="0"/>
        <w:spacing w:before="0" w:after="220" w:line="286" w:lineRule="auto"/>
        <w:ind w:left="440" w:right="0" w:hanging="440"/>
        <w:jc w:val="both"/>
      </w:pPr>
      <w:bookmarkStart w:id="48" w:name="bookmark48"/>
      <w:bookmarkEnd w:id="48"/>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10"/>
        <w:keepNext/>
        <w:keepLines/>
        <w:widowControl w:val="0"/>
        <w:numPr>
          <w:ilvl w:val="0"/>
          <w:numId w:val="7"/>
        </w:numPr>
        <w:shd w:val="clear" w:color="auto" w:fill="auto"/>
        <w:tabs>
          <w:tab w:pos="404" w:val="left"/>
        </w:tabs>
        <w:bidi w:val="0"/>
        <w:spacing w:before="0" w:line="240" w:lineRule="auto"/>
        <w:ind w:left="0" w:right="0" w:firstLine="0"/>
        <w:jc w:val="center"/>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Vykazování a platební podmínky</w:t>
      </w:r>
      <w:bookmarkEnd w:id="49"/>
      <w:bookmarkEnd w:id="50"/>
      <w:bookmarkEnd w:id="52"/>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2"/>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57" w:name="bookmark57"/>
      <w:bookmarkEnd w:id="57"/>
      <w:r>
        <w:rPr>
          <w:color w:val="000000"/>
          <w:spacing w:val="0"/>
          <w:w w:val="100"/>
          <w:position w:val="0"/>
          <w:shd w:val="clear" w:color="auto" w:fill="auto"/>
          <w:lang w:val="cs-CZ" w:eastAsia="cs-CZ" w:bidi="cs-CZ"/>
        </w:rPr>
        <w:t>Splatnost každé faktury je do 30 kalendářních dnů ode dne doručení příkazci.</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2"/>
        <w:keepNext w:val="0"/>
        <w:keepLines w:val="0"/>
        <w:widowControl w:val="0"/>
        <w:numPr>
          <w:ilvl w:val="0"/>
          <w:numId w:val="15"/>
        </w:numPr>
        <w:shd w:val="clear" w:color="auto" w:fill="auto"/>
        <w:tabs>
          <w:tab w:pos="414" w:val="left"/>
        </w:tabs>
        <w:bidi w:val="0"/>
        <w:spacing w:before="0" w:after="22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10"/>
        <w:keepNext/>
        <w:keepLines/>
        <w:widowControl w:val="0"/>
        <w:numPr>
          <w:ilvl w:val="0"/>
          <w:numId w:val="7"/>
        </w:numPr>
        <w:shd w:val="clear" w:color="auto" w:fill="auto"/>
        <w:tabs>
          <w:tab w:pos="346"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Odpovědnost za škodu</w:t>
      </w:r>
      <w:bookmarkEnd w:id="60"/>
      <w:bookmarkEnd w:id="61"/>
      <w:bookmarkEnd w:id="63"/>
    </w:p>
    <w:p>
      <w:pPr>
        <w:pStyle w:val="Style2"/>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4" w:name="bookmark64"/>
      <w:bookmarkEnd w:id="64"/>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2"/>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5" w:name="bookmark65"/>
      <w:bookmarkEnd w:id="65"/>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2"/>
        <w:keepNext w:val="0"/>
        <w:keepLines w:val="0"/>
        <w:widowControl w:val="0"/>
        <w:numPr>
          <w:ilvl w:val="0"/>
          <w:numId w:val="17"/>
        </w:numPr>
        <w:shd w:val="clear" w:color="auto" w:fill="auto"/>
        <w:tabs>
          <w:tab w:pos="414" w:val="left"/>
        </w:tabs>
        <w:bidi w:val="0"/>
        <w:spacing w:before="0" w:line="240" w:lineRule="auto"/>
        <w:ind w:left="0" w:right="0" w:firstLine="0"/>
        <w:jc w:val="both"/>
        <w:sectPr>
          <w:headerReference w:type="default" r:id="rId7"/>
          <w:footerReference w:type="default" r:id="rId8"/>
          <w:footnotePr>
            <w:pos w:val="pageBottom"/>
            <w:numFmt w:val="decimal"/>
            <w:numRestart w:val="continuous"/>
          </w:footnotePr>
          <w:pgSz w:w="11909" w:h="16838"/>
          <w:pgMar w:top="849" w:left="1111" w:right="1106" w:bottom="907" w:header="421" w:footer="3" w:gutter="0"/>
          <w:cols w:space="720"/>
          <w:noEndnote/>
          <w:rtlGutter w:val="0"/>
          <w:docGrid w:linePitch="360"/>
        </w:sectPr>
      </w:pPr>
      <w:bookmarkStart w:id="66" w:name="bookmark66"/>
      <w:bookmarkEnd w:id="66"/>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10"/>
        <w:keepNext/>
        <w:keepLines/>
        <w:widowControl w:val="0"/>
        <w:numPr>
          <w:ilvl w:val="0"/>
          <w:numId w:val="7"/>
        </w:numPr>
        <w:shd w:val="clear" w:color="auto" w:fill="auto"/>
        <w:tabs>
          <w:tab w:pos="411" w:val="left"/>
        </w:tabs>
        <w:bidi w:val="0"/>
        <w:spacing w:before="0" w:line="240" w:lineRule="auto"/>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Sankce</w:t>
      </w:r>
      <w:bookmarkEnd w:id="67"/>
      <w:bookmarkEnd w:id="68"/>
      <w:bookmarkEnd w:id="70"/>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2" w:name="bookmark72"/>
      <w:bookmarkEnd w:id="72"/>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2"/>
        <w:keepNext w:val="0"/>
        <w:keepLines w:val="0"/>
        <w:widowControl w:val="0"/>
        <w:numPr>
          <w:ilvl w:val="0"/>
          <w:numId w:val="19"/>
        </w:numPr>
        <w:shd w:val="clear" w:color="auto" w:fill="auto"/>
        <w:tabs>
          <w:tab w:pos="402" w:val="left"/>
        </w:tabs>
        <w:bidi w:val="0"/>
        <w:spacing w:before="0" w:after="24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10"/>
        <w:keepNext/>
        <w:keepLines/>
        <w:widowControl w:val="0"/>
        <w:numPr>
          <w:ilvl w:val="0"/>
          <w:numId w:val="7"/>
        </w:numPr>
        <w:shd w:val="clear" w:color="auto" w:fill="auto"/>
        <w:tabs>
          <w:tab w:pos="473" w:val="left"/>
        </w:tabs>
        <w:bidi w:val="0"/>
        <w:spacing w:before="0" w:line="240" w:lineRule="auto"/>
        <w:ind w:left="0" w:right="0" w:firstLine="0"/>
        <w:jc w:val="center"/>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Odstoupení od smlouvy, výpověď</w:t>
      </w:r>
      <w:bookmarkEnd w:id="76"/>
      <w:bookmarkEnd w:id="77"/>
      <w:bookmarkEnd w:id="79"/>
    </w:p>
    <w:p>
      <w:pPr>
        <w:pStyle w:val="Style2"/>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2"/>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2"/>
        <w:keepNext w:val="0"/>
        <w:keepLines w:val="0"/>
        <w:widowControl w:val="0"/>
        <w:numPr>
          <w:ilvl w:val="0"/>
          <w:numId w:val="21"/>
        </w:numPr>
        <w:shd w:val="clear" w:color="auto" w:fill="auto"/>
        <w:tabs>
          <w:tab w:pos="402" w:val="left"/>
        </w:tabs>
        <w:bidi w:val="0"/>
        <w:spacing w:before="0" w:after="40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10"/>
        <w:keepNext/>
        <w:keepLines/>
        <w:widowControl w:val="0"/>
        <w:numPr>
          <w:ilvl w:val="0"/>
          <w:numId w:val="7"/>
        </w:numPr>
        <w:shd w:val="clear" w:color="auto" w:fill="auto"/>
        <w:tabs>
          <w:tab w:pos="531" w:val="left"/>
        </w:tabs>
        <w:bidi w:val="0"/>
        <w:spacing w:before="0" w:line="240" w:lineRule="auto"/>
        <w:ind w:left="0" w:right="0" w:firstLine="0"/>
        <w:jc w:val="cente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Compliance doložka</w:t>
      </w:r>
      <w:bookmarkEnd w:id="83"/>
      <w:bookmarkEnd w:id="84"/>
      <w:bookmarkEnd w:id="86"/>
    </w:p>
    <w:p>
      <w:pPr>
        <w:pStyle w:val="Style2"/>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402" w:val="left"/>
        </w:tabs>
        <w:bidi w:val="0"/>
        <w:spacing w:before="0" w:after="6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382" w:val="left"/>
        </w:tabs>
        <w:bidi w:val="0"/>
        <w:spacing w:before="0" w:after="32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keepLines/>
        <w:widowControl w:val="0"/>
        <w:numPr>
          <w:ilvl w:val="0"/>
          <w:numId w:val="7"/>
        </w:numPr>
        <w:shd w:val="clear" w:color="auto" w:fill="auto"/>
        <w:tabs>
          <w:tab w:pos="409" w:val="left"/>
        </w:tabs>
        <w:bidi w:val="0"/>
        <w:spacing w:before="0" w:after="180" w:line="240" w:lineRule="auto"/>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Ochrana a zpracování osobních údajů</w:t>
      </w:r>
      <w:bookmarkEnd w:id="91"/>
      <w:bookmarkEnd w:id="92"/>
      <w:bookmarkEnd w:id="94"/>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2"/>
        <w:keepNext w:val="0"/>
        <w:keepLines w:val="0"/>
        <w:widowControl w:val="0"/>
        <w:numPr>
          <w:ilvl w:val="0"/>
          <w:numId w:val="21"/>
        </w:numPr>
        <w:shd w:val="clear" w:color="auto" w:fill="auto"/>
        <w:tabs>
          <w:tab w:pos="382" w:val="left"/>
        </w:tabs>
        <w:bidi w:val="0"/>
        <w:spacing w:before="0" w:after="50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0"/>
        <w:keepNext/>
        <w:keepLines/>
        <w:widowControl w:val="0"/>
        <w:numPr>
          <w:ilvl w:val="0"/>
          <w:numId w:val="7"/>
        </w:numPr>
        <w:shd w:val="clear" w:color="auto" w:fill="auto"/>
        <w:tabs>
          <w:tab w:pos="382" w:val="left"/>
        </w:tabs>
        <w:bidi w:val="0"/>
        <w:spacing w:before="0" w:line="240" w:lineRule="auto"/>
        <w:ind w:left="0" w:right="0" w:firstLine="0"/>
        <w:jc w:val="center"/>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Závěrečná ustanoven í</w:t>
      </w:r>
      <w:bookmarkEnd w:id="96"/>
      <w:bookmarkEnd w:id="97"/>
      <w:bookmarkEnd w:id="99"/>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25"/>
        </w:numPr>
        <w:shd w:val="clear" w:color="auto" w:fill="auto"/>
        <w:tabs>
          <w:tab w:pos="422" w:val="left"/>
        </w:tabs>
        <w:bidi w:val="0"/>
        <w:spacing w:before="0" w:line="240" w:lineRule="auto"/>
        <w:ind w:left="0" w:right="0" w:firstLine="0"/>
        <w:jc w:val="both"/>
      </w:pPr>
      <w:bookmarkStart w:id="108" w:name="bookmark108"/>
      <w:bookmarkEnd w:id="108"/>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25"/>
        </w:numPr>
        <w:shd w:val="clear" w:color="auto" w:fill="auto"/>
        <w:tabs>
          <w:tab w:pos="493" w:val="left"/>
        </w:tabs>
        <w:bidi w:val="0"/>
        <w:spacing w:before="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25"/>
        </w:numPr>
        <w:shd w:val="clear" w:color="auto" w:fill="auto"/>
        <w:tabs>
          <w:tab w:pos="493" w:val="left"/>
        </w:tabs>
        <w:bidi w:val="0"/>
        <w:spacing w:before="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2"/>
        <w:keepNext w:val="0"/>
        <w:keepLines w:val="0"/>
        <w:widowControl w:val="0"/>
        <w:numPr>
          <w:ilvl w:val="0"/>
          <w:numId w:val="25"/>
        </w:numPr>
        <w:shd w:val="clear" w:color="auto" w:fill="auto"/>
        <w:tabs>
          <w:tab w:pos="493" w:val="left"/>
        </w:tabs>
        <w:bidi w:val="0"/>
        <w:spacing w:before="0" w:after="60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0" w:line="240" w:lineRule="auto"/>
        <w:ind w:left="2980" w:right="0" w:firstLine="0"/>
        <w:jc w:val="both"/>
        <w:sectPr>
          <w:headerReference w:type="default" r:id="rId9"/>
          <w:footerReference w:type="default" r:id="rId10"/>
          <w:footnotePr>
            <w:pos w:val="pageBottom"/>
            <w:numFmt w:val="decimal"/>
            <w:numRestart w:val="continuous"/>
          </w:footnotePr>
          <w:pgSz w:w="11909" w:h="16838"/>
          <w:pgMar w:top="1156" w:left="1109" w:right="1103" w:bottom="1234" w:header="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706120</wp:posOffset>
                </wp:positionH>
                <wp:positionV relativeFrom="paragraph">
                  <wp:posOffset>12700</wp:posOffset>
                </wp:positionV>
                <wp:extent cx="1151890" cy="228600"/>
                <wp:wrapSquare wrapText="bothSides"/>
                <wp:docPr id="17" name="Shape 17"/>
                <a:graphic xmlns:a="http://schemas.openxmlformats.org/drawingml/2006/main">
                  <a:graphicData uri="http://schemas.microsoft.com/office/word/2010/wordprocessingShape">
                    <wps:wsp>
                      <wps:cNvSpPr txBox="1"/>
                      <wps:spPr>
                        <a:xfrm>
                          <a:ext cx="115189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wps:txbx>
                      <wps:bodyPr wrap="none" lIns="0" tIns="0" rIns="0" bIns="0">
                        <a:noAutoFit/>
                      </wps:bodyPr>
                    </wps:wsp>
                  </a:graphicData>
                </a:graphic>
              </wp:anchor>
            </w:drawing>
          </mc:Choice>
          <mc:Fallback>
            <w:pict>
              <v:shape id="_x0000_s1043" type="#_x0000_t202" style="position:absolute;margin-left:55.600000000000001pt;margin-top:1.pt;width:90.700000000000003pt;height:18.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v:textbox>
                <w10:wrap type="square" anchorx="page"/>
              </v:shape>
            </w:pict>
          </mc:Fallback>
        </mc:AlternateContent>
      </w:r>
      <w:r>
        <w:rPr>
          <w:color w:val="000000"/>
          <w:spacing w:val="0"/>
          <w:w w:val="100"/>
          <w:position w:val="0"/>
          <w:shd w:val="clear" w:color="auto" w:fill="auto"/>
          <w:lang w:val="cs-CZ" w:eastAsia="cs-CZ" w:bidi="cs-CZ"/>
        </w:rPr>
        <w:t>V Karlových Varech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20" w:after="12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94" w:left="0" w:right="0" w:bottom="1094"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94" w:left="1111" w:right="2637" w:bottom="1094" w:header="0" w:footer="3" w:gutter="0"/>
          <w:cols w:num="2" w:space="1766"/>
          <w:noEndnote/>
          <w:rtlGutter w:val="0"/>
          <w:docGrid w:linePitch="360"/>
        </w:sectPr>
      </w:pPr>
      <w:r>
        <w:rPr>
          <w:color w:val="000000"/>
          <w:spacing w:val="0"/>
          <w:w w:val="100"/>
          <w:position w:val="0"/>
          <w:shd w:val="clear" w:color="auto" w:fill="auto"/>
          <w:lang w:val="cs-CZ" w:eastAsia="cs-CZ" w:bidi="cs-CZ"/>
        </w:rPr>
        <w:t>……………………………………. jednatel příkazníka</w:t>
      </w:r>
    </w:p>
    <w:sectPr>
      <w:footnotePr>
        <w:pos w:val="pageBottom"/>
        <w:numFmt w:val="decimal"/>
        <w:numRestart w:val="continuous"/>
      </w:footnotePr>
      <w:type w:val="continuous"/>
      <w:pgSz w:w="11909" w:h="16838"/>
      <w:pgMar w:top="1094" w:left="1111" w:right="2637" w:bottom="1094"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10164445</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60000000000002pt;margin-top:800.35000000000002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3436620</wp:posOffset>
              </wp:positionH>
              <wp:positionV relativeFrom="page">
                <wp:posOffset>10116185</wp:posOffset>
              </wp:positionV>
              <wp:extent cx="920750" cy="137160"/>
              <wp:wrapNone/>
              <wp:docPr id="11" name="Shape 1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7" type="#_x0000_t202" style="position:absolute;margin-left:270.60000000000002pt;margin-top:796.55000000000007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10164445</wp:posOffset>
              </wp:positionV>
              <wp:extent cx="920750" cy="137160"/>
              <wp:wrapNone/>
              <wp:docPr id="15" name="Shape 1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1" type="#_x0000_t202" style="position:absolute;margin-left:270.60000000000002pt;margin-top:800.35000000000002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6066790</wp:posOffset>
              </wp:positionH>
              <wp:positionV relativeFrom="page">
                <wp:posOffset>533400</wp:posOffset>
              </wp:positionV>
              <wp:extent cx="743585" cy="137160"/>
              <wp:wrapNone/>
              <wp:docPr id="1" name="Shape 1"/>
              <a:graphic xmlns:a="http://schemas.openxmlformats.org/drawingml/2006/main">
                <a:graphicData uri="http://schemas.microsoft.com/office/word/2010/wordprocessingShape">
                  <wps:wsp>
                    <wps:cNvSpPr txBox="1"/>
                    <wps:spPr>
                      <a:xfrm>
                        <a:ext cx="743585"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7.69999999999999pt;margin-top:42.pt;width:58.550000000000004pt;height:10.8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6066790</wp:posOffset>
              </wp:positionH>
              <wp:positionV relativeFrom="page">
                <wp:posOffset>533400</wp:posOffset>
              </wp:positionV>
              <wp:extent cx="743585" cy="137160"/>
              <wp:wrapNone/>
              <wp:docPr id="13" name="Shape 13"/>
              <a:graphic xmlns:a="http://schemas.openxmlformats.org/drawingml/2006/main">
                <a:graphicData uri="http://schemas.microsoft.com/office/word/2010/wordprocessingShape">
                  <wps:wsp>
                    <wps:cNvSpPr txBox="1"/>
                    <wps:spPr>
                      <a:xfrm>
                        <a:ext cx="743585"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wps:txbx>
                    <wps:bodyPr wrap="none" lIns="0" tIns="0" rIns="0" bIns="0">
                      <a:spAutoFit/>
                    </wps:bodyPr>
                  </wps:wsp>
                </a:graphicData>
              </a:graphic>
            </wp:anchor>
          </w:drawing>
        </mc:Choice>
        <mc:Fallback>
          <w:pict>
            <v:shape id="_x0000_s1039" type="#_x0000_t202" style="position:absolute;margin-left:477.69999999999999pt;margin-top:42.pt;width:58.550000000000004pt;height:10.80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line="286" w:lineRule="auto"/>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Zbyněk Pochmon</dc:creator>
  <cp:keywords/>
</cp:coreProperties>
</file>