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1A1" w:rsidRPr="006861A1" w:rsidRDefault="006861A1" w:rsidP="006861A1">
      <w:pPr>
        <w:widowControl w:val="0"/>
        <w:autoSpaceDE w:val="0"/>
        <w:autoSpaceDN w:val="0"/>
        <w:spacing w:before="78" w:after="0" w:line="240" w:lineRule="auto"/>
        <w:ind w:left="3319" w:right="3320"/>
        <w:jc w:val="center"/>
        <w:rPr>
          <w:rFonts w:ascii="Times New Roman" w:eastAsia="Book Antiqua" w:hAnsi="Times New Roman" w:cs="Times New Roman"/>
          <w:b/>
          <w:sz w:val="24"/>
          <w:szCs w:val="24"/>
          <w:lang w:eastAsia="cs-CZ" w:bidi="cs-CZ"/>
        </w:rPr>
      </w:pPr>
    </w:p>
    <w:p w:rsidR="006861A1" w:rsidRPr="006861A1" w:rsidRDefault="006861A1" w:rsidP="006861A1">
      <w:pPr>
        <w:widowControl w:val="0"/>
        <w:autoSpaceDE w:val="0"/>
        <w:autoSpaceDN w:val="0"/>
        <w:spacing w:before="78" w:after="0" w:line="240" w:lineRule="auto"/>
        <w:ind w:left="3319" w:right="2835"/>
        <w:jc w:val="center"/>
        <w:rPr>
          <w:rFonts w:ascii="Times New Roman" w:eastAsia="Book Antiqua" w:hAnsi="Times New Roman" w:cs="Times New Roman"/>
          <w:b/>
          <w:sz w:val="24"/>
          <w:szCs w:val="24"/>
          <w:lang w:eastAsia="cs-CZ" w:bidi="cs-CZ"/>
        </w:rPr>
      </w:pPr>
      <w:r w:rsidRPr="006861A1">
        <w:rPr>
          <w:rFonts w:ascii="Times New Roman" w:eastAsia="Book Antiqua" w:hAnsi="Times New Roman" w:cs="Times New Roman"/>
          <w:b/>
          <w:sz w:val="24"/>
          <w:szCs w:val="24"/>
          <w:lang w:eastAsia="cs-CZ" w:bidi="cs-CZ"/>
        </w:rPr>
        <w:t>Dohoda o narovnání</w:t>
      </w:r>
    </w:p>
    <w:p w:rsidR="006861A1" w:rsidRPr="006861A1" w:rsidRDefault="006861A1" w:rsidP="006861A1">
      <w:pPr>
        <w:widowControl w:val="0"/>
        <w:autoSpaceDE w:val="0"/>
        <w:autoSpaceDN w:val="0"/>
        <w:spacing w:before="188" w:after="0" w:line="240" w:lineRule="auto"/>
        <w:ind w:left="117"/>
        <w:outlineLvl w:val="0"/>
        <w:rPr>
          <w:rFonts w:ascii="Times New Roman" w:eastAsia="Book Antiqua" w:hAnsi="Times New Roman" w:cs="Times New Roman"/>
          <w:b/>
          <w:bCs/>
          <w:sz w:val="24"/>
          <w:szCs w:val="24"/>
          <w:lang w:eastAsia="cs-CZ" w:bidi="cs-CZ"/>
        </w:rPr>
      </w:pPr>
      <w:r w:rsidRPr="006861A1">
        <w:rPr>
          <w:rFonts w:ascii="Times New Roman" w:eastAsia="Book Antiqua" w:hAnsi="Times New Roman" w:cs="Times New Roman"/>
          <w:b/>
          <w:bCs/>
          <w:sz w:val="24"/>
          <w:szCs w:val="24"/>
          <w:lang w:eastAsia="cs-CZ" w:bidi="cs-CZ"/>
        </w:rPr>
        <w:t>Domov Zvíkovecká kytička</w:t>
      </w:r>
    </w:p>
    <w:p w:rsidR="006861A1" w:rsidRPr="006861A1" w:rsidRDefault="006861A1" w:rsidP="006861A1">
      <w:pPr>
        <w:widowControl w:val="0"/>
        <w:autoSpaceDE w:val="0"/>
        <w:autoSpaceDN w:val="0"/>
        <w:spacing w:before="20" w:after="0" w:line="240" w:lineRule="auto"/>
        <w:ind w:left="117"/>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IČO: 708 871 95,</w:t>
      </w:r>
    </w:p>
    <w:p w:rsidR="006861A1" w:rsidRPr="006861A1" w:rsidRDefault="006861A1" w:rsidP="006861A1">
      <w:pPr>
        <w:widowControl w:val="0"/>
        <w:autoSpaceDE w:val="0"/>
        <w:autoSpaceDN w:val="0"/>
        <w:spacing w:before="22" w:after="0" w:line="240" w:lineRule="auto"/>
        <w:ind w:left="117"/>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 xml:space="preserve">se sídlem: Zvíkovec 99, 338 </w:t>
      </w:r>
      <w:proofErr w:type="gramStart"/>
      <w:r w:rsidRPr="006861A1">
        <w:rPr>
          <w:rFonts w:ascii="Times New Roman" w:eastAsia="Book Antiqua" w:hAnsi="Times New Roman" w:cs="Times New Roman"/>
          <w:sz w:val="24"/>
          <w:szCs w:val="24"/>
          <w:lang w:eastAsia="cs-CZ" w:bidi="cs-CZ"/>
        </w:rPr>
        <w:t>08  Zbiroh</w:t>
      </w:r>
      <w:proofErr w:type="gramEnd"/>
    </w:p>
    <w:p w:rsidR="006861A1" w:rsidRPr="006861A1" w:rsidRDefault="006861A1" w:rsidP="006861A1">
      <w:pPr>
        <w:widowControl w:val="0"/>
        <w:autoSpaceDE w:val="0"/>
        <w:autoSpaceDN w:val="0"/>
        <w:spacing w:before="22" w:after="0"/>
        <w:ind w:left="117" w:right="1881"/>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 xml:space="preserve">zastoupený: Ing. Igorem </w:t>
      </w:r>
      <w:proofErr w:type="spellStart"/>
      <w:r w:rsidRPr="006861A1">
        <w:rPr>
          <w:rFonts w:ascii="Times New Roman" w:eastAsia="Book Antiqua" w:hAnsi="Times New Roman" w:cs="Times New Roman"/>
          <w:sz w:val="24"/>
          <w:szCs w:val="24"/>
          <w:lang w:eastAsia="cs-CZ" w:bidi="cs-CZ"/>
        </w:rPr>
        <w:t>Tjutčevem</w:t>
      </w:r>
      <w:proofErr w:type="spellEnd"/>
      <w:r w:rsidRPr="006861A1">
        <w:rPr>
          <w:rFonts w:ascii="Times New Roman" w:eastAsia="Book Antiqua" w:hAnsi="Times New Roman" w:cs="Times New Roman"/>
          <w:sz w:val="24"/>
          <w:szCs w:val="24"/>
          <w:lang w:eastAsia="cs-CZ" w:bidi="cs-CZ"/>
        </w:rPr>
        <w:t xml:space="preserve">, ředitelem </w:t>
      </w:r>
    </w:p>
    <w:p w:rsidR="006861A1" w:rsidRPr="006861A1" w:rsidRDefault="006861A1" w:rsidP="006861A1">
      <w:pPr>
        <w:widowControl w:val="0"/>
        <w:autoSpaceDE w:val="0"/>
        <w:autoSpaceDN w:val="0"/>
        <w:spacing w:after="0"/>
        <w:ind w:left="117" w:right="6681"/>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číslo účtu:</w:t>
      </w:r>
      <w:r w:rsidR="00CE1CF4">
        <w:rPr>
          <w:rFonts w:ascii="Times New Roman" w:eastAsia="Book Antiqua" w:hAnsi="Times New Roman" w:cs="Times New Roman"/>
          <w:sz w:val="24"/>
          <w:szCs w:val="24"/>
          <w:lang w:eastAsia="cs-CZ" w:bidi="cs-CZ"/>
        </w:rPr>
        <w:t xml:space="preserve"> 2001470003</w:t>
      </w:r>
      <w:r w:rsidRPr="006861A1">
        <w:rPr>
          <w:rFonts w:ascii="Times New Roman" w:eastAsia="Book Antiqua" w:hAnsi="Times New Roman" w:cs="Times New Roman"/>
          <w:sz w:val="24"/>
          <w:szCs w:val="24"/>
          <w:lang w:eastAsia="cs-CZ" w:bidi="cs-CZ"/>
        </w:rPr>
        <w:t>/</w:t>
      </w:r>
      <w:r w:rsidR="00CE1CF4">
        <w:rPr>
          <w:rFonts w:ascii="Times New Roman" w:eastAsia="Book Antiqua" w:hAnsi="Times New Roman" w:cs="Times New Roman"/>
          <w:sz w:val="24"/>
          <w:szCs w:val="24"/>
          <w:lang w:eastAsia="cs-CZ" w:bidi="cs-CZ"/>
        </w:rPr>
        <w:t>6000</w:t>
      </w:r>
      <w:r w:rsidRPr="006861A1">
        <w:rPr>
          <w:rFonts w:ascii="Times New Roman" w:eastAsia="Book Antiqua" w:hAnsi="Times New Roman" w:cs="Times New Roman"/>
          <w:sz w:val="24"/>
          <w:szCs w:val="24"/>
          <w:lang w:eastAsia="cs-CZ" w:bidi="cs-CZ"/>
        </w:rPr>
        <w:t xml:space="preserve"> (dále jen „</w:t>
      </w:r>
      <w:r w:rsidRPr="006861A1">
        <w:rPr>
          <w:rFonts w:ascii="Times New Roman" w:eastAsia="Book Antiqua" w:hAnsi="Times New Roman" w:cs="Times New Roman"/>
          <w:b/>
          <w:sz w:val="24"/>
          <w:szCs w:val="24"/>
          <w:lang w:eastAsia="cs-CZ" w:bidi="cs-CZ"/>
        </w:rPr>
        <w:t>objednatel</w:t>
      </w:r>
      <w:r w:rsidRPr="006861A1">
        <w:rPr>
          <w:rFonts w:ascii="Times New Roman" w:eastAsia="Book Antiqua" w:hAnsi="Times New Roman" w:cs="Times New Roman"/>
          <w:sz w:val="24"/>
          <w:szCs w:val="24"/>
          <w:lang w:eastAsia="cs-CZ" w:bidi="cs-CZ"/>
        </w:rPr>
        <w:t>“)</w:t>
      </w:r>
    </w:p>
    <w:p w:rsidR="006861A1" w:rsidRPr="006861A1" w:rsidRDefault="006861A1" w:rsidP="006861A1">
      <w:pPr>
        <w:widowControl w:val="0"/>
        <w:autoSpaceDE w:val="0"/>
        <w:autoSpaceDN w:val="0"/>
        <w:spacing w:before="160" w:after="0" w:line="240" w:lineRule="auto"/>
        <w:ind w:left="117"/>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w w:val="99"/>
          <w:sz w:val="24"/>
          <w:szCs w:val="24"/>
          <w:lang w:eastAsia="cs-CZ" w:bidi="cs-CZ"/>
        </w:rPr>
        <w:t>a</w:t>
      </w:r>
    </w:p>
    <w:p w:rsidR="006861A1" w:rsidRPr="006861A1" w:rsidRDefault="006861A1" w:rsidP="006861A1">
      <w:pPr>
        <w:widowControl w:val="0"/>
        <w:autoSpaceDE w:val="0"/>
        <w:autoSpaceDN w:val="0"/>
        <w:spacing w:before="181" w:after="0" w:line="240" w:lineRule="auto"/>
        <w:ind w:left="117"/>
        <w:outlineLvl w:val="0"/>
        <w:rPr>
          <w:rFonts w:ascii="Times New Roman" w:eastAsia="Book Antiqua" w:hAnsi="Times New Roman" w:cs="Times New Roman"/>
          <w:b/>
          <w:bCs/>
          <w:sz w:val="24"/>
          <w:szCs w:val="24"/>
          <w:lang w:eastAsia="cs-CZ" w:bidi="cs-CZ"/>
        </w:rPr>
      </w:pPr>
      <w:r w:rsidRPr="006861A1">
        <w:rPr>
          <w:rFonts w:ascii="Times New Roman" w:eastAsia="Book Antiqua" w:hAnsi="Times New Roman" w:cs="Times New Roman"/>
          <w:b/>
          <w:bCs/>
          <w:sz w:val="24"/>
          <w:szCs w:val="24"/>
          <w:lang w:eastAsia="cs-CZ" w:bidi="cs-CZ"/>
        </w:rPr>
        <w:t>Stavební podnik spol. s r.o.</w:t>
      </w:r>
    </w:p>
    <w:p w:rsidR="006861A1" w:rsidRPr="006861A1" w:rsidRDefault="006861A1" w:rsidP="006861A1">
      <w:pPr>
        <w:widowControl w:val="0"/>
        <w:autoSpaceDE w:val="0"/>
        <w:autoSpaceDN w:val="0"/>
        <w:spacing w:before="20" w:after="0" w:line="240" w:lineRule="auto"/>
        <w:ind w:left="117"/>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IČO: 47539429, DIČ: CZ47539429</w:t>
      </w:r>
    </w:p>
    <w:p w:rsidR="006861A1" w:rsidRPr="006861A1" w:rsidRDefault="006861A1" w:rsidP="006861A1">
      <w:pPr>
        <w:widowControl w:val="0"/>
        <w:autoSpaceDE w:val="0"/>
        <w:autoSpaceDN w:val="0"/>
        <w:spacing w:before="22" w:after="0"/>
        <w:ind w:left="117" w:right="3901"/>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 xml:space="preserve">se sídlem: </w:t>
      </w:r>
      <w:proofErr w:type="spellStart"/>
      <w:r w:rsidRPr="006861A1">
        <w:rPr>
          <w:rFonts w:ascii="Times New Roman" w:eastAsia="Book Antiqua" w:hAnsi="Times New Roman" w:cs="Times New Roman"/>
          <w:sz w:val="24"/>
          <w:szCs w:val="24"/>
          <w:lang w:eastAsia="cs-CZ" w:bidi="cs-CZ"/>
        </w:rPr>
        <w:t>Lubenská</w:t>
      </w:r>
      <w:proofErr w:type="spellEnd"/>
      <w:r w:rsidRPr="006861A1">
        <w:rPr>
          <w:rFonts w:ascii="Times New Roman" w:eastAsia="Book Antiqua" w:hAnsi="Times New Roman" w:cs="Times New Roman"/>
          <w:sz w:val="24"/>
          <w:szCs w:val="24"/>
          <w:lang w:eastAsia="cs-CZ" w:bidi="cs-CZ"/>
        </w:rPr>
        <w:t xml:space="preserve"> 2013, 269 </w:t>
      </w:r>
      <w:proofErr w:type="gramStart"/>
      <w:r w:rsidRPr="006861A1">
        <w:rPr>
          <w:rFonts w:ascii="Times New Roman" w:eastAsia="Book Antiqua" w:hAnsi="Times New Roman" w:cs="Times New Roman"/>
          <w:sz w:val="24"/>
          <w:szCs w:val="24"/>
          <w:lang w:eastAsia="cs-CZ" w:bidi="cs-CZ"/>
        </w:rPr>
        <w:t>01  Rakovník</w:t>
      </w:r>
      <w:proofErr w:type="gramEnd"/>
      <w:r w:rsidRPr="006861A1">
        <w:rPr>
          <w:rFonts w:ascii="Times New Roman" w:eastAsia="Book Antiqua" w:hAnsi="Times New Roman" w:cs="Times New Roman"/>
          <w:sz w:val="24"/>
          <w:szCs w:val="24"/>
          <w:lang w:eastAsia="cs-CZ" w:bidi="cs-CZ"/>
        </w:rPr>
        <w:t xml:space="preserve"> zastoupený: Alešem Přibylem, jednatelem</w:t>
      </w:r>
    </w:p>
    <w:p w:rsidR="006861A1" w:rsidRPr="006861A1" w:rsidRDefault="006861A1" w:rsidP="006861A1">
      <w:pPr>
        <w:widowControl w:val="0"/>
        <w:autoSpaceDE w:val="0"/>
        <w:autoSpaceDN w:val="0"/>
        <w:spacing w:before="1" w:after="0" w:line="240" w:lineRule="auto"/>
        <w:ind w:left="117"/>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(dále jen „</w:t>
      </w:r>
      <w:r w:rsidRPr="006861A1">
        <w:rPr>
          <w:rFonts w:ascii="Times New Roman" w:eastAsia="Book Antiqua" w:hAnsi="Times New Roman" w:cs="Times New Roman"/>
          <w:b/>
          <w:sz w:val="24"/>
          <w:szCs w:val="24"/>
          <w:lang w:eastAsia="cs-CZ" w:bidi="cs-CZ"/>
        </w:rPr>
        <w:t>zhotovitel</w:t>
      </w:r>
      <w:r w:rsidRPr="006861A1">
        <w:rPr>
          <w:rFonts w:ascii="Times New Roman" w:eastAsia="Book Antiqua" w:hAnsi="Times New Roman" w:cs="Times New Roman"/>
          <w:sz w:val="24"/>
          <w:szCs w:val="24"/>
          <w:lang w:eastAsia="cs-CZ" w:bidi="cs-CZ"/>
        </w:rPr>
        <w:t>“)</w:t>
      </w:r>
    </w:p>
    <w:p w:rsidR="006861A1" w:rsidRPr="006861A1" w:rsidRDefault="006861A1" w:rsidP="006861A1">
      <w:pPr>
        <w:widowControl w:val="0"/>
        <w:autoSpaceDE w:val="0"/>
        <w:autoSpaceDN w:val="0"/>
        <w:spacing w:before="181" w:after="0" w:line="240" w:lineRule="auto"/>
        <w:ind w:left="117"/>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uzavřeli níže uvedeného dne, měsíce a roku, tuto dohodu o narovnání:</w:t>
      </w:r>
    </w:p>
    <w:p w:rsidR="006861A1" w:rsidRPr="006861A1" w:rsidRDefault="006861A1" w:rsidP="006861A1">
      <w:pPr>
        <w:widowControl w:val="0"/>
        <w:autoSpaceDE w:val="0"/>
        <w:autoSpaceDN w:val="0"/>
        <w:spacing w:before="181" w:after="0" w:line="240" w:lineRule="auto"/>
        <w:ind w:left="3319" w:right="3319"/>
        <w:jc w:val="center"/>
        <w:outlineLvl w:val="0"/>
        <w:rPr>
          <w:rFonts w:ascii="Times New Roman" w:eastAsia="Book Antiqua" w:hAnsi="Times New Roman" w:cs="Times New Roman"/>
          <w:b/>
          <w:bCs/>
          <w:sz w:val="24"/>
          <w:szCs w:val="24"/>
          <w:lang w:eastAsia="cs-CZ" w:bidi="cs-CZ"/>
        </w:rPr>
      </w:pPr>
      <w:bookmarkStart w:id="0" w:name="_Hlk194260329"/>
      <w:r w:rsidRPr="006861A1">
        <w:rPr>
          <w:rFonts w:ascii="Times New Roman" w:eastAsia="Book Antiqua" w:hAnsi="Times New Roman" w:cs="Times New Roman"/>
          <w:b/>
          <w:bCs/>
          <w:sz w:val="24"/>
          <w:szCs w:val="24"/>
          <w:lang w:eastAsia="cs-CZ" w:bidi="cs-CZ"/>
        </w:rPr>
        <w:t>I.</w:t>
      </w:r>
    </w:p>
    <w:p w:rsidR="006861A1" w:rsidRPr="006861A1" w:rsidRDefault="006861A1" w:rsidP="006861A1">
      <w:pPr>
        <w:widowControl w:val="0"/>
        <w:autoSpaceDE w:val="0"/>
        <w:autoSpaceDN w:val="0"/>
        <w:spacing w:before="22" w:after="0" w:line="240" w:lineRule="auto"/>
        <w:ind w:left="3319" w:right="3319"/>
        <w:jc w:val="center"/>
        <w:rPr>
          <w:rFonts w:ascii="Times New Roman" w:eastAsia="Book Antiqua" w:hAnsi="Times New Roman" w:cs="Times New Roman"/>
          <w:b/>
          <w:sz w:val="24"/>
          <w:szCs w:val="24"/>
          <w:lang w:eastAsia="cs-CZ" w:bidi="cs-CZ"/>
        </w:rPr>
      </w:pPr>
      <w:r w:rsidRPr="006861A1">
        <w:rPr>
          <w:rFonts w:ascii="Times New Roman" w:eastAsia="Book Antiqua" w:hAnsi="Times New Roman" w:cs="Times New Roman"/>
          <w:b/>
          <w:sz w:val="24"/>
          <w:szCs w:val="24"/>
          <w:lang w:eastAsia="cs-CZ" w:bidi="cs-CZ"/>
        </w:rPr>
        <w:t>Preambule</w:t>
      </w:r>
    </w:p>
    <w:p w:rsidR="006861A1" w:rsidRDefault="006861A1" w:rsidP="006861A1">
      <w:pPr>
        <w:widowControl w:val="0"/>
        <w:numPr>
          <w:ilvl w:val="1"/>
          <w:numId w:val="2"/>
        </w:numPr>
        <w:tabs>
          <w:tab w:val="left" w:pos="478"/>
        </w:tabs>
        <w:autoSpaceDE w:val="0"/>
        <w:autoSpaceDN w:val="0"/>
        <w:spacing w:before="158" w:after="0" w:line="240" w:lineRule="auto"/>
        <w:ind w:right="115"/>
        <w:jc w:val="both"/>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Strany této dohody uzavřely dne 25. 9. 2024 Dodatek č. 1 ke Smlouvě o dílo ze dne              20. 6. 2024. V průběhu realizace díla s názvem „Nástavba a stavební úpravy stávajícího rodinného domu čp. 5 za účelem využití bytový dům“ bylo zjištěno, že je nutné provést dodatečné práce, které nebyly součástí původní zakázky. Zároveň se smluvní strany dohodly na vyřazení některých prací, které nebudou realizovány jako méněpráce. Dodatek proto upravuje rozsah těchto změn, jejich finanční dopady a další související podmínky. Vyčíslení cen dodatečných prací a méněprací jsou vyčísleny v Článku IV., odst. 4.1. Dodatku.</w:t>
      </w:r>
    </w:p>
    <w:p w:rsidR="006861A1" w:rsidRPr="006861A1" w:rsidRDefault="006861A1" w:rsidP="006861A1">
      <w:pPr>
        <w:widowControl w:val="0"/>
        <w:numPr>
          <w:ilvl w:val="1"/>
          <w:numId w:val="2"/>
        </w:numPr>
        <w:tabs>
          <w:tab w:val="left" w:pos="478"/>
        </w:tabs>
        <w:autoSpaceDE w:val="0"/>
        <w:autoSpaceDN w:val="0"/>
        <w:spacing w:before="158" w:after="0" w:line="240" w:lineRule="auto"/>
        <w:ind w:right="115"/>
        <w:jc w:val="both"/>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Na tento dodatek se vztahovala povinnost uveřejnění v registru smluv dle zákona                   č. 340/2015 Sb., o registru smluv, ve znění pozdějších předpisů. Administrativní chybou</w:t>
      </w:r>
      <w:r w:rsidR="00374401">
        <w:rPr>
          <w:rFonts w:ascii="Times New Roman" w:eastAsia="Book Antiqua" w:hAnsi="Times New Roman" w:cs="Times New Roman"/>
          <w:sz w:val="24"/>
          <w:szCs w:val="24"/>
          <w:lang w:eastAsia="cs-CZ" w:bidi="cs-CZ"/>
        </w:rPr>
        <w:t xml:space="preserve"> </w:t>
      </w:r>
      <w:r w:rsidRPr="006861A1">
        <w:rPr>
          <w:rFonts w:ascii="Times New Roman" w:eastAsia="Book Antiqua" w:hAnsi="Times New Roman" w:cs="Times New Roman"/>
          <w:sz w:val="24"/>
          <w:szCs w:val="24"/>
          <w:lang w:eastAsia="cs-CZ" w:bidi="cs-CZ"/>
        </w:rPr>
        <w:t xml:space="preserve">  však dodatek uveřejněn v registru smluv nebyl.  Vzhledem   k tomu, že dodatek nebyl uveřejněn v registru smluv ani 3 měsíce od jeho uzavření, je dodatek od počátku neplatný dle </w:t>
      </w:r>
      <w:proofErr w:type="spellStart"/>
      <w:r w:rsidRPr="006861A1">
        <w:rPr>
          <w:rFonts w:ascii="Times New Roman" w:eastAsia="Book Antiqua" w:hAnsi="Times New Roman" w:cs="Times New Roman"/>
          <w:sz w:val="24"/>
          <w:szCs w:val="24"/>
          <w:lang w:eastAsia="cs-CZ" w:bidi="cs-CZ"/>
        </w:rPr>
        <w:t>ust</w:t>
      </w:r>
      <w:proofErr w:type="spellEnd"/>
      <w:r w:rsidRPr="006861A1">
        <w:rPr>
          <w:rFonts w:ascii="Times New Roman" w:eastAsia="Book Antiqua" w:hAnsi="Times New Roman" w:cs="Times New Roman"/>
          <w:sz w:val="24"/>
          <w:szCs w:val="24"/>
          <w:lang w:eastAsia="cs-CZ" w:bidi="cs-CZ"/>
        </w:rPr>
        <w:t>. § 7 odst. 1 zákona o registru</w:t>
      </w:r>
      <w:r w:rsidRPr="006861A1">
        <w:rPr>
          <w:rFonts w:ascii="Times New Roman" w:eastAsia="Book Antiqua" w:hAnsi="Times New Roman" w:cs="Times New Roman"/>
          <w:spacing w:val="-2"/>
          <w:sz w:val="24"/>
          <w:szCs w:val="24"/>
          <w:lang w:eastAsia="cs-CZ" w:bidi="cs-CZ"/>
        </w:rPr>
        <w:t xml:space="preserve"> </w:t>
      </w:r>
      <w:r w:rsidRPr="006861A1">
        <w:rPr>
          <w:rFonts w:ascii="Times New Roman" w:eastAsia="Book Antiqua" w:hAnsi="Times New Roman" w:cs="Times New Roman"/>
          <w:sz w:val="24"/>
          <w:szCs w:val="24"/>
          <w:lang w:eastAsia="cs-CZ" w:bidi="cs-CZ"/>
        </w:rPr>
        <w:t>smluv.</w:t>
      </w:r>
    </w:p>
    <w:p w:rsidR="006861A1" w:rsidRPr="006861A1" w:rsidRDefault="006861A1" w:rsidP="006861A1">
      <w:pPr>
        <w:widowControl w:val="0"/>
        <w:numPr>
          <w:ilvl w:val="1"/>
          <w:numId w:val="2"/>
        </w:numPr>
        <w:tabs>
          <w:tab w:val="left" w:pos="478"/>
        </w:tabs>
        <w:autoSpaceDE w:val="0"/>
        <w:autoSpaceDN w:val="0"/>
        <w:spacing w:before="160" w:after="0" w:line="240" w:lineRule="auto"/>
        <w:ind w:right="114"/>
        <w:jc w:val="both"/>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 xml:space="preserve">Na základě neplatného dodatku smlouvy však již byly výše uvedené práce </w:t>
      </w:r>
      <w:r w:rsidR="007B31FC">
        <w:rPr>
          <w:rFonts w:ascii="Times New Roman" w:eastAsia="Book Antiqua" w:hAnsi="Times New Roman" w:cs="Times New Roman"/>
          <w:sz w:val="24"/>
          <w:szCs w:val="24"/>
          <w:lang w:eastAsia="cs-CZ" w:bidi="cs-CZ"/>
        </w:rPr>
        <w:t xml:space="preserve">částečně </w:t>
      </w:r>
      <w:r w:rsidRPr="006861A1">
        <w:rPr>
          <w:rFonts w:ascii="Times New Roman" w:eastAsia="Book Antiqua" w:hAnsi="Times New Roman" w:cs="Times New Roman"/>
          <w:sz w:val="24"/>
          <w:szCs w:val="24"/>
          <w:lang w:eastAsia="cs-CZ" w:bidi="cs-CZ"/>
        </w:rPr>
        <w:t>realizovány a zhotoviteli byla objednatelem uhrazena cena těchto poskytnutých služeb a dodávek. Na straně objednatele tak vzniklo bezdůvodné obohacení v hodnotě odpovídající ceně poskytnutých služeb a dodávek a na straně zhotovitele vzniklo bezdůvodné obohacení ve výši obdržených finančních</w:t>
      </w:r>
      <w:r w:rsidRPr="006861A1">
        <w:rPr>
          <w:rFonts w:ascii="Times New Roman" w:eastAsia="Book Antiqua" w:hAnsi="Times New Roman" w:cs="Times New Roman"/>
          <w:spacing w:val="-18"/>
          <w:sz w:val="24"/>
          <w:szCs w:val="24"/>
          <w:lang w:eastAsia="cs-CZ" w:bidi="cs-CZ"/>
        </w:rPr>
        <w:t xml:space="preserve"> </w:t>
      </w:r>
      <w:r w:rsidRPr="006861A1">
        <w:rPr>
          <w:rFonts w:ascii="Times New Roman" w:eastAsia="Book Antiqua" w:hAnsi="Times New Roman" w:cs="Times New Roman"/>
          <w:sz w:val="24"/>
          <w:szCs w:val="24"/>
          <w:lang w:eastAsia="cs-CZ" w:bidi="cs-CZ"/>
        </w:rPr>
        <w:t>prostředků.</w:t>
      </w:r>
    </w:p>
    <w:p w:rsidR="006861A1" w:rsidRPr="006861A1" w:rsidRDefault="006861A1" w:rsidP="006861A1">
      <w:pPr>
        <w:widowControl w:val="0"/>
        <w:autoSpaceDE w:val="0"/>
        <w:autoSpaceDN w:val="0"/>
        <w:spacing w:before="159" w:after="0" w:line="240" w:lineRule="auto"/>
        <w:ind w:left="3319" w:right="3320"/>
        <w:jc w:val="center"/>
        <w:outlineLvl w:val="0"/>
        <w:rPr>
          <w:rFonts w:ascii="Times New Roman" w:eastAsia="Book Antiqua" w:hAnsi="Times New Roman" w:cs="Times New Roman"/>
          <w:b/>
          <w:bCs/>
          <w:sz w:val="24"/>
          <w:szCs w:val="24"/>
          <w:lang w:eastAsia="cs-CZ" w:bidi="cs-CZ"/>
        </w:rPr>
      </w:pPr>
      <w:r w:rsidRPr="006861A1">
        <w:rPr>
          <w:rFonts w:ascii="Times New Roman" w:eastAsia="Book Antiqua" w:hAnsi="Times New Roman" w:cs="Times New Roman"/>
          <w:b/>
          <w:bCs/>
          <w:sz w:val="24"/>
          <w:szCs w:val="24"/>
          <w:lang w:eastAsia="cs-CZ" w:bidi="cs-CZ"/>
        </w:rPr>
        <w:t>II.</w:t>
      </w:r>
    </w:p>
    <w:bookmarkEnd w:id="0"/>
    <w:p w:rsidR="00374401" w:rsidRDefault="00374401" w:rsidP="00374401">
      <w:pPr>
        <w:spacing w:before="100" w:beforeAutospacing="1" w:after="100" w:afterAutospacing="1" w:line="240" w:lineRule="auto"/>
        <w:jc w:val="center"/>
        <w:rPr>
          <w:rFonts w:ascii="Times New Roman" w:eastAsia="Times New Roman" w:hAnsi="Times New Roman" w:cs="Times New Roman"/>
          <w:b/>
          <w:bCs/>
          <w:sz w:val="24"/>
          <w:szCs w:val="24"/>
          <w:lang w:eastAsia="cs-CZ"/>
        </w:rPr>
      </w:pPr>
      <w:r w:rsidRPr="00374401">
        <w:rPr>
          <w:rFonts w:ascii="Times New Roman" w:eastAsia="Times New Roman" w:hAnsi="Times New Roman" w:cs="Times New Roman"/>
          <w:b/>
          <w:bCs/>
          <w:sz w:val="24"/>
          <w:szCs w:val="24"/>
          <w:lang w:eastAsia="cs-CZ"/>
        </w:rPr>
        <w:t>Předmět dohody</w:t>
      </w:r>
    </w:p>
    <w:p w:rsidR="00374401" w:rsidRPr="00374401" w:rsidRDefault="00374401" w:rsidP="003744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4401">
        <w:rPr>
          <w:rFonts w:ascii="Times New Roman" w:eastAsia="Times New Roman" w:hAnsi="Times New Roman" w:cs="Times New Roman"/>
          <w:sz w:val="24"/>
          <w:szCs w:val="24"/>
          <w:lang w:eastAsia="cs-CZ"/>
        </w:rPr>
        <w:br/>
        <w:t xml:space="preserve">Smluvní strany touto dohodou vzájemně započítávají hodnotu vzniklého bezdůvodného obohacení dle odst. 1.3. této dohody. Vzhledem k tomu, že objednateli byly poskytnuty </w:t>
      </w:r>
      <w:r w:rsidRPr="00374401">
        <w:rPr>
          <w:rFonts w:ascii="Times New Roman" w:eastAsia="Times New Roman" w:hAnsi="Times New Roman" w:cs="Times New Roman"/>
          <w:sz w:val="24"/>
          <w:szCs w:val="24"/>
          <w:lang w:eastAsia="cs-CZ"/>
        </w:rPr>
        <w:lastRenderedPageBreak/>
        <w:t>požadované služby a zhotovitel má uhrazeno veškeré peněžité plnění za realizované služby a dodávky, strany této dohody prohlašují, že v rozsahu těchto již provedených a uhrazených víceprací a méněprací jsou jejich vzájemná práva a povinnosti vyrovnány.</w:t>
      </w:r>
    </w:p>
    <w:p w:rsidR="00374401" w:rsidRPr="00374401" w:rsidRDefault="00374401" w:rsidP="003744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4401">
        <w:rPr>
          <w:rFonts w:ascii="Times New Roman" w:eastAsia="Times New Roman" w:hAnsi="Times New Roman" w:cs="Times New Roman"/>
          <w:sz w:val="24"/>
          <w:szCs w:val="24"/>
          <w:lang w:eastAsia="cs-CZ"/>
        </w:rPr>
        <w:t>Smluvní strany však zároveň berou na vědomí, že některé vícepráce a méněpráce dosud nebyly realizovány, a tedy ani fakturovány a uhrazeny. V souladu se smluvním ujednáním zůstává závazek těchto neprovedených víceprací a méněprací zachován, přičemž tyto budou provedeny, vyfakturovány a uhrazeny dle sjednaných podmínek.</w:t>
      </w:r>
    </w:p>
    <w:p w:rsidR="00374401" w:rsidRPr="00374401" w:rsidRDefault="00374401" w:rsidP="0037440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74401">
        <w:rPr>
          <w:rFonts w:ascii="Times New Roman" w:eastAsia="Times New Roman" w:hAnsi="Times New Roman" w:cs="Times New Roman"/>
          <w:sz w:val="24"/>
          <w:szCs w:val="24"/>
          <w:lang w:eastAsia="cs-CZ"/>
        </w:rPr>
        <w:t>Tímto započtením jsou tedy vyrovnány pouze závazky týkající se již provedených a uhrazených služeb a dodávek. Strany se zavazují, že si na základě smlouvy či v souvislosti s ní nebudou zpětně (tj. od uveřejnění této dohody v registru smluv) nic požadovat, a to ani případně vzniklou škodu či ušlý zisk, s výjimkou případných nároků objednatele vyplývajících z poskytnuté záruky.</w:t>
      </w:r>
    </w:p>
    <w:p w:rsidR="006861A1" w:rsidRPr="006861A1" w:rsidRDefault="006861A1" w:rsidP="006861A1">
      <w:pPr>
        <w:widowControl w:val="0"/>
        <w:autoSpaceDE w:val="0"/>
        <w:autoSpaceDN w:val="0"/>
        <w:spacing w:before="160" w:after="0" w:line="240" w:lineRule="auto"/>
        <w:ind w:left="3319" w:right="3319"/>
        <w:jc w:val="center"/>
        <w:outlineLvl w:val="0"/>
        <w:rPr>
          <w:rFonts w:ascii="Times New Roman" w:eastAsia="Book Antiqua" w:hAnsi="Times New Roman" w:cs="Times New Roman"/>
          <w:b/>
          <w:bCs/>
          <w:sz w:val="24"/>
          <w:szCs w:val="24"/>
          <w:lang w:eastAsia="cs-CZ" w:bidi="cs-CZ"/>
        </w:rPr>
      </w:pPr>
      <w:r w:rsidRPr="006861A1">
        <w:rPr>
          <w:rFonts w:ascii="Times New Roman" w:eastAsia="Book Antiqua" w:hAnsi="Times New Roman" w:cs="Times New Roman"/>
          <w:b/>
          <w:bCs/>
          <w:sz w:val="24"/>
          <w:szCs w:val="24"/>
          <w:lang w:eastAsia="cs-CZ" w:bidi="cs-CZ"/>
        </w:rPr>
        <w:t>III.</w:t>
      </w:r>
    </w:p>
    <w:p w:rsidR="006861A1" w:rsidRPr="006861A1" w:rsidRDefault="006861A1" w:rsidP="006861A1">
      <w:pPr>
        <w:widowControl w:val="0"/>
        <w:autoSpaceDE w:val="0"/>
        <w:autoSpaceDN w:val="0"/>
        <w:spacing w:before="21" w:after="0" w:line="240" w:lineRule="auto"/>
        <w:ind w:left="3319" w:right="3319"/>
        <w:jc w:val="center"/>
        <w:rPr>
          <w:rFonts w:ascii="Times New Roman" w:eastAsia="Book Antiqua" w:hAnsi="Times New Roman" w:cs="Times New Roman"/>
          <w:b/>
          <w:sz w:val="24"/>
          <w:szCs w:val="24"/>
          <w:lang w:eastAsia="cs-CZ" w:bidi="cs-CZ"/>
        </w:rPr>
      </w:pPr>
      <w:r w:rsidRPr="006861A1">
        <w:rPr>
          <w:rFonts w:ascii="Times New Roman" w:eastAsia="Book Antiqua" w:hAnsi="Times New Roman" w:cs="Times New Roman"/>
          <w:b/>
          <w:sz w:val="24"/>
          <w:szCs w:val="24"/>
          <w:lang w:eastAsia="cs-CZ" w:bidi="cs-CZ"/>
        </w:rPr>
        <w:t>Závěrečná ustanovení</w:t>
      </w:r>
    </w:p>
    <w:p w:rsidR="006861A1" w:rsidRPr="006861A1" w:rsidRDefault="006861A1" w:rsidP="006861A1">
      <w:pPr>
        <w:widowControl w:val="0"/>
        <w:numPr>
          <w:ilvl w:val="1"/>
          <w:numId w:val="1"/>
        </w:numPr>
        <w:tabs>
          <w:tab w:val="left" w:pos="478"/>
        </w:tabs>
        <w:autoSpaceDE w:val="0"/>
        <w:autoSpaceDN w:val="0"/>
        <w:spacing w:before="181" w:after="0" w:line="240" w:lineRule="auto"/>
        <w:ind w:hanging="361"/>
        <w:jc w:val="both"/>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Tato dohoda je sepsána ve dvou</w:t>
      </w:r>
      <w:r w:rsidRPr="006861A1">
        <w:rPr>
          <w:rFonts w:ascii="Times New Roman" w:eastAsia="Book Antiqua" w:hAnsi="Times New Roman" w:cs="Times New Roman"/>
          <w:spacing w:val="-5"/>
          <w:sz w:val="24"/>
          <w:szCs w:val="24"/>
          <w:lang w:eastAsia="cs-CZ" w:bidi="cs-CZ"/>
        </w:rPr>
        <w:t xml:space="preserve"> </w:t>
      </w:r>
      <w:r w:rsidRPr="006861A1">
        <w:rPr>
          <w:rFonts w:ascii="Times New Roman" w:eastAsia="Book Antiqua" w:hAnsi="Times New Roman" w:cs="Times New Roman"/>
          <w:sz w:val="24"/>
          <w:szCs w:val="24"/>
          <w:lang w:eastAsia="cs-CZ" w:bidi="cs-CZ"/>
        </w:rPr>
        <w:t>stejnopisech.</w:t>
      </w:r>
    </w:p>
    <w:p w:rsidR="006861A1" w:rsidRPr="006861A1" w:rsidRDefault="006861A1" w:rsidP="006861A1">
      <w:pPr>
        <w:widowControl w:val="0"/>
        <w:numPr>
          <w:ilvl w:val="1"/>
          <w:numId w:val="1"/>
        </w:numPr>
        <w:tabs>
          <w:tab w:val="left" w:pos="478"/>
        </w:tabs>
        <w:autoSpaceDE w:val="0"/>
        <w:autoSpaceDN w:val="0"/>
        <w:spacing w:before="182" w:after="0" w:line="240" w:lineRule="auto"/>
        <w:ind w:hanging="361"/>
        <w:jc w:val="both"/>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Tuto dohodu je možné měnit pouze písemnými, vzestupně číslovanými</w:t>
      </w:r>
      <w:r w:rsidRPr="006861A1">
        <w:rPr>
          <w:rFonts w:ascii="Times New Roman" w:eastAsia="Book Antiqua" w:hAnsi="Times New Roman" w:cs="Times New Roman"/>
          <w:spacing w:val="-15"/>
          <w:sz w:val="24"/>
          <w:szCs w:val="24"/>
          <w:lang w:eastAsia="cs-CZ" w:bidi="cs-CZ"/>
        </w:rPr>
        <w:t xml:space="preserve"> </w:t>
      </w:r>
      <w:r w:rsidRPr="006861A1">
        <w:rPr>
          <w:rFonts w:ascii="Times New Roman" w:eastAsia="Book Antiqua" w:hAnsi="Times New Roman" w:cs="Times New Roman"/>
          <w:sz w:val="24"/>
          <w:szCs w:val="24"/>
          <w:lang w:eastAsia="cs-CZ" w:bidi="cs-CZ"/>
        </w:rPr>
        <w:t>dodatky.</w:t>
      </w:r>
    </w:p>
    <w:p w:rsidR="006861A1" w:rsidRPr="006861A1" w:rsidRDefault="006861A1" w:rsidP="006861A1">
      <w:pPr>
        <w:widowControl w:val="0"/>
        <w:numPr>
          <w:ilvl w:val="1"/>
          <w:numId w:val="1"/>
        </w:numPr>
        <w:tabs>
          <w:tab w:val="left" w:pos="478"/>
        </w:tabs>
        <w:autoSpaceDE w:val="0"/>
        <w:autoSpaceDN w:val="0"/>
        <w:spacing w:before="181" w:after="0" w:line="240" w:lineRule="auto"/>
        <w:ind w:hanging="361"/>
        <w:jc w:val="both"/>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Nedílnou součástí této dohody je příloha č. 1 – Dodatek č. 1 ke Smlouvě o dílo</w:t>
      </w:r>
      <w:r w:rsidR="00795D91">
        <w:rPr>
          <w:rFonts w:ascii="Times New Roman" w:eastAsia="Book Antiqua" w:hAnsi="Times New Roman" w:cs="Times New Roman"/>
          <w:sz w:val="24"/>
          <w:szCs w:val="24"/>
          <w:lang w:eastAsia="cs-CZ" w:bidi="cs-CZ"/>
        </w:rPr>
        <w:t xml:space="preserve"> a jeho přílohy.</w:t>
      </w:r>
    </w:p>
    <w:p w:rsidR="006861A1" w:rsidRPr="006861A1" w:rsidRDefault="006861A1" w:rsidP="006861A1">
      <w:pPr>
        <w:widowControl w:val="0"/>
        <w:numPr>
          <w:ilvl w:val="1"/>
          <w:numId w:val="1"/>
        </w:numPr>
        <w:tabs>
          <w:tab w:val="left" w:pos="478"/>
        </w:tabs>
        <w:autoSpaceDE w:val="0"/>
        <w:autoSpaceDN w:val="0"/>
        <w:spacing w:before="180" w:after="0" w:line="240" w:lineRule="auto"/>
        <w:ind w:right="117"/>
        <w:jc w:val="both"/>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Smluvní strany berou na vědomí, že tato dohoda bude zveřejněna v registru smluv      dle zákona č. 340/2015 Sb</w:t>
      </w:r>
      <w:r w:rsidR="00FB6264">
        <w:rPr>
          <w:rFonts w:ascii="Times New Roman" w:eastAsia="Book Antiqua" w:hAnsi="Times New Roman" w:cs="Times New Roman"/>
          <w:sz w:val="24"/>
          <w:szCs w:val="24"/>
          <w:lang w:eastAsia="cs-CZ" w:bidi="cs-CZ"/>
        </w:rPr>
        <w:t>.</w:t>
      </w:r>
      <w:r w:rsidRPr="006861A1">
        <w:rPr>
          <w:rFonts w:ascii="Times New Roman" w:eastAsia="Book Antiqua" w:hAnsi="Times New Roman" w:cs="Times New Roman"/>
          <w:sz w:val="24"/>
          <w:szCs w:val="24"/>
          <w:lang w:eastAsia="cs-CZ" w:bidi="cs-CZ"/>
        </w:rPr>
        <w:t>, o registru smluv, jelikož objednatel povinnou osobou ve smyslu tohoto zákona, a s jejím zveřejněním souhlasí. Zveřejnění se zavazuje zajistit objednatel do 30 dnů od podpisu této dohody oběma smluvními</w:t>
      </w:r>
      <w:r w:rsidRPr="006861A1">
        <w:rPr>
          <w:rFonts w:ascii="Times New Roman" w:eastAsia="Book Antiqua" w:hAnsi="Times New Roman" w:cs="Times New Roman"/>
          <w:spacing w:val="-10"/>
          <w:sz w:val="24"/>
          <w:szCs w:val="24"/>
          <w:lang w:eastAsia="cs-CZ" w:bidi="cs-CZ"/>
        </w:rPr>
        <w:t xml:space="preserve"> </w:t>
      </w:r>
      <w:r w:rsidRPr="006861A1">
        <w:rPr>
          <w:rFonts w:ascii="Times New Roman" w:eastAsia="Book Antiqua" w:hAnsi="Times New Roman" w:cs="Times New Roman"/>
          <w:sz w:val="24"/>
          <w:szCs w:val="24"/>
          <w:lang w:eastAsia="cs-CZ" w:bidi="cs-CZ"/>
        </w:rPr>
        <w:t>stranami.</w:t>
      </w:r>
    </w:p>
    <w:p w:rsidR="006861A1" w:rsidRPr="006861A1" w:rsidRDefault="006861A1" w:rsidP="006861A1">
      <w:pPr>
        <w:widowControl w:val="0"/>
        <w:numPr>
          <w:ilvl w:val="1"/>
          <w:numId w:val="1"/>
        </w:numPr>
        <w:tabs>
          <w:tab w:val="left" w:pos="478"/>
        </w:tabs>
        <w:autoSpaceDE w:val="0"/>
        <w:autoSpaceDN w:val="0"/>
        <w:spacing w:before="161" w:after="0" w:line="240" w:lineRule="auto"/>
        <w:ind w:hanging="361"/>
        <w:jc w:val="both"/>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Tato dohoda nabývá účinnosti dnem uveřejnění v registru</w:t>
      </w:r>
      <w:r w:rsidRPr="006861A1">
        <w:rPr>
          <w:rFonts w:ascii="Times New Roman" w:eastAsia="Book Antiqua" w:hAnsi="Times New Roman" w:cs="Times New Roman"/>
          <w:spacing w:val="-6"/>
          <w:sz w:val="24"/>
          <w:szCs w:val="24"/>
          <w:lang w:eastAsia="cs-CZ" w:bidi="cs-CZ"/>
        </w:rPr>
        <w:t xml:space="preserve"> </w:t>
      </w:r>
      <w:r w:rsidRPr="006861A1">
        <w:rPr>
          <w:rFonts w:ascii="Times New Roman" w:eastAsia="Book Antiqua" w:hAnsi="Times New Roman" w:cs="Times New Roman"/>
          <w:sz w:val="24"/>
          <w:szCs w:val="24"/>
          <w:lang w:eastAsia="cs-CZ" w:bidi="cs-CZ"/>
        </w:rPr>
        <w:t>smluv.</w:t>
      </w:r>
    </w:p>
    <w:p w:rsidR="006861A1" w:rsidRPr="006861A1" w:rsidRDefault="006861A1" w:rsidP="006861A1">
      <w:pPr>
        <w:widowControl w:val="0"/>
        <w:numPr>
          <w:ilvl w:val="1"/>
          <w:numId w:val="1"/>
        </w:numPr>
        <w:tabs>
          <w:tab w:val="left" w:pos="478"/>
        </w:tabs>
        <w:autoSpaceDE w:val="0"/>
        <w:autoSpaceDN w:val="0"/>
        <w:spacing w:before="181" w:after="0" w:line="240" w:lineRule="auto"/>
        <w:ind w:right="121"/>
        <w:jc w:val="both"/>
        <w:rPr>
          <w:rFonts w:ascii="Times New Roman" w:eastAsia="Book Antiqua" w:hAnsi="Times New Roman" w:cs="Times New Roman"/>
          <w:sz w:val="24"/>
          <w:szCs w:val="24"/>
          <w:lang w:eastAsia="cs-CZ" w:bidi="cs-CZ"/>
        </w:rPr>
      </w:pPr>
      <w:r w:rsidRPr="006861A1">
        <w:rPr>
          <w:rFonts w:ascii="Times New Roman" w:eastAsia="Book Antiqua" w:hAnsi="Times New Roman" w:cs="Times New Roman"/>
          <w:sz w:val="24"/>
          <w:szCs w:val="24"/>
          <w:lang w:eastAsia="cs-CZ" w:bidi="cs-CZ"/>
        </w:rPr>
        <w:t>Na důkaz shody v obsahu i formě této dohody připojují smluvní strany své vlastnoruční podpisy.</w:t>
      </w:r>
    </w:p>
    <w:p w:rsidR="00E5570F" w:rsidRPr="006861A1" w:rsidRDefault="00E5570F">
      <w:pPr>
        <w:rPr>
          <w:rFonts w:ascii="Times New Roman" w:hAnsi="Times New Roman" w:cs="Times New Roman"/>
          <w:sz w:val="24"/>
          <w:szCs w:val="24"/>
        </w:rPr>
      </w:pPr>
    </w:p>
    <w:p w:rsidR="006861A1" w:rsidRPr="006861A1" w:rsidRDefault="006861A1" w:rsidP="006861A1">
      <w:pPr>
        <w:pStyle w:val="Zkladntext"/>
        <w:tabs>
          <w:tab w:val="left" w:pos="5073"/>
          <w:tab w:val="left" w:leader="dot" w:pos="6111"/>
        </w:tabs>
        <w:ind w:left="117"/>
        <w:rPr>
          <w:rFonts w:ascii="Times New Roman" w:hAnsi="Times New Roman" w:cs="Times New Roman"/>
          <w:sz w:val="24"/>
          <w:szCs w:val="24"/>
        </w:rPr>
      </w:pPr>
      <w:r w:rsidRPr="006861A1">
        <w:rPr>
          <w:rFonts w:ascii="Times New Roman" w:hAnsi="Times New Roman" w:cs="Times New Roman"/>
          <w:sz w:val="24"/>
          <w:szCs w:val="24"/>
        </w:rPr>
        <w:t>V Zvíkovci dne</w:t>
      </w:r>
      <w:r w:rsidR="008B366D">
        <w:rPr>
          <w:rFonts w:ascii="Times New Roman" w:hAnsi="Times New Roman" w:cs="Times New Roman"/>
          <w:sz w:val="24"/>
          <w:szCs w:val="24"/>
        </w:rPr>
        <w:t xml:space="preserve"> 16. 4. 2025</w:t>
      </w:r>
      <w:r w:rsidRPr="006861A1">
        <w:rPr>
          <w:rFonts w:ascii="Times New Roman" w:hAnsi="Times New Roman" w:cs="Times New Roman"/>
          <w:sz w:val="24"/>
          <w:szCs w:val="24"/>
        </w:rPr>
        <w:tab/>
        <w:t>V Zvíkovci dne</w:t>
      </w:r>
      <w:r w:rsidR="008B366D">
        <w:rPr>
          <w:rFonts w:ascii="Times New Roman" w:hAnsi="Times New Roman" w:cs="Times New Roman"/>
          <w:sz w:val="24"/>
          <w:szCs w:val="24"/>
        </w:rPr>
        <w:t xml:space="preserve"> </w:t>
      </w:r>
      <w:r w:rsidR="008B366D">
        <w:rPr>
          <w:rFonts w:ascii="Times New Roman" w:hAnsi="Times New Roman" w:cs="Times New Roman"/>
          <w:sz w:val="24"/>
          <w:szCs w:val="24"/>
        </w:rPr>
        <w:t>16. 4. 2025</w:t>
      </w:r>
    </w:p>
    <w:p w:rsidR="006861A1" w:rsidRPr="006861A1" w:rsidRDefault="006861A1" w:rsidP="006861A1">
      <w:pPr>
        <w:pStyle w:val="Zkladntext"/>
        <w:tabs>
          <w:tab w:val="left" w:pos="5073"/>
          <w:tab w:val="left" w:leader="dot" w:pos="6111"/>
        </w:tabs>
        <w:ind w:left="117"/>
        <w:rPr>
          <w:rFonts w:ascii="Times New Roman" w:hAnsi="Times New Roman" w:cs="Times New Roman"/>
          <w:sz w:val="24"/>
          <w:szCs w:val="24"/>
        </w:rPr>
      </w:pPr>
    </w:p>
    <w:p w:rsidR="006861A1" w:rsidRPr="006861A1" w:rsidRDefault="006861A1" w:rsidP="006861A1">
      <w:pPr>
        <w:pStyle w:val="Zkladntext"/>
        <w:tabs>
          <w:tab w:val="left" w:pos="5073"/>
          <w:tab w:val="left" w:leader="dot" w:pos="6111"/>
        </w:tabs>
        <w:ind w:left="117"/>
        <w:rPr>
          <w:rFonts w:ascii="Times New Roman" w:hAnsi="Times New Roman" w:cs="Times New Roman"/>
          <w:sz w:val="24"/>
          <w:szCs w:val="24"/>
        </w:rPr>
      </w:pPr>
    </w:p>
    <w:p w:rsidR="006861A1" w:rsidRPr="006861A1" w:rsidRDefault="006861A1" w:rsidP="006861A1">
      <w:pPr>
        <w:pStyle w:val="Zkladntext"/>
        <w:tabs>
          <w:tab w:val="left" w:pos="5073"/>
          <w:tab w:val="left" w:leader="dot" w:pos="6111"/>
        </w:tabs>
        <w:ind w:left="117"/>
        <w:rPr>
          <w:rFonts w:ascii="Times New Roman" w:hAnsi="Times New Roman" w:cs="Times New Roman"/>
          <w:sz w:val="24"/>
          <w:szCs w:val="24"/>
        </w:rPr>
      </w:pPr>
      <w:r w:rsidRPr="006861A1">
        <w:rPr>
          <w:rFonts w:ascii="Times New Roman" w:hAnsi="Times New Roman" w:cs="Times New Roman"/>
          <w:sz w:val="24"/>
          <w:szCs w:val="24"/>
        </w:rPr>
        <w:t>……………………………..</w:t>
      </w:r>
      <w:r w:rsidRPr="006861A1">
        <w:rPr>
          <w:rFonts w:ascii="Times New Roman" w:hAnsi="Times New Roman" w:cs="Times New Roman"/>
          <w:sz w:val="24"/>
          <w:szCs w:val="24"/>
        </w:rPr>
        <w:tab/>
        <w:t>……………………………..</w:t>
      </w:r>
    </w:p>
    <w:p w:rsidR="00F3422B" w:rsidRDefault="006861A1" w:rsidP="006861A1">
      <w:pPr>
        <w:pStyle w:val="Zkladntext"/>
        <w:tabs>
          <w:tab w:val="left" w:pos="5073"/>
          <w:tab w:val="left" w:leader="dot" w:pos="6111"/>
        </w:tabs>
        <w:ind w:left="117"/>
        <w:rPr>
          <w:rFonts w:ascii="Times New Roman" w:hAnsi="Times New Roman" w:cs="Times New Roman"/>
          <w:sz w:val="24"/>
          <w:szCs w:val="24"/>
        </w:rPr>
      </w:pPr>
      <w:r w:rsidRPr="006861A1">
        <w:rPr>
          <w:rFonts w:ascii="Times New Roman" w:hAnsi="Times New Roman" w:cs="Times New Roman"/>
          <w:sz w:val="24"/>
          <w:szCs w:val="24"/>
        </w:rPr>
        <w:t xml:space="preserve">            Objednatel</w:t>
      </w:r>
      <w:r w:rsidR="00F3422B">
        <w:rPr>
          <w:rFonts w:ascii="Times New Roman" w:hAnsi="Times New Roman" w:cs="Times New Roman"/>
          <w:sz w:val="24"/>
          <w:szCs w:val="24"/>
        </w:rPr>
        <w:t xml:space="preserve"> </w:t>
      </w:r>
      <w:r w:rsidR="00F3422B" w:rsidRPr="006861A1">
        <w:rPr>
          <w:rFonts w:ascii="Times New Roman" w:hAnsi="Times New Roman" w:cs="Times New Roman"/>
          <w:sz w:val="24"/>
          <w:szCs w:val="24"/>
        </w:rPr>
        <w:t xml:space="preserve">             </w:t>
      </w:r>
      <w:r w:rsidR="00F3422B">
        <w:rPr>
          <w:rFonts w:ascii="Times New Roman" w:hAnsi="Times New Roman" w:cs="Times New Roman"/>
          <w:sz w:val="24"/>
          <w:szCs w:val="24"/>
        </w:rPr>
        <w:t xml:space="preserve">                                                     </w:t>
      </w:r>
      <w:r w:rsidR="00F3422B" w:rsidRPr="006861A1">
        <w:rPr>
          <w:rFonts w:ascii="Times New Roman" w:hAnsi="Times New Roman" w:cs="Times New Roman"/>
          <w:sz w:val="24"/>
          <w:szCs w:val="24"/>
        </w:rPr>
        <w:t>Zhotovitel</w:t>
      </w:r>
    </w:p>
    <w:p w:rsidR="006861A1" w:rsidRPr="006861A1" w:rsidRDefault="00F3422B" w:rsidP="006861A1">
      <w:pPr>
        <w:pStyle w:val="Zkladntext"/>
        <w:tabs>
          <w:tab w:val="left" w:pos="5073"/>
          <w:tab w:val="left" w:leader="dot" w:pos="6111"/>
        </w:tabs>
        <w:ind w:left="117"/>
        <w:rPr>
          <w:rFonts w:ascii="Times New Roman" w:hAnsi="Times New Roman" w:cs="Times New Roman"/>
          <w:sz w:val="24"/>
          <w:szCs w:val="24"/>
        </w:rPr>
      </w:pPr>
      <w:r>
        <w:rPr>
          <w:rFonts w:ascii="Times New Roman" w:hAnsi="Times New Roman" w:cs="Times New Roman"/>
          <w:sz w:val="24"/>
          <w:szCs w:val="24"/>
        </w:rPr>
        <w:t xml:space="preserve">      Ing. Igor </w:t>
      </w:r>
      <w:proofErr w:type="spellStart"/>
      <w:r>
        <w:rPr>
          <w:rFonts w:ascii="Times New Roman" w:hAnsi="Times New Roman" w:cs="Times New Roman"/>
          <w:sz w:val="24"/>
          <w:szCs w:val="24"/>
        </w:rPr>
        <w:t>Tjutčev</w:t>
      </w:r>
      <w:proofErr w:type="spellEnd"/>
      <w:r w:rsidR="006861A1" w:rsidRPr="006861A1">
        <w:rPr>
          <w:rFonts w:ascii="Times New Roman" w:hAnsi="Times New Roman" w:cs="Times New Roman"/>
          <w:sz w:val="24"/>
          <w:szCs w:val="24"/>
        </w:rPr>
        <w:tab/>
      </w:r>
      <w:r>
        <w:rPr>
          <w:rFonts w:ascii="Times New Roman" w:hAnsi="Times New Roman" w:cs="Times New Roman"/>
          <w:sz w:val="24"/>
          <w:szCs w:val="24"/>
        </w:rPr>
        <w:t xml:space="preserve">             </w:t>
      </w:r>
      <w:bookmarkStart w:id="1" w:name="_GoBack"/>
      <w:bookmarkEnd w:id="1"/>
      <w:r>
        <w:rPr>
          <w:rFonts w:ascii="Times New Roman" w:hAnsi="Times New Roman" w:cs="Times New Roman"/>
          <w:sz w:val="24"/>
          <w:szCs w:val="24"/>
        </w:rPr>
        <w:t>Aleš Přibyl</w:t>
      </w:r>
    </w:p>
    <w:p w:rsidR="006861A1" w:rsidRDefault="006861A1"/>
    <w:p w:rsidR="006861A1" w:rsidRDefault="006861A1"/>
    <w:p w:rsidR="006861A1" w:rsidRDefault="006861A1"/>
    <w:sectPr w:rsidR="00686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23957"/>
    <w:multiLevelType w:val="multilevel"/>
    <w:tmpl w:val="5BA8A09C"/>
    <w:lvl w:ilvl="0">
      <w:start w:val="3"/>
      <w:numFmt w:val="decimal"/>
      <w:lvlText w:val="%1"/>
      <w:lvlJc w:val="left"/>
      <w:pPr>
        <w:ind w:left="477" w:hanging="360"/>
      </w:pPr>
      <w:rPr>
        <w:rFonts w:hint="default"/>
        <w:lang w:val="cs-CZ" w:eastAsia="cs-CZ" w:bidi="cs-CZ"/>
      </w:rPr>
    </w:lvl>
    <w:lvl w:ilvl="1">
      <w:start w:val="1"/>
      <w:numFmt w:val="decimal"/>
      <w:lvlText w:val="%1.%2."/>
      <w:lvlJc w:val="left"/>
      <w:pPr>
        <w:ind w:left="477" w:hanging="360"/>
      </w:pPr>
      <w:rPr>
        <w:rFonts w:ascii="Book Antiqua" w:eastAsia="Book Antiqua" w:hAnsi="Book Antiqua" w:cs="Book Antiqua" w:hint="default"/>
        <w:w w:val="99"/>
        <w:sz w:val="22"/>
        <w:szCs w:val="22"/>
        <w:lang w:val="cs-CZ" w:eastAsia="cs-CZ" w:bidi="cs-CZ"/>
      </w:rPr>
    </w:lvl>
    <w:lvl w:ilvl="2">
      <w:numFmt w:val="bullet"/>
      <w:lvlText w:val="•"/>
      <w:lvlJc w:val="left"/>
      <w:pPr>
        <w:ind w:left="2245" w:hanging="360"/>
      </w:pPr>
      <w:rPr>
        <w:rFonts w:hint="default"/>
        <w:lang w:val="cs-CZ" w:eastAsia="cs-CZ" w:bidi="cs-CZ"/>
      </w:rPr>
    </w:lvl>
    <w:lvl w:ilvl="3">
      <w:numFmt w:val="bullet"/>
      <w:lvlText w:val="•"/>
      <w:lvlJc w:val="left"/>
      <w:pPr>
        <w:ind w:left="3127" w:hanging="360"/>
      </w:pPr>
      <w:rPr>
        <w:rFonts w:hint="default"/>
        <w:lang w:val="cs-CZ" w:eastAsia="cs-CZ" w:bidi="cs-CZ"/>
      </w:rPr>
    </w:lvl>
    <w:lvl w:ilvl="4">
      <w:numFmt w:val="bullet"/>
      <w:lvlText w:val="•"/>
      <w:lvlJc w:val="left"/>
      <w:pPr>
        <w:ind w:left="4010" w:hanging="360"/>
      </w:pPr>
      <w:rPr>
        <w:rFonts w:hint="default"/>
        <w:lang w:val="cs-CZ" w:eastAsia="cs-CZ" w:bidi="cs-CZ"/>
      </w:rPr>
    </w:lvl>
    <w:lvl w:ilvl="5">
      <w:numFmt w:val="bullet"/>
      <w:lvlText w:val="•"/>
      <w:lvlJc w:val="left"/>
      <w:pPr>
        <w:ind w:left="4893" w:hanging="360"/>
      </w:pPr>
      <w:rPr>
        <w:rFonts w:hint="default"/>
        <w:lang w:val="cs-CZ" w:eastAsia="cs-CZ" w:bidi="cs-CZ"/>
      </w:rPr>
    </w:lvl>
    <w:lvl w:ilvl="6">
      <w:numFmt w:val="bullet"/>
      <w:lvlText w:val="•"/>
      <w:lvlJc w:val="left"/>
      <w:pPr>
        <w:ind w:left="5775" w:hanging="360"/>
      </w:pPr>
      <w:rPr>
        <w:rFonts w:hint="default"/>
        <w:lang w:val="cs-CZ" w:eastAsia="cs-CZ" w:bidi="cs-CZ"/>
      </w:rPr>
    </w:lvl>
    <w:lvl w:ilvl="7">
      <w:numFmt w:val="bullet"/>
      <w:lvlText w:val="•"/>
      <w:lvlJc w:val="left"/>
      <w:pPr>
        <w:ind w:left="6658" w:hanging="360"/>
      </w:pPr>
      <w:rPr>
        <w:rFonts w:hint="default"/>
        <w:lang w:val="cs-CZ" w:eastAsia="cs-CZ" w:bidi="cs-CZ"/>
      </w:rPr>
    </w:lvl>
    <w:lvl w:ilvl="8">
      <w:numFmt w:val="bullet"/>
      <w:lvlText w:val="•"/>
      <w:lvlJc w:val="left"/>
      <w:pPr>
        <w:ind w:left="7541" w:hanging="360"/>
      </w:pPr>
      <w:rPr>
        <w:rFonts w:hint="default"/>
        <w:lang w:val="cs-CZ" w:eastAsia="cs-CZ" w:bidi="cs-CZ"/>
      </w:rPr>
    </w:lvl>
  </w:abstractNum>
  <w:abstractNum w:abstractNumId="1" w15:restartNumberingAfterBreak="0">
    <w:nsid w:val="58614B99"/>
    <w:multiLevelType w:val="multilevel"/>
    <w:tmpl w:val="E5488C9A"/>
    <w:lvl w:ilvl="0">
      <w:start w:val="1"/>
      <w:numFmt w:val="decimal"/>
      <w:lvlText w:val="%1"/>
      <w:lvlJc w:val="left"/>
      <w:pPr>
        <w:ind w:left="477" w:hanging="360"/>
      </w:pPr>
      <w:rPr>
        <w:rFonts w:hint="default"/>
        <w:lang w:val="cs-CZ" w:eastAsia="cs-CZ" w:bidi="cs-CZ"/>
      </w:rPr>
    </w:lvl>
    <w:lvl w:ilvl="1">
      <w:start w:val="1"/>
      <w:numFmt w:val="decimal"/>
      <w:lvlText w:val="%1.%2."/>
      <w:lvlJc w:val="left"/>
      <w:pPr>
        <w:ind w:left="477" w:hanging="360"/>
      </w:pPr>
      <w:rPr>
        <w:rFonts w:ascii="Book Antiqua" w:eastAsia="Book Antiqua" w:hAnsi="Book Antiqua" w:cs="Book Antiqua" w:hint="default"/>
        <w:w w:val="99"/>
        <w:sz w:val="22"/>
        <w:szCs w:val="22"/>
        <w:lang w:val="cs-CZ" w:eastAsia="cs-CZ" w:bidi="cs-CZ"/>
      </w:rPr>
    </w:lvl>
    <w:lvl w:ilvl="2">
      <w:numFmt w:val="bullet"/>
      <w:lvlText w:val="•"/>
      <w:lvlJc w:val="left"/>
      <w:pPr>
        <w:ind w:left="2245" w:hanging="360"/>
      </w:pPr>
      <w:rPr>
        <w:rFonts w:hint="default"/>
        <w:lang w:val="cs-CZ" w:eastAsia="cs-CZ" w:bidi="cs-CZ"/>
      </w:rPr>
    </w:lvl>
    <w:lvl w:ilvl="3">
      <w:numFmt w:val="bullet"/>
      <w:lvlText w:val="•"/>
      <w:lvlJc w:val="left"/>
      <w:pPr>
        <w:ind w:left="3127" w:hanging="360"/>
      </w:pPr>
      <w:rPr>
        <w:rFonts w:hint="default"/>
        <w:lang w:val="cs-CZ" w:eastAsia="cs-CZ" w:bidi="cs-CZ"/>
      </w:rPr>
    </w:lvl>
    <w:lvl w:ilvl="4">
      <w:numFmt w:val="bullet"/>
      <w:lvlText w:val="•"/>
      <w:lvlJc w:val="left"/>
      <w:pPr>
        <w:ind w:left="4010" w:hanging="360"/>
      </w:pPr>
      <w:rPr>
        <w:rFonts w:hint="default"/>
        <w:lang w:val="cs-CZ" w:eastAsia="cs-CZ" w:bidi="cs-CZ"/>
      </w:rPr>
    </w:lvl>
    <w:lvl w:ilvl="5">
      <w:numFmt w:val="bullet"/>
      <w:lvlText w:val="•"/>
      <w:lvlJc w:val="left"/>
      <w:pPr>
        <w:ind w:left="4893" w:hanging="360"/>
      </w:pPr>
      <w:rPr>
        <w:rFonts w:hint="default"/>
        <w:lang w:val="cs-CZ" w:eastAsia="cs-CZ" w:bidi="cs-CZ"/>
      </w:rPr>
    </w:lvl>
    <w:lvl w:ilvl="6">
      <w:numFmt w:val="bullet"/>
      <w:lvlText w:val="•"/>
      <w:lvlJc w:val="left"/>
      <w:pPr>
        <w:ind w:left="5775" w:hanging="360"/>
      </w:pPr>
      <w:rPr>
        <w:rFonts w:hint="default"/>
        <w:lang w:val="cs-CZ" w:eastAsia="cs-CZ" w:bidi="cs-CZ"/>
      </w:rPr>
    </w:lvl>
    <w:lvl w:ilvl="7">
      <w:numFmt w:val="bullet"/>
      <w:lvlText w:val="•"/>
      <w:lvlJc w:val="left"/>
      <w:pPr>
        <w:ind w:left="6658" w:hanging="360"/>
      </w:pPr>
      <w:rPr>
        <w:rFonts w:hint="default"/>
        <w:lang w:val="cs-CZ" w:eastAsia="cs-CZ" w:bidi="cs-CZ"/>
      </w:rPr>
    </w:lvl>
    <w:lvl w:ilvl="8">
      <w:numFmt w:val="bullet"/>
      <w:lvlText w:val="•"/>
      <w:lvlJc w:val="left"/>
      <w:pPr>
        <w:ind w:left="7541" w:hanging="360"/>
      </w:pPr>
      <w:rPr>
        <w:rFonts w:hint="default"/>
        <w:lang w:val="cs-CZ" w:eastAsia="cs-CZ" w:bidi="cs-CZ"/>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A1"/>
    <w:rsid w:val="00374401"/>
    <w:rsid w:val="006861A1"/>
    <w:rsid w:val="00795D91"/>
    <w:rsid w:val="007B31FC"/>
    <w:rsid w:val="008B366D"/>
    <w:rsid w:val="00CE1CF4"/>
    <w:rsid w:val="00E5570F"/>
    <w:rsid w:val="00F3422B"/>
    <w:rsid w:val="00FB6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4EF6"/>
  <w15:chartTrackingRefBased/>
  <w15:docId w15:val="{6526C533-3E40-4D73-8A7C-FFF420A7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6861A1"/>
    <w:pPr>
      <w:widowControl w:val="0"/>
      <w:autoSpaceDE w:val="0"/>
      <w:autoSpaceDN w:val="0"/>
      <w:spacing w:after="0" w:line="240" w:lineRule="auto"/>
      <w:ind w:left="477"/>
    </w:pPr>
    <w:rPr>
      <w:rFonts w:ascii="Book Antiqua" w:eastAsia="Book Antiqua" w:hAnsi="Book Antiqua" w:cs="Book Antiqua"/>
      <w:lang w:eastAsia="cs-CZ" w:bidi="cs-CZ"/>
    </w:rPr>
  </w:style>
  <w:style w:type="character" w:customStyle="1" w:styleId="ZkladntextChar">
    <w:name w:val="Základní text Char"/>
    <w:basedOn w:val="Standardnpsmoodstavce"/>
    <w:link w:val="Zkladntext"/>
    <w:uiPriority w:val="1"/>
    <w:rsid w:val="006861A1"/>
    <w:rPr>
      <w:rFonts w:ascii="Book Antiqua" w:eastAsia="Book Antiqua" w:hAnsi="Book Antiqua" w:cs="Book Antiqua"/>
      <w:lang w:eastAsia="cs-CZ" w:bidi="cs-CZ"/>
    </w:rPr>
  </w:style>
  <w:style w:type="character" w:styleId="Siln">
    <w:name w:val="Strong"/>
    <w:basedOn w:val="Standardnpsmoodstavce"/>
    <w:uiPriority w:val="22"/>
    <w:qFormat/>
    <w:rsid w:val="00374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250370">
      <w:bodyDiv w:val="1"/>
      <w:marLeft w:val="0"/>
      <w:marRight w:val="0"/>
      <w:marTop w:val="0"/>
      <w:marBottom w:val="0"/>
      <w:divBdr>
        <w:top w:val="none" w:sz="0" w:space="0" w:color="auto"/>
        <w:left w:val="none" w:sz="0" w:space="0" w:color="auto"/>
        <w:bottom w:val="none" w:sz="0" w:space="0" w:color="auto"/>
        <w:right w:val="none" w:sz="0" w:space="0" w:color="auto"/>
      </w:divBdr>
    </w:div>
    <w:div w:id="20379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573</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Domov "Zvíkovecká kytička"</dc:creator>
  <cp:keywords/>
  <dc:description/>
  <cp:lastModifiedBy>Domov "Zvíkovecká kytička"</cp:lastModifiedBy>
  <cp:revision>7</cp:revision>
  <dcterms:created xsi:type="dcterms:W3CDTF">2025-03-17T05:54:00Z</dcterms:created>
  <dcterms:modified xsi:type="dcterms:W3CDTF">2025-04-15T13:47:00Z</dcterms:modified>
</cp:coreProperties>
</file>