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1"/>
      <w:bookmarkEnd w:id="2"/>
      <w:bookmarkEnd w:id="3"/>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 smlouvy objednatele: 371/2025</w:t>
      </w:r>
    </w:p>
    <w:p>
      <w:pPr>
        <w:pStyle w:val="Style2"/>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920" w:line="240"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888365</wp:posOffset>
                </wp:positionH>
                <wp:positionV relativeFrom="paragraph">
                  <wp:posOffset>393700</wp:posOffset>
                </wp:positionV>
                <wp:extent cx="1085215" cy="1115695"/>
                <wp:wrapSquare wrapText="bothSides"/>
                <wp:docPr id="1" name="Shape 1"/>
                <a:graphic xmlns:a="http://schemas.openxmlformats.org/drawingml/2006/main">
                  <a:graphicData uri="http://schemas.microsoft.com/office/word/2010/wordprocessingShape">
                    <wps:wsp>
                      <wps:cNvSpPr txBox="1"/>
                      <wps:spPr>
                        <a:xfrm>
                          <a:ext cx="1085215" cy="1115695"/>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50000000000003pt;margin-top:31.pt;width:85.450000000000003pt;height:87.85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Ploučnice v České Lípě - sečení travních porostů 2025</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340" w:right="0" w:firstLine="0"/>
        <w:jc w:val="left"/>
      </w:pPr>
      <w:r>
        <mc:AlternateContent>
          <mc:Choice Requires="wps">
            <w:drawing>
              <wp:anchor distT="0" distB="0" distL="114300" distR="114300" simplePos="0" relativeHeight="125829380" behindDoc="0" locked="0" layoutInCell="1" allowOverlap="1">
                <wp:simplePos x="0" y="0"/>
                <wp:positionH relativeFrom="page">
                  <wp:posOffset>888365</wp:posOffset>
                </wp:positionH>
                <wp:positionV relativeFrom="paragraph">
                  <wp:posOffset>12700</wp:posOffset>
                </wp:positionV>
                <wp:extent cx="749935" cy="716280"/>
                <wp:wrapSquare wrapText="bothSides"/>
                <wp:docPr id="3" name="Shape 3"/>
                <a:graphic xmlns:a="http://schemas.openxmlformats.org/drawingml/2006/main">
                  <a:graphicData uri="http://schemas.microsoft.com/office/word/2010/wordprocessingShape">
                    <wps:wsp>
                      <wps:cNvSpPr txBox="1"/>
                      <wps:spPr>
                        <a:xfrm>
                          <a:ext cx="74993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69.950000000000003pt;margin-top:1.pt;width:59.050000000000004pt;height:56.3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HAGL, spol. s r.o.</w:t>
      </w:r>
    </w:p>
    <w:p>
      <w:pPr>
        <w:pStyle w:val="Style2"/>
        <w:keepNext w:val="0"/>
        <w:keepLines w:val="0"/>
        <w:widowControl w:val="0"/>
        <w:shd w:val="clear" w:color="auto" w:fill="auto"/>
        <w:bidi w:val="0"/>
        <w:spacing w:before="0" w:after="0" w:line="240" w:lineRule="auto"/>
        <w:ind w:left="2340" w:right="0" w:firstLine="0"/>
        <w:jc w:val="left"/>
      </w:pPr>
      <w:r>
        <w:rPr>
          <w:color w:val="000000"/>
          <w:spacing w:val="0"/>
          <w:w w:val="100"/>
          <w:position w:val="0"/>
          <w:shd w:val="clear" w:color="auto" w:fill="auto"/>
          <w:lang w:val="cs-CZ" w:eastAsia="cs-CZ" w:bidi="cs-CZ"/>
        </w:rPr>
        <w:t>Na Sklípku 880, 400 07 Ústí nad Labem</w:t>
      </w:r>
    </w:p>
    <w:p>
      <w:pPr>
        <w:pStyle w:val="Style2"/>
        <w:keepNext w:val="0"/>
        <w:keepLines w:val="0"/>
        <w:widowControl w:val="0"/>
        <w:shd w:val="clear" w:color="auto" w:fill="auto"/>
        <w:bidi w:val="0"/>
        <w:spacing w:before="0" w:after="0" w:line="240" w:lineRule="auto"/>
        <w:ind w:left="2340" w:right="0" w:firstLine="0"/>
        <w:jc w:val="left"/>
      </w:pPr>
      <w:r>
        <w:rPr>
          <w:color w:val="000000"/>
          <w:spacing w:val="0"/>
          <w:w w:val="100"/>
          <w:position w:val="0"/>
          <w:shd w:val="clear" w:color="auto" w:fill="auto"/>
          <w:lang w:val="cs-CZ" w:eastAsia="cs-CZ" w:bidi="cs-CZ"/>
        </w:rPr>
        <w:t>25408321</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cs-CZ" w:eastAsia="cs-CZ" w:bidi="cs-CZ"/>
        </w:rPr>
        <w:t>CZ 25408321</w:t>
      </w:r>
    </w:p>
    <w:p>
      <w:pPr>
        <w:pStyle w:val="Style2"/>
        <w:keepNext w:val="0"/>
        <w:keepLines w:val="0"/>
        <w:widowControl w:val="0"/>
        <w:shd w:val="clear" w:color="auto" w:fill="auto"/>
        <w:bidi w:val="0"/>
        <w:spacing w:before="0" w:after="554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after="320" w:line="240" w:lineRule="auto"/>
        <w:ind w:right="0" w:hanging="360"/>
        <w:jc w:val="both"/>
      </w:pPr>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Ploučnice v České Lípě - sečení travních porostů 2025</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4"/>
      <w:bookmarkEnd w:id="5"/>
      <w:bookmarkEnd w:id="7"/>
    </w:p>
    <w:p>
      <w:pPr>
        <w:pStyle w:val="Style12"/>
        <w:keepNext/>
        <w:keepLines/>
        <w:widowControl w:val="0"/>
        <w:numPr>
          <w:ilvl w:val="0"/>
          <w:numId w:val="1"/>
        </w:numPr>
        <w:shd w:val="clear" w:color="auto" w:fill="auto"/>
        <w:tabs>
          <w:tab w:pos="382" w:val="left"/>
        </w:tabs>
        <w:bidi w:val="0"/>
        <w:spacing w:before="0" w:after="60" w:line="240" w:lineRule="auto"/>
        <w:ind w:right="0" w:hanging="36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veřejné zakázky je sekání travních porostů v průtočném profilu vodního toku (VT) Ploučnice v České Lípě (ř. km 34,500-37,107).</w:t>
      </w:r>
      <w:bookmarkEnd w:id="11"/>
      <w:bookmarkEnd w:id="8"/>
      <w:bookmarkEnd w:id="9"/>
    </w:p>
    <w:p>
      <w:pPr>
        <w:pStyle w:val="Style2"/>
        <w:keepNext w:val="0"/>
        <w:keepLines w:val="0"/>
        <w:widowControl w:val="0"/>
        <w:shd w:val="clear" w:color="auto" w:fill="auto"/>
        <w:bidi w:val="0"/>
        <w:spacing w:before="0" w:after="6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0" w:line="230" w:lineRule="auto"/>
        <w:ind w:left="88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travních porostů na březích VT Ploučnice na ploše 26700 m2 vždy v rámci jedné seče.</w:t>
      </w:r>
    </w:p>
    <w:p>
      <w:pPr>
        <w:pStyle w:val="Style2"/>
        <w:keepNext w:val="0"/>
        <w:keepLines w:val="0"/>
        <w:widowControl w:val="0"/>
        <w:shd w:val="clear" w:color="auto" w:fill="auto"/>
        <w:bidi w:val="0"/>
        <w:spacing w:before="0" w:after="60" w:line="230" w:lineRule="auto"/>
        <w:ind w:left="88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Odstranění a likvidace komunálního odpadu, který se bude nacházet na sekaných pozemcích vždy v rámci každé seče.</w:t>
      </w:r>
    </w:p>
    <w:p>
      <w:pPr>
        <w:pStyle w:val="Style12"/>
        <w:keepNext/>
        <w:keepLines/>
        <w:widowControl w:val="0"/>
        <w:shd w:val="clear" w:color="auto" w:fill="auto"/>
        <w:bidi w:val="0"/>
        <w:spacing w:before="0" w:after="0" w:line="240" w:lineRule="auto"/>
        <w:ind w:right="0" w:firstLine="20"/>
        <w:jc w:val="both"/>
      </w:pPr>
      <w:bookmarkStart w:id="12" w:name="bookmark12"/>
      <w:bookmarkStart w:id="13" w:name="bookmark13"/>
      <w:bookmarkStart w:id="14" w:name="bookmark14"/>
      <w:r>
        <w:rPr>
          <w:b/>
          <w:bCs/>
          <w:color w:val="000000"/>
          <w:spacing w:val="0"/>
          <w:w w:val="100"/>
          <w:position w:val="0"/>
          <w:shd w:val="clear" w:color="auto" w:fill="auto"/>
          <w:lang w:val="cs-CZ" w:eastAsia="cs-CZ" w:bidi="cs-CZ"/>
        </w:rPr>
        <w:t xml:space="preserve">Požadujeme provést dvě seče v kalendářním roce 2025 </w:t>
      </w:r>
      <w:r>
        <w:rPr>
          <w:color w:val="000000"/>
          <w:spacing w:val="0"/>
          <w:w w:val="100"/>
          <w:position w:val="0"/>
          <w:shd w:val="clear" w:color="auto" w:fill="auto"/>
          <w:lang w:val="cs-CZ" w:eastAsia="cs-CZ" w:bidi="cs-CZ"/>
        </w:rPr>
        <w:t>(1. seč květen-červen a 2. seč srpen-září). Termín započetí jednotlivých sečí bude upřesněn technickým dozorem investora (TDI).</w:t>
      </w:r>
      <w:bookmarkEnd w:id="12"/>
      <w:bookmarkEnd w:id="13"/>
      <w:bookmarkEnd w:id="14"/>
    </w:p>
    <w:p>
      <w:pPr>
        <w:pStyle w:val="Style12"/>
        <w:keepNext/>
        <w:keepLines/>
        <w:widowControl w:val="0"/>
        <w:shd w:val="clear" w:color="auto" w:fill="auto"/>
        <w:bidi w:val="0"/>
        <w:spacing w:before="0" w:after="0" w:line="240" w:lineRule="auto"/>
        <w:ind w:right="0" w:firstLine="20"/>
        <w:jc w:val="both"/>
      </w:pPr>
      <w:bookmarkStart w:id="15" w:name="bookmark15"/>
      <w:bookmarkStart w:id="16" w:name="bookmark16"/>
      <w:bookmarkStart w:id="17" w:name="bookmark17"/>
      <w:r>
        <w:rPr>
          <w:color w:val="000000"/>
          <w:spacing w:val="0"/>
          <w:w w:val="100"/>
          <w:position w:val="0"/>
          <w:shd w:val="clear" w:color="auto" w:fill="auto"/>
          <w:lang w:val="cs-CZ" w:eastAsia="cs-CZ" w:bidi="cs-CZ"/>
        </w:rPr>
        <w:t>Posekané travní porosty budou průběžně vyhrabávány z průtočného profilu, odvezeny a zlikvidovány v souladu s příslušnými právními předpisy</w:t>
      </w:r>
      <w:bookmarkEnd w:id="15"/>
      <w:bookmarkEnd w:id="16"/>
      <w:bookmarkEnd w:id="17"/>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Odstraněný odpad bude odvezen a zlikvidován v souladu s příslušnými právními předpisy.</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Místo provádění díla:</w:t>
      </w:r>
    </w:p>
    <w:p>
      <w:pPr>
        <w:pStyle w:val="Style2"/>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Koryto vodního toku Ploučnice v úseku od povodňového dvora Povodí Ohře, státní podnik v k. ú Dubice u České Lípy (N 50°40.64017', E 14°30.72437'), po sil. most v České Lípě v ulici Pivovarská (N 50°40.99967', E 14°32.76302') – viz příloha č . 2 – Situace. Jedná se o tyto pozemky ve správě Povodí Ohře, státní podnik:</w:t>
      </w:r>
    </w:p>
    <w:p>
      <w:pPr>
        <w:pStyle w:val="Style2"/>
        <w:keepNext w:val="0"/>
        <w:keepLines w:val="0"/>
        <w:widowControl w:val="0"/>
        <w:shd w:val="clear" w:color="auto" w:fill="auto"/>
        <w:bidi w:val="0"/>
        <w:spacing w:before="0" w:after="0" w:line="230" w:lineRule="auto"/>
        <w:ind w:left="72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Česká Lípa - p. p. č. 2815, 3351, 786, 975, 980, 2816, 981, 5487, 5479, 5478/1 a 5584/2</w:t>
      </w:r>
    </w:p>
    <w:p>
      <w:pPr>
        <w:pStyle w:val="Style2"/>
        <w:keepNext w:val="0"/>
        <w:keepLines w:val="0"/>
        <w:widowControl w:val="0"/>
        <w:shd w:val="clear" w:color="auto" w:fill="auto"/>
        <w:bidi w:val="0"/>
        <w:spacing w:before="0" w:line="221" w:lineRule="auto"/>
        <w:ind w:left="0" w:right="0" w:firstLine="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Dubice u České Lípy - p. p. č. 275/15 a 275/17</w:t>
      </w:r>
    </w:p>
    <w:p>
      <w:pPr>
        <w:pStyle w:val="Style12"/>
        <w:keepNext/>
        <w:keepLines/>
        <w:widowControl w:val="0"/>
        <w:numPr>
          <w:ilvl w:val="0"/>
          <w:numId w:val="1"/>
        </w:numPr>
        <w:shd w:val="clear" w:color="auto" w:fill="auto"/>
        <w:tabs>
          <w:tab w:pos="382" w:val="left"/>
        </w:tabs>
        <w:bidi w:val="0"/>
        <w:spacing w:before="0" w:after="180" w:line="240" w:lineRule="auto"/>
        <w:ind w:right="0" w:hanging="360"/>
        <w:jc w:val="both"/>
      </w:pPr>
      <w:bookmarkStart w:id="18" w:name="bookmark18"/>
      <w:bookmarkStart w:id="19" w:name="bookmark19"/>
      <w:bookmarkStart w:id="20" w:name="bookmark20"/>
      <w:bookmarkStart w:id="21" w:name="bookmark21"/>
      <w:bookmarkEnd w:id="20"/>
      <w:r>
        <w:rPr>
          <w:color w:val="000000"/>
          <w:spacing w:val="0"/>
          <w:w w:val="100"/>
          <w:position w:val="0"/>
          <w:shd w:val="clear" w:color="auto" w:fill="auto"/>
          <w:lang w:val="cs-CZ" w:eastAsia="cs-CZ" w:bidi="cs-CZ"/>
        </w:rPr>
        <w:t xml:space="preserve">Zhotovitel se zavazuje provést výše uvedené dílo v rozsahu oceněného soupisu prací, který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18"/>
      <w:bookmarkEnd w:id="19"/>
      <w:bookmarkEnd w:id="21"/>
    </w:p>
    <w:p>
      <w:pPr>
        <w:pStyle w:val="Style1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Za předmět díla se dále považuje:</w:t>
      </w:r>
      <w:bookmarkEnd w:id="22"/>
      <w:bookmarkEnd w:id="23"/>
      <w:bookmarkEnd w:id="25"/>
    </w:p>
    <w:p>
      <w:pPr>
        <w:pStyle w:val="Style12"/>
        <w:keepNext/>
        <w:keepLines/>
        <w:widowControl w:val="0"/>
        <w:numPr>
          <w:ilvl w:val="0"/>
          <w:numId w:val="3"/>
        </w:numPr>
        <w:shd w:val="clear" w:color="auto" w:fill="auto"/>
        <w:tabs>
          <w:tab w:pos="777" w:val="left"/>
        </w:tabs>
        <w:bidi w:val="0"/>
        <w:spacing w:before="0" w:after="0" w:line="240" w:lineRule="auto"/>
        <w:ind w:left="720" w:right="0"/>
        <w:jc w:val="both"/>
      </w:pPr>
      <w:bookmarkStart w:id="26" w:name="bookmark26"/>
      <w:bookmarkStart w:id="27" w:name="bookmark27"/>
      <w:bookmarkStart w:id="28" w:name="bookmark28"/>
      <w:bookmarkStart w:id="29" w:name="bookmark29"/>
      <w:bookmarkEnd w:id="28"/>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26"/>
      <w:bookmarkEnd w:id="27"/>
      <w:bookmarkEnd w:id="29"/>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30" w:name="bookmark30"/>
      <w:bookmarkStart w:id="31" w:name="bookmark31"/>
      <w:bookmarkStart w:id="32" w:name="bookmark32"/>
      <w:bookmarkStart w:id="33" w:name="bookmark33"/>
      <w:bookmarkEnd w:id="32"/>
      <w:r>
        <w:rPr>
          <w:color w:val="000000"/>
          <w:spacing w:val="0"/>
          <w:w w:val="100"/>
          <w:position w:val="0"/>
          <w:shd w:val="clear" w:color="auto" w:fill="auto"/>
          <w:lang w:val="cs-CZ" w:eastAsia="cs-CZ" w:bidi="cs-CZ"/>
        </w:rPr>
        <w:t>zajištění povolení ke vstupu a vjezdu na pozemky (mimo pozemků ve vlastnictví objednatele),</w:t>
      </w:r>
      <w:bookmarkEnd w:id="30"/>
      <w:bookmarkEnd w:id="31"/>
      <w:bookmarkEnd w:id="33"/>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34" w:name="bookmark34"/>
      <w:bookmarkStart w:id="35" w:name="bookmark35"/>
      <w:bookmarkStart w:id="36" w:name="bookmark36"/>
      <w:bookmarkStart w:id="37" w:name="bookmark37"/>
      <w:bookmarkEnd w:id="36"/>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34"/>
      <w:bookmarkEnd w:id="35"/>
      <w:bookmarkEnd w:id="37"/>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38" w:name="bookmark38"/>
      <w:bookmarkStart w:id="39" w:name="bookmark39"/>
      <w:bookmarkStart w:id="40" w:name="bookmark40"/>
      <w:bookmarkStart w:id="41" w:name="bookmark41"/>
      <w:bookmarkEnd w:id="40"/>
      <w:r>
        <w:rPr>
          <w:color w:val="000000"/>
          <w:spacing w:val="0"/>
          <w:w w:val="100"/>
          <w:position w:val="0"/>
          <w:shd w:val="clear" w:color="auto" w:fill="auto"/>
          <w:lang w:val="cs-CZ" w:eastAsia="cs-CZ" w:bidi="cs-CZ"/>
        </w:rPr>
        <w:t>zajištění povolení zvláštního užívání pozemní komunikace, bude-li potřeba,</w:t>
      </w:r>
      <w:bookmarkEnd w:id="38"/>
      <w:bookmarkEnd w:id="39"/>
      <w:bookmarkEnd w:id="41"/>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42" w:name="bookmark42"/>
      <w:bookmarkStart w:id="43" w:name="bookmark43"/>
      <w:bookmarkStart w:id="44" w:name="bookmark44"/>
      <w:bookmarkStart w:id="45" w:name="bookmark45"/>
      <w:bookmarkEnd w:id="44"/>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42"/>
      <w:bookmarkEnd w:id="43"/>
      <w:bookmarkEnd w:id="45"/>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zhotovitel zodpovídá za místo realizace díla i v době přerušení prací,</w:t>
      </w:r>
      <w:bookmarkEnd w:id="46"/>
      <w:bookmarkEnd w:id="47"/>
      <w:bookmarkEnd w:id="49"/>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50"/>
      <w:bookmarkEnd w:id="51"/>
      <w:bookmarkEnd w:id="53"/>
    </w:p>
    <w:p>
      <w:pPr>
        <w:pStyle w:val="Style2"/>
        <w:keepNext w:val="0"/>
        <w:keepLines w:val="0"/>
        <w:widowControl w:val="0"/>
        <w:numPr>
          <w:ilvl w:val="0"/>
          <w:numId w:val="3"/>
        </w:numPr>
        <w:shd w:val="clear" w:color="auto" w:fill="auto"/>
        <w:tabs>
          <w:tab w:pos="786" w:val="left"/>
        </w:tabs>
        <w:bidi w:val="0"/>
        <w:spacing w:before="0" w:after="0" w:line="240" w:lineRule="auto"/>
        <w:ind w:left="720" w:right="0" w:hanging="340"/>
        <w:jc w:val="both"/>
      </w:pPr>
      <w:bookmarkStart w:id="54" w:name="bookmark54"/>
      <w:bookmarkStart w:id="55" w:name="bookmark55"/>
      <w:bookmarkEnd w:id="54"/>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w:t>
      </w:r>
      <w:bookmarkEnd w:id="55"/>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bližších minimálních požadavcích na bezpečnost a ochranu zdraví při práci na pracovištích, ve znění pozdějších předpisů),</w:t>
      </w:r>
    </w:p>
    <w:p>
      <w:pPr>
        <w:pStyle w:val="Style12"/>
        <w:keepNext/>
        <w:keepLines/>
        <w:widowControl w:val="0"/>
        <w:numPr>
          <w:ilvl w:val="0"/>
          <w:numId w:val="3"/>
        </w:numPr>
        <w:shd w:val="clear" w:color="auto" w:fill="auto"/>
        <w:tabs>
          <w:tab w:pos="734" w:val="left"/>
        </w:tabs>
        <w:bidi w:val="0"/>
        <w:spacing w:before="0" w:after="200" w:line="240" w:lineRule="auto"/>
        <w:ind w:left="720" w:right="0" w:hanging="32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6"/>
      <w:bookmarkEnd w:id="57"/>
      <w:bookmarkEnd w:id="59"/>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60"/>
      <w:bookmarkEnd w:id="61"/>
      <w:bookmarkEnd w:id="63"/>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4"/>
      <w:bookmarkEnd w:id="65"/>
      <w:bookmarkEnd w:id="67"/>
    </w:p>
    <w:p>
      <w:pPr>
        <w:pStyle w:val="Style12"/>
        <w:keepNext/>
        <w:keepLines/>
        <w:widowControl w:val="0"/>
        <w:numPr>
          <w:ilvl w:val="0"/>
          <w:numId w:val="1"/>
        </w:numPr>
        <w:shd w:val="clear" w:color="auto" w:fill="auto"/>
        <w:tabs>
          <w:tab w:pos="382" w:val="left"/>
        </w:tabs>
        <w:bidi w:val="0"/>
        <w:spacing w:before="0" w:after="0" w:line="240" w:lineRule="auto"/>
        <w:ind w:right="0" w:hanging="360"/>
        <w:jc w:val="both"/>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Objednatel předá zhotoviteli pracoviště (nebo jeho ucelenou část) prosté práv třetích osob.</w:t>
      </w:r>
      <w:bookmarkEnd w:id="68"/>
      <w:bookmarkEnd w:id="69"/>
      <w:bookmarkEnd w:id="71"/>
    </w:p>
    <w:p>
      <w:pPr>
        <w:pStyle w:val="Style12"/>
        <w:keepNext/>
        <w:keepLines/>
        <w:widowControl w:val="0"/>
        <w:shd w:val="clear" w:color="auto" w:fill="auto"/>
        <w:bidi w:val="0"/>
        <w:spacing w:before="0" w:after="200" w:line="240" w:lineRule="auto"/>
        <w:ind w:right="0" w:firstLine="40"/>
        <w:jc w:val="both"/>
      </w:pPr>
      <w:bookmarkStart w:id="72" w:name="bookmark72"/>
      <w:bookmarkStart w:id="73" w:name="bookmark73"/>
      <w:bookmarkStart w:id="74" w:name="bookmark74"/>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72"/>
      <w:bookmarkEnd w:id="73"/>
      <w:bookmarkEnd w:id="74"/>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after="200" w:line="293" w:lineRule="auto"/>
        <w:ind w:left="360" w:right="0" w:hanging="360"/>
        <w:jc w:val="both"/>
      </w:pPr>
      <w:bookmarkStart w:id="75" w:name="bookmark75"/>
      <w:bookmarkEnd w:id="75"/>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2"/>
        <w:keepNext w:val="0"/>
        <w:keepLines w:val="0"/>
        <w:widowControl w:val="0"/>
        <w:numPr>
          <w:ilvl w:val="0"/>
          <w:numId w:val="7"/>
        </w:numPr>
        <w:shd w:val="clear" w:color="auto" w:fill="auto"/>
        <w:tabs>
          <w:tab w:pos="752" w:val="left"/>
        </w:tabs>
        <w:bidi w:val="0"/>
        <w:spacing w:before="0" w:after="0" w:line="240" w:lineRule="auto"/>
        <w:ind w:left="0" w:right="0" w:firstLine="360"/>
        <w:jc w:val="both"/>
      </w:pPr>
      <w:bookmarkStart w:id="76" w:name="bookmark76"/>
      <w:bookmarkEnd w:id="76"/>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after="200" w:line="240" w:lineRule="auto"/>
        <w:ind w:left="720" w:right="0" w:firstLine="0"/>
        <w:jc w:val="both"/>
      </w:pPr>
      <w:r>
        <w:rPr>
          <w:color w:val="000000"/>
          <w:spacing w:val="0"/>
          <w:w w:val="100"/>
          <w:position w:val="0"/>
          <w:shd w:val="clear" w:color="auto" w:fill="auto"/>
          <w:lang w:val="cs-CZ" w:eastAsia="cs-CZ" w:bidi="cs-CZ"/>
        </w:rPr>
        <w:t>Zhotovitel je povinen si převzít pracoviště nejpozději do 14 dnů od písemné výzvy TDI Výzva bude odeslána na e-mail zhotovitele: …………..</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77" w:name="bookmark77"/>
      <w:bookmarkEnd w:id="77"/>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300" w:line="240" w:lineRule="auto"/>
        <w:ind w:left="0" w:right="0" w:firstLine="720"/>
        <w:jc w:val="both"/>
      </w:pPr>
      <w:r>
        <w:rPr>
          <w:b/>
          <w:bCs/>
          <w:color w:val="000000"/>
          <w:spacing w:val="0"/>
          <w:w w:val="100"/>
          <w:position w:val="0"/>
          <w:shd w:val="clear" w:color="auto" w:fill="auto"/>
          <w:lang w:val="cs-CZ" w:eastAsia="cs-CZ" w:bidi="cs-CZ"/>
        </w:rPr>
        <w:t>Bez zbytečného odkladu po převzetí pracoviště</w:t>
      </w:r>
    </w:p>
    <w:p>
      <w:pPr>
        <w:pStyle w:val="Style2"/>
        <w:keepNext w:val="0"/>
        <w:keepLines w:val="0"/>
        <w:widowControl w:val="0"/>
        <w:numPr>
          <w:ilvl w:val="0"/>
          <w:numId w:val="7"/>
        </w:numPr>
        <w:shd w:val="clear" w:color="auto" w:fill="auto"/>
        <w:tabs>
          <w:tab w:pos="697" w:val="left"/>
        </w:tabs>
        <w:bidi w:val="0"/>
        <w:spacing w:before="0" w:after="60" w:line="240" w:lineRule="auto"/>
        <w:ind w:left="580" w:right="0" w:hanging="280"/>
        <w:jc w:val="both"/>
      </w:pPr>
      <w:bookmarkStart w:id="78" w:name="bookmark78"/>
      <w:bookmarkEnd w:id="78"/>
      <w:r>
        <w:rPr>
          <w:b/>
          <w:bCs/>
          <w:color w:val="000000"/>
          <w:spacing w:val="0"/>
          <w:w w:val="100"/>
          <w:position w:val="0"/>
          <w:shd w:val="clear" w:color="auto" w:fill="auto"/>
          <w:lang w:val="cs-CZ" w:eastAsia="cs-CZ" w:bidi="cs-CZ"/>
        </w:rPr>
        <w:t>Dílčí termín pro dokončení části 1. seče v úseku kulturní akce ,,Neckyáda Česká Lípa“</w:t>
      </w:r>
      <w:r>
        <w:rPr>
          <w:b/>
          <w:bCs/>
          <w:color w:val="80808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580"/>
        <w:jc w:val="both"/>
      </w:pPr>
      <w:r>
        <w:rPr>
          <w:b/>
          <w:bCs/>
          <w:color w:val="000000"/>
          <w:spacing w:val="0"/>
          <w:w w:val="100"/>
          <w:position w:val="0"/>
          <w:shd w:val="clear" w:color="auto" w:fill="auto"/>
          <w:lang w:val="cs-CZ" w:eastAsia="cs-CZ" w:bidi="cs-CZ"/>
        </w:rPr>
        <w:t>Nejpozději do 18.6.2025</w:t>
      </w:r>
    </w:p>
    <w:p>
      <w:pPr>
        <w:pStyle w:val="Style2"/>
        <w:keepNext w:val="0"/>
        <w:keepLines w:val="0"/>
        <w:widowControl w:val="0"/>
        <w:shd w:val="clear" w:color="auto" w:fill="auto"/>
        <w:bidi w:val="0"/>
        <w:spacing w:before="0" w:after="60" w:line="240" w:lineRule="auto"/>
        <w:ind w:left="0" w:right="0" w:firstLine="580"/>
        <w:jc w:val="both"/>
      </w:pPr>
      <w:r>
        <w:rPr>
          <w:color w:val="000000"/>
          <w:spacing w:val="0"/>
          <w:w w:val="100"/>
          <w:position w:val="0"/>
          <w:shd w:val="clear" w:color="auto" w:fill="auto"/>
          <w:lang w:val="cs-CZ" w:eastAsia="cs-CZ" w:bidi="cs-CZ"/>
        </w:rPr>
        <w:t>Lokalizace úseku:</w:t>
      </w:r>
    </w:p>
    <w:p>
      <w:pPr>
        <w:pStyle w:val="Style2"/>
        <w:keepNext w:val="0"/>
        <w:keepLines w:val="0"/>
        <w:widowControl w:val="0"/>
        <w:shd w:val="clear" w:color="auto" w:fill="auto"/>
        <w:bidi w:val="0"/>
        <w:spacing w:before="0" w:after="0" w:line="240" w:lineRule="auto"/>
        <w:ind w:left="580" w:right="0" w:firstLine="0"/>
        <w:jc w:val="both"/>
      </w:pPr>
      <w:r>
        <w:rPr>
          <w:color w:val="000000"/>
          <w:spacing w:val="0"/>
          <w:w w:val="100"/>
          <w:position w:val="0"/>
          <w:shd w:val="clear" w:color="auto" w:fill="auto"/>
          <w:lang w:val="cs-CZ" w:eastAsia="cs-CZ" w:bidi="cs-CZ"/>
        </w:rPr>
        <w:t>Začátek úseku (Lávka pro pěší pod jezem) – souřadnice WGS84 (stupně):</w:t>
      </w:r>
    </w:p>
    <w:p>
      <w:pPr>
        <w:pStyle w:val="Style2"/>
        <w:keepNext w:val="0"/>
        <w:keepLines w:val="0"/>
        <w:widowControl w:val="0"/>
        <w:shd w:val="clear" w:color="auto" w:fill="auto"/>
        <w:bidi w:val="0"/>
        <w:spacing w:before="0" w:after="60" w:line="240" w:lineRule="auto"/>
        <w:ind w:left="580" w:right="0" w:firstLine="0"/>
        <w:jc w:val="both"/>
      </w:pPr>
      <w:r>
        <w:rPr>
          <w:color w:val="000000"/>
          <w:spacing w:val="0"/>
          <w:w w:val="100"/>
          <w:position w:val="0"/>
          <w:shd w:val="clear" w:color="auto" w:fill="auto"/>
          <w:lang w:val="cs-CZ" w:eastAsia="cs-CZ" w:bidi="cs-CZ"/>
        </w:rPr>
        <w:t>50.6799286N, 14.5272331E</w:t>
      </w:r>
    </w:p>
    <w:p>
      <w:pPr>
        <w:pStyle w:val="Style2"/>
        <w:keepNext w:val="0"/>
        <w:keepLines w:val="0"/>
        <w:widowControl w:val="0"/>
        <w:shd w:val="clear" w:color="auto" w:fill="auto"/>
        <w:bidi w:val="0"/>
        <w:spacing w:before="0" w:after="300" w:line="240" w:lineRule="auto"/>
        <w:ind w:left="580" w:right="0" w:firstLine="0"/>
        <w:jc w:val="both"/>
      </w:pPr>
      <w:r>
        <w:rPr>
          <w:color w:val="000000"/>
          <w:spacing w:val="0"/>
          <w:w w:val="100"/>
          <w:position w:val="0"/>
          <w:shd w:val="clear" w:color="auto" w:fill="auto"/>
          <w:lang w:val="cs-CZ" w:eastAsia="cs-CZ" w:bidi="cs-CZ"/>
        </w:rPr>
        <w:t>Konec úseku (Silniční most u ulici Pivovarská)– souřadnice WGS84 (stupně): 50.6833142N, 14.5460083E</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79" w:name="bookmark79"/>
      <w:bookmarkEnd w:id="79"/>
      <w:r>
        <w:rPr>
          <w:b/>
          <w:bCs/>
          <w:color w:val="000000"/>
          <w:spacing w:val="0"/>
          <w:w w:val="100"/>
          <w:position w:val="0"/>
          <w:shd w:val="clear" w:color="auto" w:fill="auto"/>
          <w:lang w:val="cs-CZ" w:eastAsia="cs-CZ" w:bidi="cs-CZ"/>
        </w:rPr>
        <w:t>Dílčí termín pro dokončení 1. seče:</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30.6.2025</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80" w:name="bookmark80"/>
      <w:bookmarkEnd w:id="80"/>
      <w:r>
        <w:rPr>
          <w:b/>
          <w:bCs/>
          <w:color w:val="000000"/>
          <w:spacing w:val="0"/>
          <w:w w:val="100"/>
          <w:position w:val="0"/>
          <w:shd w:val="clear" w:color="auto" w:fill="auto"/>
          <w:lang w:val="cs-CZ" w:eastAsia="cs-CZ" w:bidi="cs-CZ"/>
        </w:rPr>
        <w:t>předání a převzetí dokončeného díla včetně 2. seče:</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30.09.2025</w:t>
      </w:r>
    </w:p>
    <w:p>
      <w:pPr>
        <w:pStyle w:val="Style2"/>
        <w:keepNext w:val="0"/>
        <w:keepLines w:val="0"/>
        <w:widowControl w:val="0"/>
        <w:numPr>
          <w:ilvl w:val="0"/>
          <w:numId w:val="7"/>
        </w:numPr>
        <w:shd w:val="clear" w:color="auto" w:fill="auto"/>
        <w:tabs>
          <w:tab w:pos="806" w:val="left"/>
        </w:tabs>
        <w:bidi w:val="0"/>
        <w:spacing w:before="0" w:after="200" w:line="240" w:lineRule="auto"/>
        <w:ind w:left="720" w:right="0" w:hanging="320"/>
        <w:jc w:val="both"/>
      </w:pPr>
      <w:bookmarkStart w:id="81" w:name="bookmark81"/>
      <w:bookmarkEnd w:id="81"/>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2"/>
        <w:keepNext w:val="0"/>
        <w:keepLines w:val="0"/>
        <w:widowControl w:val="0"/>
        <w:numPr>
          <w:ilvl w:val="0"/>
          <w:numId w:val="5"/>
        </w:numPr>
        <w:shd w:val="clear" w:color="auto" w:fill="auto"/>
        <w:tabs>
          <w:tab w:pos="382" w:val="left"/>
        </w:tabs>
        <w:bidi w:val="0"/>
        <w:spacing w:before="0" w:after="200" w:line="288" w:lineRule="auto"/>
        <w:ind w:left="360" w:right="0" w:hanging="360"/>
        <w:jc w:val="both"/>
      </w:pPr>
      <w:bookmarkStart w:id="82" w:name="bookmark82"/>
      <w:bookmarkEnd w:id="82"/>
      <w:r>
        <w:rPr>
          <w:color w:val="000000"/>
          <w:spacing w:val="0"/>
          <w:w w:val="100"/>
          <w:position w:val="0"/>
          <w:shd w:val="clear" w:color="auto" w:fill="auto"/>
          <w:lang w:val="cs-CZ" w:eastAsia="cs-CZ" w:bidi="cs-CZ"/>
        </w:rPr>
        <w:t xml:space="preserve">Lhůty a termíny ujednané podle tohoto článku mohou být přiměřeně prodlouženy v případě, že dojde ke změně sjednaného rozsahu díla postupem v souladu s touto </w:t>
      </w:r>
      <w:r>
        <w:rPr>
          <w:color w:val="000000"/>
          <w:spacing w:val="0"/>
          <w:w w:val="100"/>
          <w:position w:val="0"/>
          <w:shd w:val="clear" w:color="auto" w:fill="auto"/>
          <w:lang w:val="cs-CZ" w:eastAsia="cs-CZ" w:bidi="cs-CZ"/>
        </w:rPr>
        <w:t>smlouvou, a to o dobu nezbytně nutnou k provedení takové změny. Takovým prodloužením nesmí dojít ke změně celkové povahy závazku z této smlouvy.</w:t>
      </w:r>
    </w:p>
    <w:p>
      <w:pPr>
        <w:pStyle w:val="Style2"/>
        <w:keepNext w:val="0"/>
        <w:keepLines w:val="0"/>
        <w:widowControl w:val="0"/>
        <w:numPr>
          <w:ilvl w:val="0"/>
          <w:numId w:val="5"/>
        </w:numPr>
        <w:shd w:val="clear" w:color="auto" w:fill="auto"/>
        <w:tabs>
          <w:tab w:pos="382" w:val="left"/>
        </w:tabs>
        <w:bidi w:val="0"/>
        <w:spacing w:before="0" w:after="200" w:line="288" w:lineRule="auto"/>
        <w:ind w:left="380" w:right="0" w:hanging="380"/>
        <w:jc w:val="both"/>
      </w:pPr>
      <w:bookmarkStart w:id="83" w:name="bookmark83"/>
      <w:bookmarkEnd w:id="83"/>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382" w:val="left"/>
        </w:tabs>
        <w:bidi w:val="0"/>
        <w:spacing w:before="0" w:after="0" w:line="288" w:lineRule="auto"/>
        <w:ind w:left="380" w:right="0" w:hanging="380"/>
        <w:jc w:val="both"/>
      </w:pPr>
      <w:bookmarkStart w:id="84" w:name="bookmark84"/>
      <w:bookmarkEnd w:id="84"/>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2"/>
        <w:keepNext w:val="0"/>
        <w:keepLines w:val="0"/>
        <w:widowControl w:val="0"/>
        <w:shd w:val="clear" w:color="auto" w:fill="auto"/>
        <w:bidi w:val="0"/>
        <w:spacing w:before="0" w:after="200" w:line="288"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after="32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4345" w:val="left"/>
        </w:tabs>
        <w:bidi w:val="0"/>
        <w:spacing w:before="0" w:after="60" w:line="240" w:lineRule="auto"/>
        <w:ind w:left="0" w:right="0" w:firstLine="380"/>
        <w:jc w:val="both"/>
      </w:pPr>
      <w:r>
        <w:rPr>
          <w:color w:val="000000"/>
          <w:spacing w:val="0"/>
          <w:w w:val="100"/>
          <w:position w:val="0"/>
          <w:shd w:val="clear" w:color="auto" w:fill="auto"/>
          <w:lang w:val="cs-CZ" w:eastAsia="cs-CZ" w:bidi="cs-CZ"/>
        </w:rPr>
        <w:t>Dílčí cena za 1. seč:</w:t>
        <w:tab/>
        <w:t>115.440,00 Kč bez DPH</w:t>
      </w:r>
    </w:p>
    <w:p>
      <w:pPr>
        <w:pStyle w:val="Style2"/>
        <w:keepNext w:val="0"/>
        <w:keepLines w:val="0"/>
        <w:widowControl w:val="0"/>
        <w:shd w:val="clear" w:color="auto" w:fill="auto"/>
        <w:tabs>
          <w:tab w:pos="4345" w:val="left"/>
        </w:tabs>
        <w:bidi w:val="0"/>
        <w:spacing w:before="0" w:after="60" w:line="240" w:lineRule="auto"/>
        <w:ind w:left="0" w:right="0" w:firstLine="380"/>
        <w:jc w:val="both"/>
      </w:pPr>
      <w:r>
        <w:rPr>
          <w:color w:val="000000"/>
          <w:spacing w:val="0"/>
          <w:w w:val="100"/>
          <w:position w:val="0"/>
          <w:shd w:val="clear" w:color="auto" w:fill="auto"/>
          <w:lang w:val="cs-CZ" w:eastAsia="cs-CZ" w:bidi="cs-CZ"/>
        </w:rPr>
        <w:t>Dílčí cena za 2. seč:</w:t>
        <w:tab/>
        <w:t>115.440,00 Kč bez DPH</w:t>
      </w:r>
    </w:p>
    <w:p>
      <w:pPr>
        <w:pStyle w:val="Style2"/>
        <w:keepNext w:val="0"/>
        <w:keepLines w:val="0"/>
        <w:widowControl w:val="0"/>
        <w:shd w:val="clear" w:color="auto" w:fill="auto"/>
        <w:tabs>
          <w:tab w:pos="4345" w:val="left"/>
        </w:tabs>
        <w:bidi w:val="0"/>
        <w:spacing w:before="0" w:after="420" w:line="240" w:lineRule="auto"/>
        <w:ind w:left="0" w:right="0" w:firstLine="380"/>
        <w:jc w:val="both"/>
      </w:pPr>
      <w:r>
        <w:rPr>
          <w:b/>
          <w:bCs/>
          <w:color w:val="000000"/>
          <w:spacing w:val="0"/>
          <w:w w:val="100"/>
          <w:position w:val="0"/>
          <w:shd w:val="clear" w:color="auto" w:fill="auto"/>
          <w:lang w:val="cs-CZ" w:eastAsia="cs-CZ" w:bidi="cs-CZ"/>
        </w:rPr>
        <w:t>Cena díla celkem:</w:t>
        <w:tab/>
        <w:t>230.880,00 Kč bez DPH</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2" w:val="left"/>
        </w:tabs>
        <w:bidi w:val="0"/>
        <w:spacing w:before="0" w:after="200" w:line="240" w:lineRule="auto"/>
        <w:ind w:left="0" w:right="0" w:firstLine="0"/>
        <w:jc w:val="both"/>
      </w:pPr>
      <w:bookmarkStart w:id="89" w:name="bookmark89"/>
      <w:bookmarkEnd w:id="89"/>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2" w:val="left"/>
        </w:tabs>
        <w:bidi w:val="0"/>
        <w:spacing w:before="0" w:after="6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 xml:space="preserve">Cena za dílo bude hrazena průběžně po dokončení uceleně provedených a objednatelem odsouhlasených prací (jednotlivých sečí). </w:t>
      </w:r>
      <w:r>
        <w:rPr>
          <w:b/>
          <w:bCs/>
          <w:color w:val="000000"/>
          <w:spacing w:val="0"/>
          <w:w w:val="100"/>
          <w:position w:val="0"/>
          <w:shd w:val="clear" w:color="auto" w:fill="auto"/>
          <w:lang w:val="cs-CZ" w:eastAsia="cs-CZ" w:bidi="cs-CZ"/>
        </w:rPr>
        <w:t>Veškeré daňové doklady je zhotovitel povinen vystavovat nejpozději do 10 kalendářních dnů ode dne uskutečnění plnění.</w:t>
      </w:r>
    </w:p>
    <w:p>
      <w:pPr>
        <w:pStyle w:val="Style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 xml:space="preserve">Předat faktury lze i elektronicky ve formátu PDF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2" w:val="left"/>
        </w:tabs>
        <w:bidi w:val="0"/>
        <w:spacing w:before="0" w:after="60" w:line="240" w:lineRule="auto"/>
        <w:ind w:left="0" w:right="0" w:firstLine="0"/>
        <w:jc w:val="both"/>
      </w:pPr>
      <w:bookmarkStart w:id="91" w:name="bookmark91"/>
      <w:bookmarkEnd w:id="91"/>
      <w:r>
        <w:rPr>
          <w:color w:val="000000"/>
          <w:spacing w:val="0"/>
          <w:w w:val="100"/>
          <w:position w:val="0"/>
          <w:shd w:val="clear" w:color="auto" w:fill="auto"/>
          <w:lang w:val="cs-CZ" w:eastAsia="cs-CZ" w:bidi="cs-CZ"/>
        </w:rPr>
        <w:t>Zdanitelné plnění se považuje za uskutečněné:</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92" w:name="bookmark92"/>
      <w:bookmarkEnd w:id="92"/>
      <w:r>
        <w:rPr>
          <w:color w:val="000000"/>
          <w:spacing w:val="0"/>
          <w:w w:val="100"/>
          <w:position w:val="0"/>
          <w:shd w:val="clear" w:color="auto" w:fill="auto"/>
          <w:lang w:val="cs-CZ" w:eastAsia="cs-CZ" w:bidi="cs-CZ"/>
        </w:rPr>
        <w:t xml:space="preserve">u jednorázového samostatného dílčího plnění uceleně provedených a objednatelem odsouhlasených prací, které bude dokončeno </w:t>
      </w:r>
      <w:r>
        <w:rPr>
          <w:b/>
          <w:bCs/>
          <w:color w:val="000000"/>
          <w:spacing w:val="0"/>
          <w:w w:val="100"/>
          <w:position w:val="0"/>
          <w:shd w:val="clear" w:color="auto" w:fill="auto"/>
          <w:lang w:val="cs-CZ" w:eastAsia="cs-CZ" w:bidi="cs-CZ"/>
        </w:rPr>
        <w:t xml:space="preserve">do 30.6.2025 (1. seč). </w:t>
      </w:r>
      <w:r>
        <w:rPr>
          <w:color w:val="000000"/>
          <w:spacing w:val="0"/>
          <w:w w:val="100"/>
          <w:position w:val="0"/>
          <w:shd w:val="clear" w:color="auto" w:fill="auto"/>
          <w:lang w:val="cs-CZ" w:eastAsia="cs-CZ" w:bidi="cs-CZ"/>
        </w:rPr>
        <w:t>K datu předání a převzetí dílčího plnění uvedeného na dílčím předávacím a přejímacím protokolu.</w:t>
      </w:r>
    </w:p>
    <w:p>
      <w:pPr>
        <w:pStyle w:val="Style2"/>
        <w:keepNext w:val="0"/>
        <w:keepLines w:val="0"/>
        <w:widowControl w:val="0"/>
        <w:numPr>
          <w:ilvl w:val="0"/>
          <w:numId w:val="13"/>
        </w:numPr>
        <w:shd w:val="clear" w:color="auto" w:fill="auto"/>
        <w:tabs>
          <w:tab w:pos="740" w:val="left"/>
        </w:tabs>
        <w:bidi w:val="0"/>
        <w:spacing w:before="0" w:after="200" w:line="240" w:lineRule="auto"/>
        <w:ind w:left="740" w:right="0" w:hanging="360"/>
        <w:jc w:val="both"/>
      </w:pPr>
      <w:bookmarkStart w:id="93" w:name="bookmark93"/>
      <w:bookmarkEnd w:id="93"/>
      <w:r>
        <w:rPr>
          <w:color w:val="000000"/>
          <w:spacing w:val="0"/>
          <w:w w:val="100"/>
          <w:position w:val="0"/>
          <w:shd w:val="clear" w:color="auto" w:fill="auto"/>
          <w:lang w:val="cs-CZ" w:eastAsia="cs-CZ" w:bidi="cs-CZ"/>
        </w:rPr>
        <w:t>po dokončení díla dnem předání a převzetí díla uvedeného na předávacím a přejímacím protokolu.</w:t>
      </w:r>
    </w:p>
    <w:p>
      <w:pPr>
        <w:pStyle w:val="Style2"/>
        <w:keepNext w:val="0"/>
        <w:keepLines w:val="0"/>
        <w:widowControl w:val="0"/>
        <w:shd w:val="clear" w:color="auto" w:fill="auto"/>
        <w:bidi w:val="0"/>
        <w:spacing w:before="0" w:after="300" w:line="240" w:lineRule="auto"/>
        <w:ind w:left="380" w:right="0" w:firstLine="0"/>
        <w:jc w:val="both"/>
      </w:pPr>
      <w:r>
        <w:rPr>
          <w:color w:val="000000"/>
          <w:spacing w:val="0"/>
          <w:w w:val="100"/>
          <w:position w:val="0"/>
          <w:shd w:val="clear" w:color="auto" w:fill="auto"/>
          <w:lang w:val="cs-CZ" w:eastAsia="cs-CZ" w:bidi="cs-CZ"/>
        </w:rPr>
        <w:t>Konečný daňový doklad bude vystaven na celkovou hodnotu díla s rozpisem všech dílčích plateb a jeho nedílnou součástí bude předávací a přejímací protokol.</w:t>
      </w:r>
    </w:p>
    <w:p>
      <w:pPr>
        <w:pStyle w:val="Style2"/>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60" w:val="left"/>
        </w:tabs>
        <w:bidi w:val="0"/>
        <w:spacing w:before="0" w:line="240" w:lineRule="auto"/>
        <w:ind w:left="0" w:right="0" w:firstLine="0"/>
        <w:jc w:val="both"/>
      </w:pPr>
      <w:bookmarkStart w:id="96" w:name="bookmark96"/>
      <w:bookmarkEnd w:id="96"/>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5"/>
        </w:numPr>
        <w:shd w:val="clear" w:color="auto" w:fill="auto"/>
        <w:tabs>
          <w:tab w:pos="360" w:val="left"/>
        </w:tabs>
        <w:bidi w:val="0"/>
        <w:spacing w:before="0" w:after="6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Pokud bude zhotovitel v prodlení proti dílčímu termínu předání a převzetí dokončené části díla (Úsek ,,Neckyáda Česká Lípa“ v rámci 1. seče nebo 1. seče) sjednaného dle čl. II. odst. 1. písm. c) nebo d) této smlouvy, je povinen zaplatit objednateli smluvní pokutu ve výši 0,2 % z celkové ceny díla bez DPH dle čl. III. této smlouvy za každý i započatý kalendářní den prodlení, až do dne podpisu zápisu o předání a převzetí dokončené části díla (Úsek ,,Neckyáda Česká Lípa“ v rámci 1. seče nebo 1. seče).</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e) této smlouvy, je povinen zaplatit objednateli smluvní pokutu ve výši 0,2 % z celkové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Při nesplnění termínu vyklizení pracoviště, oproti dohodnutému termínu v čl. II. odst.1. písm. f)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5"/>
        </w:numPr>
        <w:shd w:val="clear" w:color="auto" w:fill="auto"/>
        <w:tabs>
          <w:tab w:pos="382"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5"/>
        </w:numPr>
        <w:shd w:val="clear" w:color="auto" w:fill="auto"/>
        <w:tabs>
          <w:tab w:pos="382"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5"/>
        </w:numPr>
        <w:shd w:val="clear" w:color="auto" w:fill="auto"/>
        <w:tabs>
          <w:tab w:pos="502"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5"/>
        </w:numPr>
        <w:shd w:val="clear" w:color="auto" w:fill="auto"/>
        <w:tabs>
          <w:tab w:pos="502"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5"/>
        </w:numPr>
        <w:shd w:val="clear" w:color="auto" w:fill="auto"/>
        <w:tabs>
          <w:tab w:pos="502" w:val="left"/>
        </w:tabs>
        <w:bidi w:val="0"/>
        <w:spacing w:before="0" w:after="44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110" w:name="bookmark110"/>
      <w:bookmarkEnd w:id="110"/>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3"/>
        </w:numPr>
        <w:shd w:val="clear" w:color="auto" w:fill="auto"/>
        <w:tabs>
          <w:tab w:pos="973" w:val="left"/>
        </w:tabs>
        <w:bidi w:val="0"/>
        <w:spacing w:before="0" w:after="0" w:line="240" w:lineRule="auto"/>
        <w:ind w:left="0" w:right="0" w:firstLine="380"/>
        <w:jc w:val="both"/>
      </w:pPr>
      <w:bookmarkStart w:id="111" w:name="bookmark111"/>
      <w:bookmarkEnd w:id="111"/>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3"/>
        </w:numPr>
        <w:shd w:val="clear" w:color="auto" w:fill="auto"/>
        <w:tabs>
          <w:tab w:pos="973" w:val="left"/>
        </w:tabs>
        <w:bidi w:val="0"/>
        <w:spacing w:before="0" w:after="0" w:line="240" w:lineRule="auto"/>
        <w:ind w:left="1020" w:right="0" w:hanging="600"/>
        <w:jc w:val="both"/>
      </w:pPr>
      <w:bookmarkStart w:id="112" w:name="bookmark112"/>
      <w:bookmarkEnd w:id="112"/>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3"/>
        </w:numPr>
        <w:shd w:val="clear" w:color="auto" w:fill="auto"/>
        <w:tabs>
          <w:tab w:pos="973" w:val="left"/>
        </w:tabs>
        <w:bidi w:val="0"/>
        <w:spacing w:before="0" w:after="0" w:line="240" w:lineRule="auto"/>
        <w:ind w:left="1020" w:right="0" w:hanging="600"/>
        <w:jc w:val="both"/>
      </w:pPr>
      <w:bookmarkStart w:id="113" w:name="bookmark113"/>
      <w:bookmarkEnd w:id="113"/>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2"/>
        <w:keepNext w:val="0"/>
        <w:keepLines w:val="0"/>
        <w:widowControl w:val="0"/>
        <w:numPr>
          <w:ilvl w:val="0"/>
          <w:numId w:val="21"/>
        </w:numPr>
        <w:shd w:val="clear" w:color="auto" w:fill="auto"/>
        <w:tabs>
          <w:tab w:pos="357" w:val="left"/>
        </w:tabs>
        <w:bidi w:val="0"/>
        <w:spacing w:before="0" w:after="300" w:line="240" w:lineRule="auto"/>
        <w:ind w:left="380" w:right="0" w:hanging="380"/>
        <w:jc w:val="both"/>
      </w:pPr>
      <w:bookmarkStart w:id="119" w:name="bookmark119"/>
      <w:bookmarkEnd w:id="11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20" w:name="bookmark120"/>
      <w:bookmarkEnd w:id="12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7" w:val="left"/>
        </w:tabs>
        <w:bidi w:val="0"/>
        <w:spacing w:before="0" w:after="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5"/>
        </w:numPr>
        <w:shd w:val="clear" w:color="auto" w:fill="auto"/>
        <w:tabs>
          <w:tab w:pos="1174" w:val="left"/>
        </w:tabs>
        <w:bidi w:val="0"/>
        <w:spacing w:before="0" w:after="0" w:line="240" w:lineRule="auto"/>
        <w:ind w:left="1160" w:right="0" w:hanging="36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prodlení zhotovitele o více než 14 kalendářních dnů oproti lhůtám a termínům ujednaným v čl. II. odst.1 této smlouvy.</w:t>
      </w:r>
      <w:bookmarkEnd w:id="123"/>
      <w:bookmarkEnd w:id="124"/>
      <w:bookmarkEnd w:id="126"/>
    </w:p>
    <w:p>
      <w:pPr>
        <w:pStyle w:val="Style12"/>
        <w:keepNext/>
        <w:keepLines/>
        <w:widowControl w:val="0"/>
        <w:numPr>
          <w:ilvl w:val="0"/>
          <w:numId w:val="25"/>
        </w:numPr>
        <w:shd w:val="clear" w:color="auto" w:fill="auto"/>
        <w:tabs>
          <w:tab w:pos="1174" w:val="left"/>
        </w:tabs>
        <w:bidi w:val="0"/>
        <w:spacing w:before="0" w:after="0" w:line="240" w:lineRule="auto"/>
        <w:ind w:left="0" w:right="0" w:firstLine="80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bezdůvodném přerušení prací zhotovitele, které trvá více než 14 dnů,</w:t>
      </w:r>
      <w:bookmarkEnd w:id="127"/>
      <w:bookmarkEnd w:id="128"/>
      <w:bookmarkEnd w:id="130"/>
    </w:p>
    <w:p>
      <w:pPr>
        <w:pStyle w:val="Style12"/>
        <w:keepNext/>
        <w:keepLines/>
        <w:widowControl w:val="0"/>
        <w:numPr>
          <w:ilvl w:val="0"/>
          <w:numId w:val="25"/>
        </w:numPr>
        <w:shd w:val="clear" w:color="auto" w:fill="auto"/>
        <w:tabs>
          <w:tab w:pos="1376" w:val="left"/>
        </w:tabs>
        <w:bidi w:val="0"/>
        <w:spacing w:before="0" w:after="0" w:line="240" w:lineRule="auto"/>
        <w:ind w:left="1160" w:right="0" w:hanging="36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pro zajištění řádného plnění díla.</w:t>
      </w:r>
      <w:bookmarkEnd w:id="131"/>
      <w:bookmarkEnd w:id="132"/>
      <w:bookmarkEnd w:id="134"/>
    </w:p>
    <w:p>
      <w:pPr>
        <w:pStyle w:val="Style12"/>
        <w:keepNext/>
        <w:keepLines/>
        <w:widowControl w:val="0"/>
        <w:numPr>
          <w:ilvl w:val="0"/>
          <w:numId w:val="25"/>
        </w:numPr>
        <w:shd w:val="clear" w:color="auto" w:fill="auto"/>
        <w:tabs>
          <w:tab w:pos="1376" w:val="left"/>
        </w:tabs>
        <w:bidi w:val="0"/>
        <w:spacing w:before="0" w:after="180" w:line="240" w:lineRule="auto"/>
        <w:ind w:left="0" w:right="0" w:firstLine="80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neplněním povinností zhotovitele vést řádně zápisy do stavebního deníku.</w:t>
      </w:r>
      <w:bookmarkEnd w:id="135"/>
      <w:bookmarkEnd w:id="136"/>
      <w:bookmarkEnd w:id="138"/>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60" w:val="left"/>
          <w:tab w:pos="2755" w:val="left"/>
          <w:tab w:pos="4896" w:val="left"/>
          <w:tab w:pos="6907" w:val="left"/>
          <w:tab w:pos="8722" w:val="left"/>
        </w:tabs>
        <w:bidi w:val="0"/>
        <w:spacing w:before="0" w:after="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after="20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3"/>
        </w:numPr>
        <w:shd w:val="clear" w:color="auto" w:fill="auto"/>
        <w:tabs>
          <w:tab w:pos="442" w:val="left"/>
        </w:tabs>
        <w:bidi w:val="0"/>
        <w:spacing w:before="0" w:after="200" w:line="240" w:lineRule="auto"/>
        <w:ind w:left="0" w:right="0" w:firstLine="0"/>
        <w:jc w:val="both"/>
      </w:pPr>
      <w:bookmarkStart w:id="147" w:name="bookmark147"/>
      <w:bookmarkEnd w:id="147"/>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502" w:val="left"/>
        </w:tabs>
        <w:bidi w:val="0"/>
        <w:spacing w:before="0" w:after="0" w:line="240" w:lineRule="auto"/>
        <w:ind w:left="380" w:right="0" w:hanging="380"/>
        <w:jc w:val="left"/>
      </w:pPr>
      <w:bookmarkStart w:id="150" w:name="bookmark150"/>
      <w:bookmarkEnd w:id="150"/>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700" w:line="240" w:lineRule="auto"/>
        <w:ind w:left="0" w:right="0" w:firstLine="380"/>
        <w:jc w:val="left"/>
      </w:pPr>
      <w:r>
        <mc:AlternateContent>
          <mc:Choice Requires="wps">
            <w:drawing>
              <wp:anchor distT="0" distB="0" distL="0" distR="0" simplePos="0" relativeHeight="125829382" behindDoc="0" locked="0" layoutInCell="1" allowOverlap="1">
                <wp:simplePos x="0" y="0"/>
                <wp:positionH relativeFrom="page">
                  <wp:posOffset>1799590</wp:posOffset>
                </wp:positionH>
                <wp:positionV relativeFrom="paragraph">
                  <wp:posOffset>152400</wp:posOffset>
                </wp:positionV>
                <wp:extent cx="539750" cy="225425"/>
                <wp:wrapSquare wrapText="bothSides"/>
                <wp:docPr id="5" name="Shape 5"/>
                <a:graphic xmlns:a="http://schemas.openxmlformats.org/drawingml/2006/main">
                  <a:graphicData uri="http://schemas.microsoft.com/office/word/2010/wordprocessingShape">
                    <wps:wsp>
                      <wps:cNvSpPr txBox="1"/>
                      <wps:spPr>
                        <a:xfrm>
                          <a:ext cx="53975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zakázky</w:t>
                            </w:r>
                          </w:p>
                        </w:txbxContent>
                      </wps:txbx>
                      <wps:bodyPr wrap="none" lIns="0" tIns="0" rIns="0" bIns="0">
                        <a:noAutoFit/>
                      </wps:bodyPr>
                    </wps:wsp>
                  </a:graphicData>
                </a:graphic>
              </wp:anchor>
            </w:drawing>
          </mc:Choice>
          <mc:Fallback>
            <w:pict>
              <v:shape id="_x0000_s1031" type="#_x0000_t202" style="position:absolute;margin-left:141.70000000000002pt;margin-top:12.pt;width:42.5pt;height:17.75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zakázky</w:t>
                      </w:r>
                    </w:p>
                  </w:txbxContent>
                </v:textbox>
                <w10:wrap type="square" anchorx="page"/>
              </v:shape>
            </w:pict>
          </mc:Fallback>
        </mc:AlternateContent>
      </w:r>
      <w:r>
        <w:rPr>
          <w:color w:val="000000"/>
          <w:spacing w:val="0"/>
          <w:w w:val="100"/>
          <w:position w:val="0"/>
          <w:shd w:val="clear" w:color="auto" w:fill="auto"/>
          <w:lang w:val="cs-CZ" w:eastAsia="cs-CZ" w:bidi="cs-CZ"/>
        </w:rPr>
        <w:t>Priorita 1) Příloha č. 4: Čestné prohlášení o společensky odpovědném plnění veřejné</w:t>
      </w:r>
    </w:p>
    <w:p>
      <w:pPr>
        <w:pStyle w:val="Style2"/>
        <w:keepNext w:val="0"/>
        <w:keepLines w:val="0"/>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060" w:left="1392" w:right="1387" w:bottom="1240" w:header="0" w:footer="3" w:gutter="0"/>
          <w:pgNumType w:start="1"/>
          <w:cols w:space="720"/>
          <w:noEndnote/>
          <w:rtlGutter w:val="0"/>
          <w:docGrid w:linePitch="360"/>
        </w:sectPr>
      </w:pPr>
      <w:r>
        <mc:AlternateContent>
          <mc:Choice Requires="wps">
            <w:drawing>
              <wp:anchor distT="0" distB="0" distL="114300" distR="114300" simplePos="0" relativeHeight="125829384" behindDoc="0" locked="0" layoutInCell="1" allowOverlap="1">
                <wp:simplePos x="0" y="0"/>
                <wp:positionH relativeFrom="page">
                  <wp:posOffset>4085590</wp:posOffset>
                </wp:positionH>
                <wp:positionV relativeFrom="paragraph">
                  <wp:posOffset>12700</wp:posOffset>
                </wp:positionV>
                <wp:extent cx="1222375" cy="225425"/>
                <wp:wrapSquare wrapText="left"/>
                <wp:docPr id="11" name="Shape 11"/>
                <a:graphic xmlns:a="http://schemas.openxmlformats.org/drawingml/2006/main">
                  <a:graphicData uri="http://schemas.microsoft.com/office/word/2010/wordprocessingShape">
                    <wps:wsp>
                      <wps:cNvSpPr txBox="1"/>
                      <wps:spPr>
                        <a:xfrm>
                          <a:ext cx="122237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w:t>
                            </w:r>
                          </w:p>
                        </w:txbxContent>
                      </wps:txbx>
                      <wps:bodyPr wrap="none" lIns="0" tIns="0" rIns="0" bIns="0">
                        <a:noAutoFit/>
                      </wps:bodyPr>
                    </wps:wsp>
                  </a:graphicData>
                </a:graphic>
              </wp:anchor>
            </w:drawing>
          </mc:Choice>
          <mc:Fallback>
            <w:pict>
              <v:shape id="_x0000_s1037" type="#_x0000_t202" style="position:absolute;margin-left:321.69999999999999pt;margin-top:1.pt;width:96.25pt;height:17.75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w:t>
                      </w:r>
                    </w:p>
                  </w:txbxContent>
                </v:textbox>
                <w10:wrap type="square" side="left" anchorx="page"/>
              </v:shape>
            </w:pict>
          </mc:Fallback>
        </mc:AlternateContent>
      </w:r>
      <w:r>
        <w:rPr>
          <w:color w:val="000000"/>
          <w:spacing w:val="0"/>
          <w:w w:val="100"/>
          <w:position w:val="0"/>
          <w:shd w:val="clear" w:color="auto" w:fill="auto"/>
          <w:lang w:val="cs-CZ" w:eastAsia="cs-CZ" w:bidi="cs-CZ"/>
        </w:rPr>
        <w:t>Digitálně podepsal: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920" w:left="0" w:right="0" w:bottom="192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920" w:left="1394" w:right="2335" w:bottom="1920" w:header="0" w:footer="3" w:gutter="0"/>
          <w:cols w:num="2" w:space="1901"/>
          <w:noEndnote/>
          <w:rtlGutter w:val="0"/>
          <w:docGrid w:linePitch="360"/>
        </w:sectPr>
      </w:pPr>
      <w:r>
        <w:rPr>
          <w:color w:val="000000"/>
          <w:spacing w:val="0"/>
          <w:w w:val="100"/>
          <w:position w:val="0"/>
          <w:shd w:val="clear" w:color="auto" w:fill="auto"/>
          <w:lang w:val="cs-CZ" w:eastAsia="cs-CZ" w:bidi="cs-CZ"/>
        </w:rPr>
        <w:t xml:space="preserve">…………………………………… za Povodí Ohře, státní podnik </w:t>
      </w:r>
      <w:r>
        <w:rPr>
          <w:color w:val="000000"/>
          <w:spacing w:val="0"/>
          <w:w w:val="100"/>
          <w:position w:val="0"/>
          <w:shd w:val="clear" w:color="auto" w:fill="auto"/>
          <w:lang w:val="cs-CZ" w:eastAsia="cs-CZ" w:bidi="cs-CZ"/>
        </w:rPr>
        <w:t>…………………………………… za HAGL, spol. s r.o.</w:t>
      </w:r>
    </w:p>
    <w:sectPr>
      <w:footnotePr>
        <w:pos w:val="pageBottom"/>
        <w:numFmt w:val="decimal"/>
        <w:numRestart w:val="continuous"/>
      </w:footnotePr>
      <w:type w:val="continuous"/>
      <w:pgSz w:w="11909" w:h="16838"/>
      <w:pgMar w:top="1920" w:left="1394" w:right="2335" w:bottom="1920"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5993765</wp:posOffset>
              </wp:positionH>
              <wp:positionV relativeFrom="page">
                <wp:posOffset>9958705</wp:posOffset>
              </wp:positionV>
              <wp:extent cx="673735" cy="164465"/>
              <wp:wrapNone/>
              <wp:docPr id="9" name="Shape 9"/>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5" type="#_x0000_t202" style="position:absolute;margin-left:471.94999999999999pt;margin-top:784.14999999999998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3366135</wp:posOffset>
              </wp:positionH>
              <wp:positionV relativeFrom="page">
                <wp:posOffset>383540</wp:posOffset>
              </wp:positionV>
              <wp:extent cx="838200" cy="173990"/>
              <wp:wrapNone/>
              <wp:docPr id="7" name="Shape 7"/>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265.05000000000001pt;margin-top:30.199999999999999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ind w:left="360" w:hanging="34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