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386/2025</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884555</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Neštěmický potok v Neštěmicích – sekání travních porostů v roce 2025</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884555</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650000000000006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HAGL, spol. s 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Na Sklípku 880, 400 07 Ústí nad Labem</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25408321</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25408321</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left="360"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Neštěmický potok v Neštěmicích – sekání travních porostů v roce 2025</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60" w:line="240" w:lineRule="auto"/>
        <w:ind w:left="360"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sečení travních porostů v průtočném profilu vodního toku (VT) Jílovský potok v Jílovém (ř. km 9,500-11,070).</w:t>
      </w:r>
      <w:bookmarkEnd w:id="11"/>
      <w:bookmarkEnd w:id="8"/>
      <w:bookmarkEnd w:id="9"/>
    </w:p>
    <w:p>
      <w:pPr>
        <w:pStyle w:val="Style2"/>
        <w:keepNext w:val="0"/>
        <w:keepLines w:val="0"/>
        <w:widowControl w:val="0"/>
        <w:shd w:val="clear" w:color="auto" w:fill="auto"/>
        <w:bidi w:val="0"/>
        <w:spacing w:before="0" w:after="6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60" w:line="230" w:lineRule="auto"/>
        <w:ind w:left="72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Sekání travních porostů v opevněném profilu VT na ploše 12041 m2 </w:t>
      </w:r>
      <w:r>
        <w:rPr>
          <w:color w:val="000000"/>
          <w:spacing w:val="0"/>
          <w:w w:val="100"/>
          <w:position w:val="0"/>
          <w:shd w:val="clear" w:color="auto" w:fill="auto"/>
          <w:lang w:val="cs-CZ" w:eastAsia="cs-CZ" w:bidi="cs-CZ"/>
        </w:rPr>
        <w:t xml:space="preserve">(6846 m2 na dně a 5195 m2 na březích) </w:t>
      </w:r>
      <w:r>
        <w:rPr>
          <w:b/>
          <w:bCs/>
          <w:color w:val="000000"/>
          <w:spacing w:val="0"/>
          <w:w w:val="100"/>
          <w:position w:val="0"/>
          <w:shd w:val="clear" w:color="auto" w:fill="auto"/>
          <w:lang w:val="cs-CZ" w:eastAsia="cs-CZ" w:bidi="cs-CZ"/>
        </w:rPr>
        <w:t>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60" w:right="0" w:firstLine="20"/>
        <w:jc w:val="both"/>
      </w:pPr>
      <w:r>
        <w:rPr>
          <w:b/>
          <w:bCs/>
          <w:color w:val="000000"/>
          <w:spacing w:val="0"/>
          <w:w w:val="100"/>
          <w:position w:val="0"/>
          <w:shd w:val="clear" w:color="auto" w:fill="auto"/>
          <w:lang w:val="cs-CZ" w:eastAsia="cs-CZ" w:bidi="cs-CZ"/>
        </w:rPr>
        <w:t xml:space="preserve">Budou provedeny 2 seče v kalendářním roce 2025 </w:t>
      </w:r>
      <w:r>
        <w:rPr>
          <w:color w:val="000000"/>
          <w:spacing w:val="0"/>
          <w:w w:val="100"/>
          <w:position w:val="0"/>
          <w:shd w:val="clear" w:color="auto" w:fill="auto"/>
          <w:lang w:val="cs-CZ" w:eastAsia="cs-CZ" w:bidi="cs-CZ"/>
        </w:rPr>
        <w:t>(1. seč červen-červenec, 2. seč říjen-listopad). Termín započetí jednotlivých sečí bude upřesněn technickým dozorem investora (TDI).</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Posekané travní porosty budou průběžně vyhrabávány z průtočného profilu, odvezeny a zlikvidovány v souladu s příslušnými právními předpisy.</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after="0" w:line="240" w:lineRule="auto"/>
        <w:ind w:left="360" w:right="0" w:firstLine="20"/>
        <w:jc w:val="both"/>
      </w:pPr>
      <w:r>
        <w:rPr>
          <w:color w:val="000000"/>
          <w:spacing w:val="0"/>
          <w:w w:val="100"/>
          <w:position w:val="0"/>
          <w:shd w:val="clear" w:color="auto" w:fill="auto"/>
          <w:lang w:val="cs-CZ" w:eastAsia="cs-CZ" w:bidi="cs-CZ"/>
        </w:rPr>
        <w:t>Koryto vodního toku Neštěmický potok v úseku železničního mostu v Neštěmicích (50°40'12.906"N, 14°6'15.523"E), po most v Neštěmicích u č.p. 324 (50°40'52.633"N, 14°5'37.318"E) – viz příloha č. 2 - situace. Jedná se o tyto pozemky ve správě Povodí Ohře, státní podnik:</w:t>
      </w:r>
    </w:p>
    <w:p>
      <w:pPr>
        <w:pStyle w:val="Style2"/>
        <w:keepNext w:val="0"/>
        <w:keepLines w:val="0"/>
        <w:widowControl w:val="0"/>
        <w:shd w:val="clear" w:color="auto" w:fill="auto"/>
        <w:bidi w:val="0"/>
        <w:spacing w:before="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 p. č. 32, 66/3, 1113 v k. ú. Neštěmice</w:t>
      </w:r>
    </w:p>
    <w:p>
      <w:pPr>
        <w:pStyle w:val="Style12"/>
        <w:keepNext/>
        <w:keepLines/>
        <w:widowControl w:val="0"/>
        <w:numPr>
          <w:ilvl w:val="0"/>
          <w:numId w:val="1"/>
        </w:numPr>
        <w:shd w:val="clear" w:color="auto" w:fill="auto"/>
        <w:tabs>
          <w:tab w:pos="382" w:val="left"/>
        </w:tabs>
        <w:bidi w:val="0"/>
        <w:spacing w:before="0" w:after="180" w:line="240" w:lineRule="auto"/>
        <w:ind w:left="360" w:right="0" w:hanging="36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2"/>
      <w:bookmarkEnd w:id="13"/>
      <w:bookmarkEnd w:id="15"/>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Za předmět díla se dále považuje:</w:t>
      </w:r>
      <w:bookmarkEnd w:id="16"/>
      <w:bookmarkEnd w:id="17"/>
      <w:bookmarkEnd w:id="19"/>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0"/>
      <w:bookmarkEnd w:id="21"/>
      <w:bookmarkEnd w:id="23"/>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zajištění povolení ke vstupu a vjezdu na pozemky (mimo pozemků ve vlastnictví objednatele),</w:t>
      </w:r>
      <w:bookmarkEnd w:id="24"/>
      <w:bookmarkEnd w:id="25"/>
      <w:bookmarkEnd w:id="27"/>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28"/>
      <w:bookmarkEnd w:id="29"/>
      <w:bookmarkEnd w:id="31"/>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zajištění povolení zvláštního užívání pozemní komunikace, bude-li potřeba,</w:t>
      </w:r>
      <w:bookmarkEnd w:id="32"/>
      <w:bookmarkEnd w:id="33"/>
      <w:bookmarkEnd w:id="35"/>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6"/>
      <w:bookmarkEnd w:id="37"/>
      <w:bookmarkEnd w:id="39"/>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zhotovitel zodpovídá za místo realizace díla i v době přerušení prací,</w:t>
      </w:r>
      <w:bookmarkEnd w:id="40"/>
      <w:bookmarkEnd w:id="41"/>
      <w:bookmarkEnd w:id="43"/>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4"/>
      <w:bookmarkEnd w:id="45"/>
      <w:bookmarkEnd w:id="47"/>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48"/>
      <w:bookmarkEnd w:id="49"/>
      <w:bookmarkEnd w:id="51"/>
    </w:p>
    <w:p>
      <w:pPr>
        <w:pStyle w:val="Style12"/>
        <w:keepNext/>
        <w:keepLines/>
        <w:widowControl w:val="0"/>
        <w:numPr>
          <w:ilvl w:val="0"/>
          <w:numId w:val="3"/>
        </w:numPr>
        <w:shd w:val="clear" w:color="auto" w:fill="auto"/>
        <w:tabs>
          <w:tab w:pos="786" w:val="left"/>
        </w:tabs>
        <w:bidi w:val="0"/>
        <w:spacing w:before="0" w:after="180" w:line="240" w:lineRule="auto"/>
        <w:ind w:left="720"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2"/>
      <w:bookmarkEnd w:id="53"/>
      <w:bookmarkEnd w:id="55"/>
    </w:p>
    <w:p>
      <w:pPr>
        <w:pStyle w:val="Style12"/>
        <w:keepNext/>
        <w:keepLines/>
        <w:widowControl w:val="0"/>
        <w:numPr>
          <w:ilvl w:val="0"/>
          <w:numId w:val="1"/>
        </w:numPr>
        <w:shd w:val="clear" w:color="auto" w:fill="auto"/>
        <w:tabs>
          <w:tab w:pos="382" w:val="left"/>
        </w:tabs>
        <w:bidi w:val="0"/>
        <w:spacing w:before="0" w:after="200" w:line="240" w:lineRule="auto"/>
        <w:ind w:right="0" w:hanging="38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6"/>
      <w:bookmarkEnd w:id="57"/>
      <w:bookmarkEnd w:id="59"/>
    </w:p>
    <w:p>
      <w:pPr>
        <w:pStyle w:val="Style12"/>
        <w:keepNext/>
        <w:keepLines/>
        <w:widowControl w:val="0"/>
        <w:numPr>
          <w:ilvl w:val="0"/>
          <w:numId w:val="1"/>
        </w:numPr>
        <w:shd w:val="clear" w:color="auto" w:fill="auto"/>
        <w:tabs>
          <w:tab w:pos="382" w:val="left"/>
        </w:tabs>
        <w:bidi w:val="0"/>
        <w:spacing w:before="0" w:after="200" w:line="240" w:lineRule="auto"/>
        <w:ind w:right="0" w:hanging="38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0"/>
      <w:bookmarkEnd w:id="61"/>
      <w:bookmarkEnd w:id="63"/>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Objednatel předá zhotoviteli pracoviště (nebo jeho ucelenou část) prosté práv třetích osob.</w:t>
      </w:r>
      <w:bookmarkEnd w:id="64"/>
      <w:bookmarkEnd w:id="65"/>
      <w:bookmarkEnd w:id="67"/>
    </w:p>
    <w:p>
      <w:pPr>
        <w:pStyle w:val="Style12"/>
        <w:keepNext/>
        <w:keepLines/>
        <w:widowControl w:val="0"/>
        <w:shd w:val="clear" w:color="auto" w:fill="auto"/>
        <w:bidi w:val="0"/>
        <w:spacing w:before="0" w:after="200" w:line="240" w:lineRule="auto"/>
        <w:ind w:right="0" w:firstLine="2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68"/>
      <w:bookmarkEnd w:id="69"/>
      <w:bookmarkEnd w:id="70"/>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200" w:line="293" w:lineRule="auto"/>
        <w:ind w:left="380" w:right="0" w:hanging="380"/>
        <w:jc w:val="both"/>
      </w:pPr>
      <w:bookmarkStart w:id="71" w:name="bookmark71"/>
      <w:bookmarkEnd w:id="71"/>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72" w:name="bookmark72"/>
      <w:bookmarkEnd w:id="72"/>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73" w:name="bookmark73"/>
      <w:bookmarkEnd w:id="73"/>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Bez zbytečného odkladu po převzetí pracoviště, nejdříve však od 2.6.2025</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74" w:name="bookmark74"/>
      <w:bookmarkEnd w:id="74"/>
      <w:r>
        <w:rPr>
          <w:b/>
          <w:bCs/>
          <w:color w:val="000000"/>
          <w:spacing w:val="0"/>
          <w:w w:val="100"/>
          <w:position w:val="0"/>
          <w:shd w:val="clear" w:color="auto" w:fill="auto"/>
          <w:lang w:val="cs-CZ" w:eastAsia="cs-CZ" w:bidi="cs-CZ"/>
        </w:rPr>
        <w:t>Dílčí termín pro dokončení 1.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31.7.2025</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75" w:name="bookmark75"/>
      <w:bookmarkEnd w:id="75"/>
      <w:r>
        <w:rPr>
          <w:b/>
          <w:bCs/>
          <w:color w:val="000000"/>
          <w:spacing w:val="0"/>
          <w:w w:val="100"/>
          <w:position w:val="0"/>
          <w:shd w:val="clear" w:color="auto" w:fill="auto"/>
          <w:lang w:val="cs-CZ" w:eastAsia="cs-CZ" w:bidi="cs-CZ"/>
        </w:rPr>
        <w:t>předání a převzetí dokončeného díla včetně 2. seče:</w:t>
      </w:r>
    </w:p>
    <w:p>
      <w:pPr>
        <w:pStyle w:val="Style2"/>
        <w:keepNext w:val="0"/>
        <w:keepLines w:val="0"/>
        <w:widowControl w:val="0"/>
        <w:shd w:val="clear" w:color="auto" w:fill="auto"/>
        <w:bidi w:val="0"/>
        <w:spacing w:before="0" w:after="200" w:line="240" w:lineRule="auto"/>
        <w:ind w:left="0" w:right="0" w:firstLine="720"/>
        <w:jc w:val="both"/>
      </w:pPr>
      <w:r>
        <w:rPr>
          <w:b/>
          <w:bCs/>
          <w:color w:val="000000"/>
          <w:spacing w:val="0"/>
          <w:w w:val="100"/>
          <w:position w:val="0"/>
          <w:shd w:val="clear" w:color="auto" w:fill="auto"/>
          <w:lang w:val="cs-CZ" w:eastAsia="cs-CZ" w:bidi="cs-CZ"/>
        </w:rPr>
        <w:t>Nejpozději do 14.11.2025</w:t>
      </w:r>
    </w:p>
    <w:p>
      <w:pPr>
        <w:pStyle w:val="Style2"/>
        <w:keepNext w:val="0"/>
        <w:keepLines w:val="0"/>
        <w:widowControl w:val="0"/>
        <w:numPr>
          <w:ilvl w:val="0"/>
          <w:numId w:val="7"/>
        </w:numPr>
        <w:shd w:val="clear" w:color="auto" w:fill="auto"/>
        <w:tabs>
          <w:tab w:pos="806" w:val="left"/>
        </w:tabs>
        <w:bidi w:val="0"/>
        <w:spacing w:before="0" w:after="200" w:line="240" w:lineRule="auto"/>
        <w:ind w:left="720" w:right="0" w:hanging="320"/>
        <w:jc w:val="both"/>
      </w:pPr>
      <w:bookmarkStart w:id="76" w:name="bookmark76"/>
      <w:bookmarkEnd w:id="76"/>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77" w:name="bookmark77"/>
      <w:bookmarkEnd w:id="77"/>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after="200" w:line="288" w:lineRule="auto"/>
        <w:ind w:left="380" w:right="0" w:hanging="380"/>
        <w:jc w:val="both"/>
      </w:pPr>
      <w:bookmarkStart w:id="78" w:name="bookmark78"/>
      <w:bookmarkEnd w:id="7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0" w:line="288" w:lineRule="auto"/>
        <w:ind w:left="380" w:right="0" w:hanging="380"/>
        <w:jc w:val="both"/>
      </w:pPr>
      <w:bookmarkStart w:id="79" w:name="bookmark79"/>
      <w:bookmarkEnd w:id="7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80" w:name="bookmark80"/>
      <w:bookmarkEnd w:id="8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200" w:line="240" w:lineRule="auto"/>
        <w:ind w:left="0" w:right="0" w:firstLine="0"/>
        <w:jc w:val="both"/>
      </w:pPr>
      <w:bookmarkStart w:id="81" w:name="bookmark81"/>
      <w:bookmarkEnd w:id="81"/>
      <w:r>
        <w:rPr>
          <w:color w:val="000000"/>
          <w:spacing w:val="0"/>
          <w:w w:val="100"/>
          <w:position w:val="0"/>
          <w:shd w:val="clear" w:color="auto" w:fill="auto"/>
          <w:lang w:val="cs-CZ" w:eastAsia="cs-CZ" w:bidi="cs-CZ"/>
        </w:rPr>
        <w:t>Výše ceny díla může být změněna pouze a jen na podkladě skutečností, které se</w:t>
        <w:br w:type="page"/>
      </w:r>
      <w:r>
        <w:rPr>
          <w:color w:val="000000"/>
          <w:spacing w:val="0"/>
          <w:w w:val="100"/>
          <w:position w:val="0"/>
          <w:shd w:val="clear" w:color="auto" w:fill="auto"/>
          <w:lang w:val="cs-CZ" w:eastAsia="cs-CZ" w:bidi="cs-CZ"/>
        </w:rPr>
        <w:t>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66" w:val="left"/>
        </w:tabs>
        <w:bidi w:val="0"/>
        <w:spacing w:before="0" w:after="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widowControl w:val="0"/>
        <w:spacing w:line="1" w:lineRule="exact"/>
      </w:pPr>
      <w:r>
        <mc:AlternateContent>
          <mc:Choice Requires="wps">
            <w:drawing>
              <wp:anchor distT="101600" distB="0" distL="0" distR="0" simplePos="0" relativeHeight="125829382" behindDoc="0" locked="0" layoutInCell="1" allowOverlap="1">
                <wp:simplePos x="0" y="0"/>
                <wp:positionH relativeFrom="page">
                  <wp:posOffset>1111250</wp:posOffset>
                </wp:positionH>
                <wp:positionV relativeFrom="paragraph">
                  <wp:posOffset>101600</wp:posOffset>
                </wp:positionV>
                <wp:extent cx="1295400" cy="753110"/>
                <wp:wrapTopAndBottom/>
                <wp:docPr id="5" name="Shape 5"/>
                <a:graphic xmlns:a="http://schemas.openxmlformats.org/drawingml/2006/main">
                  <a:graphicData uri="http://schemas.microsoft.com/office/word/2010/wordprocessingShape">
                    <wps:wsp>
                      <wps:cNvSpPr txBox="1"/>
                      <wps:spPr>
                        <a:xfrm>
                          <a:ext cx="1295400" cy="753110"/>
                        </a:xfrm>
                        <a:prstGeom prst="rect"/>
                        <a:noFill/>
                      </wps:spPr>
                      <wps:txbx>
                        <w:txbxContent>
                          <w:p>
                            <w:pPr>
                              <w:pStyle w:val="Style2"/>
                              <w:keepNext w:val="0"/>
                              <w:keepLines w:val="0"/>
                              <w:widowControl w:val="0"/>
                              <w:shd w:val="clear" w:color="auto" w:fill="auto"/>
                              <w:bidi w:val="0"/>
                              <w:spacing w:before="0" w:after="0" w:line="350" w:lineRule="auto"/>
                              <w:ind w:left="0" w:right="0" w:firstLine="0"/>
                              <w:jc w:val="left"/>
                            </w:pPr>
                            <w:r>
                              <w:rPr>
                                <w:color w:val="000000"/>
                                <w:spacing w:val="0"/>
                                <w:w w:val="100"/>
                                <w:position w:val="0"/>
                                <w:shd w:val="clear" w:color="auto" w:fill="auto"/>
                                <w:lang w:val="cs-CZ" w:eastAsia="cs-CZ" w:bidi="cs-CZ"/>
                              </w:rPr>
                              <w:t>Dílčí cena za 1. seč:</w:t>
                            </w:r>
                          </w:p>
                          <w:p>
                            <w:pPr>
                              <w:pStyle w:val="Style2"/>
                              <w:keepNext w:val="0"/>
                              <w:keepLines w:val="0"/>
                              <w:widowControl w:val="0"/>
                              <w:shd w:val="clear" w:color="auto" w:fill="auto"/>
                              <w:bidi w:val="0"/>
                              <w:spacing w:before="0" w:after="0" w:line="350" w:lineRule="auto"/>
                              <w:ind w:left="0" w:right="0" w:firstLine="0"/>
                              <w:jc w:val="left"/>
                            </w:pPr>
                            <w:r>
                              <w:rPr>
                                <w:color w:val="000000"/>
                                <w:spacing w:val="0"/>
                                <w:w w:val="100"/>
                                <w:position w:val="0"/>
                                <w:shd w:val="clear" w:color="auto" w:fill="auto"/>
                                <w:lang w:val="cs-CZ" w:eastAsia="cs-CZ" w:bidi="cs-CZ"/>
                              </w:rPr>
                              <w:t xml:space="preserve">Dílčí cena za 2. seč: </w:t>
                            </w:r>
                            <w:r>
                              <w:rPr>
                                <w:b/>
                                <w:bCs/>
                                <w:color w:val="000000"/>
                                <w:spacing w:val="0"/>
                                <w:w w:val="100"/>
                                <w:position w:val="0"/>
                                <w:shd w:val="clear" w:color="auto" w:fill="auto"/>
                                <w:lang w:val="cs-CZ" w:eastAsia="cs-CZ" w:bidi="cs-CZ"/>
                              </w:rPr>
                              <w:t>Cena díla celkem:</w:t>
                            </w:r>
                          </w:p>
                        </w:txbxContent>
                      </wps:txbx>
                      <wps:bodyPr lIns="0" tIns="0" rIns="0" bIns="0">
                        <a:noAutoFit/>
                      </wps:bodyPr>
                    </wps:wsp>
                  </a:graphicData>
                </a:graphic>
              </wp:anchor>
            </w:drawing>
          </mc:Choice>
          <mc:Fallback>
            <w:pict>
              <v:shape id="_x0000_s1031" type="#_x0000_t202" style="position:absolute;margin-left:87.5pt;margin-top:8.pt;width:102.pt;height:59.300000000000004pt;z-index:-125829371;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0" w:line="350" w:lineRule="auto"/>
                        <w:ind w:left="0" w:right="0" w:firstLine="0"/>
                        <w:jc w:val="left"/>
                      </w:pPr>
                      <w:r>
                        <w:rPr>
                          <w:color w:val="000000"/>
                          <w:spacing w:val="0"/>
                          <w:w w:val="100"/>
                          <w:position w:val="0"/>
                          <w:shd w:val="clear" w:color="auto" w:fill="auto"/>
                          <w:lang w:val="cs-CZ" w:eastAsia="cs-CZ" w:bidi="cs-CZ"/>
                        </w:rPr>
                        <w:t>Dílčí cena za 1. seč:</w:t>
                      </w:r>
                    </w:p>
                    <w:p>
                      <w:pPr>
                        <w:pStyle w:val="Style2"/>
                        <w:keepNext w:val="0"/>
                        <w:keepLines w:val="0"/>
                        <w:widowControl w:val="0"/>
                        <w:shd w:val="clear" w:color="auto" w:fill="auto"/>
                        <w:bidi w:val="0"/>
                        <w:spacing w:before="0" w:after="0" w:line="350" w:lineRule="auto"/>
                        <w:ind w:left="0" w:right="0" w:firstLine="0"/>
                        <w:jc w:val="left"/>
                      </w:pPr>
                      <w:r>
                        <w:rPr>
                          <w:color w:val="000000"/>
                          <w:spacing w:val="0"/>
                          <w:w w:val="100"/>
                          <w:position w:val="0"/>
                          <w:shd w:val="clear" w:color="auto" w:fill="auto"/>
                          <w:lang w:val="cs-CZ" w:eastAsia="cs-CZ" w:bidi="cs-CZ"/>
                        </w:rPr>
                        <w:t xml:space="preserve">Dílčí cena za 2. seč: </w:t>
                      </w:r>
                      <w:r>
                        <w:rPr>
                          <w:b/>
                          <w:bCs/>
                          <w:color w:val="000000"/>
                          <w:spacing w:val="0"/>
                          <w:w w:val="100"/>
                          <w:position w:val="0"/>
                          <w:shd w:val="clear" w:color="auto" w:fill="auto"/>
                          <w:lang w:val="cs-CZ" w:eastAsia="cs-CZ" w:bidi="cs-CZ"/>
                        </w:rPr>
                        <w:t>Cena díla celkem:</w:t>
                      </w:r>
                    </w:p>
                  </w:txbxContent>
                </v:textbox>
                <w10:wrap type="topAndBottom" anchorx="page"/>
              </v:shape>
            </w:pict>
          </mc:Fallback>
        </mc:AlternateContent>
      </w:r>
      <w:r>
        <mc:AlternateContent>
          <mc:Choice Requires="wps">
            <w:drawing>
              <wp:anchor distT="101600" distB="43180" distL="0" distR="0" simplePos="0" relativeHeight="125829384" behindDoc="0" locked="0" layoutInCell="1" allowOverlap="1">
                <wp:simplePos x="0" y="0"/>
                <wp:positionH relativeFrom="page">
                  <wp:posOffset>3629025</wp:posOffset>
                </wp:positionH>
                <wp:positionV relativeFrom="paragraph">
                  <wp:posOffset>101600</wp:posOffset>
                </wp:positionV>
                <wp:extent cx="1487170" cy="709930"/>
                <wp:wrapTopAndBottom/>
                <wp:docPr id="7" name="Shape 7"/>
                <a:graphic xmlns:a="http://schemas.openxmlformats.org/drawingml/2006/main">
                  <a:graphicData uri="http://schemas.microsoft.com/office/word/2010/wordprocessingShape">
                    <wps:wsp>
                      <wps:cNvSpPr txBox="1"/>
                      <wps:spPr>
                        <a:xfrm>
                          <a:ext cx="1487170" cy="709930"/>
                        </a:xfrm>
                        <a:prstGeom prst="rect"/>
                        <a:noFill/>
                      </wps:spPr>
                      <wps:txbx>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30.000,00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30.000,00 Kč bez DPH</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60.000,00 Kč bez DPH</w:t>
                            </w:r>
                          </w:p>
                        </w:txbxContent>
                      </wps:txbx>
                      <wps:bodyPr lIns="0" tIns="0" rIns="0" bIns="0">
                        <a:noAutoFit/>
                      </wps:bodyPr>
                    </wps:wsp>
                  </a:graphicData>
                </a:graphic>
              </wp:anchor>
            </w:drawing>
          </mc:Choice>
          <mc:Fallback>
            <w:pict>
              <v:shape id="_x0000_s1033" type="#_x0000_t202" style="position:absolute;margin-left:285.75pt;margin-top:8.pt;width:117.10000000000001pt;height:55.899999999999999pt;z-index:-125829369;mso-wrap-distance-left:0;mso-wrap-distance-top:8.pt;mso-wrap-distance-right:0;mso-wrap-distance-bottom:3.3999999999999999pt;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30.000,00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30.000,00 Kč bez DPH</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60.000,00 Kč bez DPH</w:t>
                      </w:r>
                    </w:p>
                  </w:txbxContent>
                </v:textbox>
                <w10:wrap type="topAndBottom" anchorx="page"/>
              </v:shape>
            </w:pict>
          </mc:Fallback>
        </mc:AlternateConten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200" w:line="240" w:lineRule="auto"/>
        <w:ind w:left="0" w:right="0" w:firstLine="0"/>
        <w:jc w:val="both"/>
      </w:pPr>
      <w:bookmarkStart w:id="84" w:name="bookmark84"/>
      <w:bookmarkEnd w:id="8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6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cs-CZ" w:eastAsia="cs-CZ" w:bidi="cs-CZ"/>
        </w:rPr>
        <w:t xml:space="preserve">Předat faktury lze i elektronicky ve formátu PDF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after="60" w:line="240" w:lineRule="auto"/>
        <w:ind w:left="0" w:right="0" w:firstLine="0"/>
        <w:jc w:val="both"/>
      </w:pPr>
      <w:bookmarkStart w:id="86" w:name="bookmark86"/>
      <w:bookmarkEnd w:id="86"/>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87" w:name="bookmark87"/>
      <w:bookmarkEnd w:id="87"/>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31.7.2025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after="60" w:line="240" w:lineRule="auto"/>
        <w:ind w:left="740" w:right="0" w:hanging="360"/>
        <w:jc w:val="both"/>
      </w:pPr>
      <w:bookmarkStart w:id="88" w:name="bookmark88"/>
      <w:bookmarkEnd w:id="88"/>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32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after="20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0" w:val="left"/>
        </w:tabs>
        <w:bidi w:val="0"/>
        <w:spacing w:before="0" w:after="20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Pokud bude zhotovitel v prodlení proti dílčímu termínu předání a převzetí dokončené části díla (1. seče) sjednaného dle čl. II. odst. 1. písm. c) této smlouvy, je povinen zaplatit objednateli smluvní pokutu ve výši 0,2 % z celkové ceny díla bez DPH dle čl. III. této smlouvy za každý i započatý kalendářní den prodlení, až do dne podpisu zápisu o předání a převzetí dokončené části díla (1. seče).</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celkové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0" w:val="left"/>
        </w:tabs>
        <w:bidi w:val="0"/>
        <w:spacing w:before="0" w:after="20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78" w:val="left"/>
        </w:tabs>
        <w:bidi w:val="0"/>
        <w:spacing w:before="0" w:after="20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78" w:val="left"/>
        </w:tabs>
        <w:bidi w:val="0"/>
        <w:spacing w:before="0" w:after="20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78" w:val="left"/>
        </w:tabs>
        <w:bidi w:val="0"/>
        <w:spacing w:before="0" w:after="20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60" w:val="left"/>
        </w:tabs>
        <w:bidi w:val="0"/>
        <w:spacing w:before="0" w:after="200" w:line="240" w:lineRule="auto"/>
        <w:ind w:left="0" w:right="0" w:firstLine="0"/>
        <w:jc w:val="both"/>
      </w:pPr>
      <w:bookmarkStart w:id="105" w:name="bookmark105"/>
      <w:bookmarkEnd w:id="105"/>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86" w:val="left"/>
        </w:tabs>
        <w:bidi w:val="0"/>
        <w:spacing w:before="0" w:after="0" w:line="240" w:lineRule="auto"/>
        <w:ind w:left="0" w:right="0" w:firstLine="380"/>
        <w:jc w:val="both"/>
      </w:pPr>
      <w:bookmarkStart w:id="106" w:name="bookmark106"/>
      <w:bookmarkEnd w:id="106"/>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86" w:val="left"/>
        </w:tabs>
        <w:bidi w:val="0"/>
        <w:spacing w:before="0" w:after="0" w:line="240" w:lineRule="auto"/>
        <w:ind w:left="1020" w:right="0" w:hanging="580"/>
        <w:jc w:val="both"/>
      </w:pPr>
      <w:bookmarkStart w:id="107" w:name="bookmark107"/>
      <w:bookmarkEnd w:id="10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86" w:val="left"/>
        </w:tabs>
        <w:bidi w:val="0"/>
        <w:spacing w:before="0" w:after="0" w:line="240" w:lineRule="auto"/>
        <w:ind w:left="1020" w:right="0" w:hanging="580"/>
        <w:jc w:val="both"/>
      </w:pPr>
      <w:bookmarkStart w:id="108" w:name="bookmark108"/>
      <w:bookmarkEnd w:id="10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76"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76" w:val="left"/>
        </w:tabs>
        <w:bidi w:val="0"/>
        <w:spacing w:before="0" w:after="14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80" w:left="1393" w:right="1386" w:bottom="1228" w:header="0" w:footer="3" w:gutter="0"/>
          <w:pgNumType w:start="1"/>
          <w:cols w:space="720"/>
          <w:noEndnote/>
          <w:rtlGutter w:val="0"/>
          <w:docGrid w:linePitch="360"/>
        </w:sectPr>
      </w:pPr>
      <w:bookmarkStart w:id="110" w:name="bookmark110"/>
      <w:bookmarkEnd w:id="110"/>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118"/>
      <w:bookmarkEnd w:id="119"/>
      <w:bookmarkEnd w:id="121"/>
    </w:p>
    <w:p>
      <w:pPr>
        <w:pStyle w:val="Style12"/>
        <w:keepNext/>
        <w:keepLines/>
        <w:widowControl w:val="0"/>
        <w:numPr>
          <w:ilvl w:val="0"/>
          <w:numId w:val="25"/>
        </w:numPr>
        <w:shd w:val="clear" w:color="auto" w:fill="auto"/>
        <w:tabs>
          <w:tab w:pos="1174" w:val="left"/>
        </w:tabs>
        <w:bidi w:val="0"/>
        <w:spacing w:before="0" w:after="0" w:line="240" w:lineRule="auto"/>
        <w:ind w:left="0" w:right="0" w:firstLine="80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bezdůvodném přerušení prací zhotovitele, které trvá více než 14 dnů,</w:t>
      </w:r>
      <w:bookmarkEnd w:id="122"/>
      <w:bookmarkEnd w:id="123"/>
      <w:bookmarkEnd w:id="125"/>
    </w:p>
    <w:p>
      <w:pPr>
        <w:pStyle w:val="Style12"/>
        <w:keepNext/>
        <w:keepLines/>
        <w:widowControl w:val="0"/>
        <w:numPr>
          <w:ilvl w:val="0"/>
          <w:numId w:val="25"/>
        </w:numPr>
        <w:shd w:val="clear" w:color="auto" w:fill="auto"/>
        <w:tabs>
          <w:tab w:pos="1376" w:val="left"/>
        </w:tabs>
        <w:bidi w:val="0"/>
        <w:spacing w:before="0" w:after="0" w:line="240" w:lineRule="auto"/>
        <w:ind w:left="1160" w:right="0" w:hanging="36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26"/>
      <w:bookmarkEnd w:id="127"/>
      <w:bookmarkEnd w:id="129"/>
    </w:p>
    <w:p>
      <w:pPr>
        <w:pStyle w:val="Style12"/>
        <w:keepNext/>
        <w:keepLines/>
        <w:widowControl w:val="0"/>
        <w:numPr>
          <w:ilvl w:val="0"/>
          <w:numId w:val="25"/>
        </w:numPr>
        <w:shd w:val="clear" w:color="auto" w:fill="auto"/>
        <w:tabs>
          <w:tab w:pos="1376" w:val="left"/>
        </w:tabs>
        <w:bidi w:val="0"/>
        <w:spacing w:before="0" w:after="180" w:line="240" w:lineRule="auto"/>
        <w:ind w:left="0" w:right="0" w:firstLine="80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neplněním povinností zhotovitele vést řádně zápisy do stavebního deníku.</w:t>
      </w:r>
      <w:bookmarkEnd w:id="130"/>
      <w:bookmarkEnd w:id="131"/>
      <w:bookmarkEnd w:id="133"/>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42" w:name="bookmark142"/>
      <w:bookmarkEnd w:id="142"/>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60" w:line="240" w:lineRule="auto"/>
        <w:ind w:left="380" w:right="0" w:firstLine="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93" w:left="1394" w:right="1389" w:bottom="1226"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4085590</wp:posOffset>
                </wp:positionH>
                <wp:positionV relativeFrom="paragraph">
                  <wp:posOffset>12700</wp:posOffset>
                </wp:positionV>
                <wp:extent cx="1222375" cy="225425"/>
                <wp:wrapSquare wrapText="left"/>
                <wp:docPr id="13" name="Shape 13"/>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9" type="#_x0000_t202" style="position:absolute;margin-left:321.69999999999999pt;margin-top:1.pt;width:96.25pt;height:17.75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 xml:space="preserve">…………………………………… za Povodí Ohře, státní podnik </w:t>
      </w:r>
      <w:r>
        <w:rPr>
          <w:color w:val="000000"/>
          <w:spacing w:val="0"/>
          <w:w w:val="100"/>
          <w:position w:val="0"/>
          <w:shd w:val="clear" w:color="auto" w:fill="auto"/>
          <w:lang w:val="cs-CZ" w:eastAsia="cs-CZ" w:bidi="cs-CZ"/>
        </w:rPr>
        <w:t>…………………………………… za HAGL, spol. s r.o.</w:t>
      </w:r>
    </w:p>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5989955</wp:posOffset>
              </wp:positionH>
              <wp:positionV relativeFrom="page">
                <wp:posOffset>9973310</wp:posOffset>
              </wp:positionV>
              <wp:extent cx="673735" cy="164465"/>
              <wp:wrapNone/>
              <wp:docPr id="11" name="Shape 11"/>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7" type="#_x0000_t202" style="position:absolute;margin-left:471.65000000000003pt;margin-top:785.30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3362325</wp:posOffset>
              </wp:positionH>
              <wp:positionV relativeFrom="page">
                <wp:posOffset>394970</wp:posOffset>
              </wp:positionV>
              <wp:extent cx="838200" cy="173990"/>
              <wp:wrapNone/>
              <wp:docPr id="9" name="Shape 9"/>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264.75pt;margin-top:31.10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8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