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364/2025</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33"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884555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50000000000006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Jílovský potok v Jílovém - sečení travních porostů 2025</w:t>
      </w:r>
    </w:p>
    <w:p>
      <w:pPr>
        <w:pStyle w:val="Style2"/>
        <w:keepNext w:val="0"/>
        <w:keepLines w:val="0"/>
        <w:widowControl w:val="0"/>
        <w:shd w:val="clear" w:color="auto" w:fill="auto"/>
        <w:bidi w:val="0"/>
        <w:spacing w:before="0" w:after="0" w:line="240" w:lineRule="auto"/>
        <w:ind w:left="1960" w:right="0" w:firstLine="0"/>
        <w:jc w:val="both"/>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884555</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650000000000006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HAGL, spol. s r.o.</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Na Sklípku 880, 400 07 Ústí nad Labem</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25408321</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25408321</w:t>
      </w:r>
    </w:p>
    <w:p>
      <w:pPr>
        <w:pStyle w:val="Style2"/>
        <w:keepNext w:val="0"/>
        <w:keepLines w:val="0"/>
        <w:widowControl w:val="0"/>
        <w:shd w:val="clear" w:color="auto" w:fill="auto"/>
        <w:bidi w:val="0"/>
        <w:spacing w:before="0" w:after="590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74" w:val="left"/>
        </w:tabs>
        <w:bidi w:val="0"/>
        <w:spacing w:before="0" w:after="320" w:line="240" w:lineRule="auto"/>
        <w:ind w:left="360"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Jílovský potok v Jílovém - sečení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74" w:val="left"/>
        </w:tabs>
        <w:bidi w:val="0"/>
        <w:spacing w:before="0" w:after="60" w:line="240" w:lineRule="auto"/>
        <w:ind w:left="360"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sečení travních porostů v průtočném profilu vodního toku (VT) Jílovský potok v Jílovém (ř. km 9,500-11,070).</w:t>
      </w:r>
      <w:bookmarkEnd w:id="11"/>
      <w:bookmarkEnd w:id="8"/>
      <w:bookmarkEnd w:id="9"/>
    </w:p>
    <w:p>
      <w:pPr>
        <w:pStyle w:val="Style2"/>
        <w:keepNext w:val="0"/>
        <w:keepLines w:val="0"/>
        <w:widowControl w:val="0"/>
        <w:shd w:val="clear" w:color="auto" w:fill="auto"/>
        <w:bidi w:val="0"/>
        <w:spacing w:before="0" w:after="6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60" w:line="230" w:lineRule="auto"/>
        <w:ind w:left="720" w:right="0" w:hanging="34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Sekání travních porostů v opevněném profilu VT na ploše 38667 m2 </w:t>
      </w:r>
      <w:r>
        <w:rPr>
          <w:color w:val="000000"/>
          <w:spacing w:val="0"/>
          <w:w w:val="100"/>
          <w:position w:val="0"/>
          <w:shd w:val="clear" w:color="auto" w:fill="auto"/>
          <w:lang w:val="cs-CZ" w:eastAsia="cs-CZ" w:bidi="cs-CZ"/>
        </w:rPr>
        <w:t xml:space="preserve">(29145 m2 na dně a 9522 m2 na březích) </w:t>
      </w:r>
      <w:r>
        <w:rPr>
          <w:b/>
          <w:bCs/>
          <w:color w:val="000000"/>
          <w:spacing w:val="0"/>
          <w:w w:val="100"/>
          <w:position w:val="0"/>
          <w:shd w:val="clear" w:color="auto" w:fill="auto"/>
          <w:lang w:val="cs-CZ" w:eastAsia="cs-CZ" w:bidi="cs-CZ"/>
        </w:rPr>
        <w:t>vždy v rámci jedné seče</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360" w:right="0" w:firstLine="20"/>
        <w:jc w:val="both"/>
      </w:pPr>
      <w:r>
        <w:rPr>
          <w:b/>
          <w:bCs/>
          <w:color w:val="000000"/>
          <w:spacing w:val="0"/>
          <w:w w:val="100"/>
          <w:position w:val="0"/>
          <w:shd w:val="clear" w:color="auto" w:fill="auto"/>
          <w:lang w:val="cs-CZ" w:eastAsia="cs-CZ" w:bidi="cs-CZ"/>
        </w:rPr>
        <w:t xml:space="preserve">Budou provedeny 2 seče v kalendářním roce 2025 </w:t>
      </w:r>
      <w:r>
        <w:rPr>
          <w:color w:val="000000"/>
          <w:spacing w:val="0"/>
          <w:w w:val="100"/>
          <w:position w:val="0"/>
          <w:shd w:val="clear" w:color="auto" w:fill="auto"/>
          <w:lang w:val="cs-CZ" w:eastAsia="cs-CZ" w:bidi="cs-CZ"/>
        </w:rPr>
        <w:t>(1. seč červen-červenec, 2. seč říjen-listopad). Termín započetí jednotlivých sečí bude upřesněn technickým dozorem investora (TDI).</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 xml:space="preserve">Místo provádění díla: Koryto vodního toku Jílovský potok v úseku od sil. mostu v Jílovém v ulici Příkrá u č. p. 40 (50.7719433N, 14.1219169E), po most v Modré u č.p. 75 (50.7594114N, 14.0813933E) – </w:t>
      </w:r>
      <w:r>
        <w:rPr>
          <w:b/>
          <w:bCs/>
          <w:color w:val="000000"/>
          <w:spacing w:val="0"/>
          <w:w w:val="100"/>
          <w:position w:val="0"/>
          <w:shd w:val="clear" w:color="auto" w:fill="auto"/>
          <w:lang w:val="cs-CZ" w:eastAsia="cs-CZ" w:bidi="cs-CZ"/>
        </w:rPr>
        <w:t xml:space="preserve">viz příloha č . 2 – Situace. </w:t>
      </w:r>
      <w:r>
        <w:rPr>
          <w:color w:val="000000"/>
          <w:spacing w:val="0"/>
          <w:w w:val="100"/>
          <w:position w:val="0"/>
          <w:shd w:val="clear" w:color="auto" w:fill="auto"/>
          <w:lang w:val="cs-CZ" w:eastAsia="cs-CZ" w:bidi="cs-CZ"/>
        </w:rPr>
        <w:t>Jedná se o tyto pozemky ve správě Povodí Ohře, státní podnik: k. ú. Modrá u Děčína - p. p. č. 604/6, 1044/4, 1087/1, 1467/2</w:t>
      </w:r>
    </w:p>
    <w:p>
      <w:pPr>
        <w:pStyle w:val="Style12"/>
        <w:keepNext/>
        <w:keepLines/>
        <w:widowControl w:val="0"/>
        <w:numPr>
          <w:ilvl w:val="0"/>
          <w:numId w:val="1"/>
        </w:numPr>
        <w:shd w:val="clear" w:color="auto" w:fill="auto"/>
        <w:tabs>
          <w:tab w:pos="374" w:val="left"/>
        </w:tabs>
        <w:bidi w:val="0"/>
        <w:spacing w:before="0" w:after="180" w:line="240" w:lineRule="auto"/>
        <w:ind w:left="360"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2"/>
      <w:bookmarkEnd w:id="13"/>
      <w:bookmarkEnd w:id="15"/>
    </w:p>
    <w:p>
      <w:pPr>
        <w:pStyle w:val="Style12"/>
        <w:keepNext/>
        <w:keepLines/>
        <w:widowControl w:val="0"/>
        <w:numPr>
          <w:ilvl w:val="0"/>
          <w:numId w:val="1"/>
        </w:numPr>
        <w:shd w:val="clear" w:color="auto" w:fill="auto"/>
        <w:tabs>
          <w:tab w:pos="374" w:val="left"/>
        </w:tabs>
        <w:bidi w:val="0"/>
        <w:spacing w:before="0" w:after="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3"/>
        </w:numPr>
        <w:shd w:val="clear" w:color="auto" w:fill="auto"/>
        <w:tabs>
          <w:tab w:pos="769" w:val="left"/>
        </w:tabs>
        <w:bidi w:val="0"/>
        <w:spacing w:before="0" w:after="0" w:line="240" w:lineRule="auto"/>
        <w:ind w:left="720"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3"/>
        </w:numPr>
        <w:shd w:val="clear" w:color="auto" w:fill="auto"/>
        <w:tabs>
          <w:tab w:pos="778" w:val="left"/>
        </w:tabs>
        <w:bidi w:val="0"/>
        <w:spacing w:before="0" w:after="0" w:line="240" w:lineRule="auto"/>
        <w:ind w:left="720"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3"/>
        </w:numPr>
        <w:shd w:val="clear" w:color="auto" w:fill="auto"/>
        <w:tabs>
          <w:tab w:pos="778" w:val="left"/>
        </w:tabs>
        <w:bidi w:val="0"/>
        <w:spacing w:before="0" w:after="0" w:line="240" w:lineRule="auto"/>
        <w:ind w:left="720" w:right="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28"/>
      <w:bookmarkEnd w:id="29"/>
      <w:bookmarkEnd w:id="31"/>
    </w:p>
    <w:p>
      <w:pPr>
        <w:pStyle w:val="Style12"/>
        <w:keepNext/>
        <w:keepLines/>
        <w:widowControl w:val="0"/>
        <w:numPr>
          <w:ilvl w:val="0"/>
          <w:numId w:val="3"/>
        </w:numPr>
        <w:shd w:val="clear" w:color="auto" w:fill="auto"/>
        <w:tabs>
          <w:tab w:pos="758" w:val="left"/>
        </w:tabs>
        <w:bidi w:val="0"/>
        <w:spacing w:before="0" w:after="0" w:line="240" w:lineRule="auto"/>
        <w:ind w:left="0" w:right="0" w:firstLine="36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zajištění povolení zvláštního užívání pozemní komunikace, bude-li potřeba,</w:t>
      </w:r>
      <w:bookmarkEnd w:id="32"/>
      <w:bookmarkEnd w:id="33"/>
      <w:bookmarkEnd w:id="35"/>
    </w:p>
    <w:p>
      <w:pPr>
        <w:pStyle w:val="Style12"/>
        <w:keepNext/>
        <w:keepLines/>
        <w:widowControl w:val="0"/>
        <w:numPr>
          <w:ilvl w:val="0"/>
          <w:numId w:val="3"/>
        </w:numPr>
        <w:shd w:val="clear" w:color="auto" w:fill="auto"/>
        <w:tabs>
          <w:tab w:pos="778" w:val="left"/>
        </w:tabs>
        <w:bidi w:val="0"/>
        <w:spacing w:before="0" w:after="0" w:line="240" w:lineRule="auto"/>
        <w:ind w:left="720"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6"/>
      <w:bookmarkEnd w:id="37"/>
      <w:bookmarkEnd w:id="39"/>
    </w:p>
    <w:p>
      <w:pPr>
        <w:pStyle w:val="Style12"/>
        <w:keepNext/>
        <w:keepLines/>
        <w:widowControl w:val="0"/>
        <w:numPr>
          <w:ilvl w:val="0"/>
          <w:numId w:val="3"/>
        </w:numPr>
        <w:shd w:val="clear" w:color="auto" w:fill="auto"/>
        <w:tabs>
          <w:tab w:pos="758" w:val="left"/>
        </w:tabs>
        <w:bidi w:val="0"/>
        <w:spacing w:before="0" w:after="0" w:line="240" w:lineRule="auto"/>
        <w:ind w:left="0" w:right="0" w:firstLine="36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zhotovitel zodpovídá za místo realizace díla i v době přerušení prací,</w:t>
      </w:r>
      <w:bookmarkEnd w:id="40"/>
      <w:bookmarkEnd w:id="41"/>
      <w:bookmarkEnd w:id="43"/>
    </w:p>
    <w:p>
      <w:pPr>
        <w:pStyle w:val="Style12"/>
        <w:keepNext/>
        <w:keepLines/>
        <w:widowControl w:val="0"/>
        <w:numPr>
          <w:ilvl w:val="0"/>
          <w:numId w:val="3"/>
        </w:numPr>
        <w:shd w:val="clear" w:color="auto" w:fill="auto"/>
        <w:tabs>
          <w:tab w:pos="778" w:val="left"/>
        </w:tabs>
        <w:bidi w:val="0"/>
        <w:spacing w:before="0" w:after="0" w:line="240" w:lineRule="auto"/>
        <w:ind w:left="720"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4"/>
      <w:bookmarkEnd w:id="45"/>
      <w:bookmarkEnd w:id="47"/>
    </w:p>
    <w:p>
      <w:pPr>
        <w:pStyle w:val="Style12"/>
        <w:keepNext/>
        <w:keepLines/>
        <w:widowControl w:val="0"/>
        <w:numPr>
          <w:ilvl w:val="0"/>
          <w:numId w:val="3"/>
        </w:numPr>
        <w:shd w:val="clear" w:color="auto" w:fill="auto"/>
        <w:tabs>
          <w:tab w:pos="778" w:val="left"/>
        </w:tabs>
        <w:bidi w:val="0"/>
        <w:spacing w:before="0" w:after="0" w:line="240" w:lineRule="auto"/>
        <w:ind w:left="720"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48"/>
      <w:bookmarkEnd w:id="49"/>
      <w:bookmarkEnd w:id="51"/>
    </w:p>
    <w:p>
      <w:pPr>
        <w:pStyle w:val="Style12"/>
        <w:keepNext/>
        <w:keepLines/>
        <w:widowControl w:val="0"/>
        <w:numPr>
          <w:ilvl w:val="0"/>
          <w:numId w:val="3"/>
        </w:numPr>
        <w:shd w:val="clear" w:color="auto" w:fill="auto"/>
        <w:tabs>
          <w:tab w:pos="778" w:val="left"/>
        </w:tabs>
        <w:bidi w:val="0"/>
        <w:spacing w:before="0" w:after="180" w:line="240" w:lineRule="auto"/>
        <w:ind w:left="720"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2"/>
      <w:bookmarkEnd w:id="53"/>
      <w:bookmarkEnd w:id="55"/>
    </w:p>
    <w:p>
      <w:pPr>
        <w:pStyle w:val="Style2"/>
        <w:keepNext w:val="0"/>
        <w:keepLines w:val="0"/>
        <w:widowControl w:val="0"/>
        <w:numPr>
          <w:ilvl w:val="0"/>
          <w:numId w:val="1"/>
        </w:numPr>
        <w:shd w:val="clear" w:color="auto" w:fill="auto"/>
        <w:tabs>
          <w:tab w:pos="374" w:val="left"/>
        </w:tabs>
        <w:bidi w:val="0"/>
        <w:spacing w:before="0" w:after="200" w:line="240" w:lineRule="auto"/>
        <w:ind w:left="360" w:right="0" w:hanging="360"/>
        <w:jc w:val="both"/>
      </w:pPr>
      <w:bookmarkStart w:id="56" w:name="bookmark56"/>
      <w:bookmarkStart w:id="57" w:name="bookmark57"/>
      <w:bookmarkEnd w:id="5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w:t>
      </w:r>
      <w:bookmarkEnd w:id="5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kvalitativní a jiné podmínky pro zhotovení díla a že disponuje takovými kapacitami a odbornými znalostmi, které jsou k plnění dle této smlouvy nezbytné.</w:t>
      </w:r>
    </w:p>
    <w:p>
      <w:pPr>
        <w:pStyle w:val="Style12"/>
        <w:keepNext/>
        <w:keepLines/>
        <w:widowControl w:val="0"/>
        <w:numPr>
          <w:ilvl w:val="0"/>
          <w:numId w:val="1"/>
        </w:numPr>
        <w:shd w:val="clear" w:color="auto" w:fill="auto"/>
        <w:tabs>
          <w:tab w:pos="382" w:val="left"/>
        </w:tabs>
        <w:bidi w:val="0"/>
        <w:spacing w:before="0" w:after="200" w:line="240" w:lineRule="auto"/>
        <w:ind w:left="380" w:right="0" w:hanging="38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58"/>
      <w:bookmarkEnd w:id="59"/>
      <w:bookmarkEnd w:id="61"/>
    </w:p>
    <w:p>
      <w:pPr>
        <w:pStyle w:val="Style12"/>
        <w:keepNext/>
        <w:keepLines/>
        <w:widowControl w:val="0"/>
        <w:numPr>
          <w:ilvl w:val="0"/>
          <w:numId w:val="1"/>
        </w:numPr>
        <w:shd w:val="clear" w:color="auto" w:fill="auto"/>
        <w:tabs>
          <w:tab w:pos="382" w:val="left"/>
        </w:tabs>
        <w:bidi w:val="0"/>
        <w:spacing w:before="0" w:after="0" w:line="240" w:lineRule="auto"/>
        <w:ind w:left="380" w:right="0" w:hanging="38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Objednatel předá zhotoviteli pracoviště (nebo jeho ucelenou část) prosté práv třetích osob.</w:t>
      </w:r>
      <w:bookmarkEnd w:id="62"/>
      <w:bookmarkEnd w:id="63"/>
      <w:bookmarkEnd w:id="65"/>
    </w:p>
    <w:p>
      <w:pPr>
        <w:pStyle w:val="Style12"/>
        <w:keepNext/>
        <w:keepLines/>
        <w:widowControl w:val="0"/>
        <w:shd w:val="clear" w:color="auto" w:fill="auto"/>
        <w:bidi w:val="0"/>
        <w:spacing w:before="0" w:after="200" w:line="240" w:lineRule="auto"/>
        <w:ind w:left="380" w:right="0" w:firstLine="20"/>
        <w:jc w:val="both"/>
      </w:pPr>
      <w:bookmarkStart w:id="66" w:name="bookmark66"/>
      <w:bookmarkStart w:id="67" w:name="bookmark67"/>
      <w:bookmarkStart w:id="68" w:name="bookmark68"/>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66"/>
      <w:bookmarkEnd w:id="67"/>
      <w:bookmarkEnd w:id="68"/>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88" w:lineRule="auto"/>
        <w:ind w:left="380" w:right="0" w:hanging="380"/>
        <w:jc w:val="both"/>
      </w:pPr>
      <w:bookmarkStart w:id="69" w:name="bookmark69"/>
      <w:bookmarkEnd w:id="69"/>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72" w:val="left"/>
        </w:tabs>
        <w:bidi w:val="0"/>
        <w:spacing w:before="0" w:after="0" w:line="240" w:lineRule="auto"/>
        <w:ind w:left="0" w:right="0" w:firstLine="380"/>
        <w:jc w:val="both"/>
      </w:pPr>
      <w:bookmarkStart w:id="70" w:name="bookmark70"/>
      <w:bookmarkEnd w:id="70"/>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71" w:name="bookmark71"/>
      <w:bookmarkEnd w:id="71"/>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2.6.2025</w:t>
      </w:r>
    </w:p>
    <w:p>
      <w:pPr>
        <w:pStyle w:val="Style2"/>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72" w:name="bookmark72"/>
      <w:bookmarkEnd w:id="72"/>
      <w:r>
        <w:rPr>
          <w:b/>
          <w:bCs/>
          <w:color w:val="000000"/>
          <w:spacing w:val="0"/>
          <w:w w:val="100"/>
          <w:position w:val="0"/>
          <w:shd w:val="clear" w:color="auto" w:fill="auto"/>
          <w:lang w:val="cs-CZ" w:eastAsia="cs-CZ" w:bidi="cs-CZ"/>
        </w:rPr>
        <w:t>Dílčí termín pro dokončení 1.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31.7.2025</w:t>
      </w:r>
    </w:p>
    <w:p>
      <w:pPr>
        <w:pStyle w:val="Style2"/>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73" w:name="bookmark73"/>
      <w:bookmarkEnd w:id="73"/>
      <w:r>
        <w:rPr>
          <w:b/>
          <w:bCs/>
          <w:color w:val="000000"/>
          <w:spacing w:val="0"/>
          <w:w w:val="100"/>
          <w:position w:val="0"/>
          <w:shd w:val="clear" w:color="auto" w:fill="auto"/>
          <w:lang w:val="cs-CZ" w:eastAsia="cs-CZ" w:bidi="cs-CZ"/>
        </w:rPr>
        <w:t>předání a převzetí dokončeného díla včetně 2.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14.11.2025</w:t>
      </w:r>
    </w:p>
    <w:p>
      <w:pPr>
        <w:pStyle w:val="Style2"/>
        <w:keepNext w:val="0"/>
        <w:keepLines w:val="0"/>
        <w:widowControl w:val="0"/>
        <w:numPr>
          <w:ilvl w:val="0"/>
          <w:numId w:val="7"/>
        </w:numPr>
        <w:shd w:val="clear" w:color="auto" w:fill="auto"/>
        <w:tabs>
          <w:tab w:pos="806" w:val="left"/>
        </w:tabs>
        <w:bidi w:val="0"/>
        <w:spacing w:before="0" w:after="200" w:line="240" w:lineRule="auto"/>
        <w:ind w:left="720" w:right="0" w:hanging="320"/>
        <w:jc w:val="both"/>
      </w:pPr>
      <w:bookmarkStart w:id="74" w:name="bookmark74"/>
      <w:bookmarkEnd w:id="74"/>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after="200" w:line="288" w:lineRule="auto"/>
        <w:ind w:left="380" w:right="0" w:hanging="380"/>
        <w:jc w:val="both"/>
      </w:pPr>
      <w:bookmarkStart w:id="75" w:name="bookmark75"/>
      <w:bookmarkEnd w:id="75"/>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after="200" w:line="288" w:lineRule="auto"/>
        <w:ind w:left="380" w:right="0" w:hanging="380"/>
        <w:jc w:val="both"/>
      </w:pPr>
      <w:bookmarkStart w:id="76" w:name="bookmark76"/>
      <w:bookmarkEnd w:id="76"/>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0" w:line="288" w:lineRule="auto"/>
        <w:ind w:left="380" w:right="0" w:hanging="380"/>
        <w:jc w:val="both"/>
      </w:pPr>
      <w:bookmarkStart w:id="77" w:name="bookmark77"/>
      <w:bookmarkEnd w:id="77"/>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after="200" w:line="288"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kontrolním </w:t>
      </w:r>
      <w:r>
        <w:rPr>
          <w:color w:val="000000"/>
          <w:spacing w:val="0"/>
          <w:w w:val="100"/>
          <w:position w:val="0"/>
          <w:shd w:val="clear" w:color="auto" w:fill="auto"/>
          <w:lang w:val="cs-CZ" w:eastAsia="cs-CZ" w:bidi="cs-CZ"/>
        </w:rPr>
        <w:t>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32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303" w:val="left"/>
        </w:tabs>
        <w:bidi w:val="0"/>
        <w:spacing w:before="0" w:after="60" w:line="240" w:lineRule="auto"/>
        <w:ind w:left="380" w:right="0" w:firstLine="0"/>
        <w:jc w:val="both"/>
      </w:pPr>
      <w:r>
        <w:rPr>
          <w:color w:val="000000"/>
          <w:spacing w:val="0"/>
          <w:w w:val="100"/>
          <w:position w:val="0"/>
          <w:shd w:val="clear" w:color="auto" w:fill="auto"/>
          <w:lang w:val="cs-CZ" w:eastAsia="cs-CZ" w:bidi="cs-CZ"/>
        </w:rPr>
        <w:t>Dílčí cena za 1. seč:</w:t>
        <w:tab/>
        <w:t>98.734,00 Kč bez DPH</w:t>
      </w:r>
    </w:p>
    <w:p>
      <w:pPr>
        <w:pStyle w:val="Style2"/>
        <w:keepNext w:val="0"/>
        <w:keepLines w:val="0"/>
        <w:widowControl w:val="0"/>
        <w:shd w:val="clear" w:color="auto" w:fill="auto"/>
        <w:tabs>
          <w:tab w:pos="4303" w:val="left"/>
        </w:tabs>
        <w:bidi w:val="0"/>
        <w:spacing w:before="0" w:after="60" w:line="240" w:lineRule="auto"/>
        <w:ind w:left="380" w:right="0" w:firstLine="0"/>
        <w:jc w:val="both"/>
      </w:pPr>
      <w:r>
        <w:rPr>
          <w:color w:val="000000"/>
          <w:spacing w:val="0"/>
          <w:w w:val="100"/>
          <w:position w:val="0"/>
          <w:shd w:val="clear" w:color="auto" w:fill="auto"/>
          <w:lang w:val="cs-CZ" w:eastAsia="cs-CZ" w:bidi="cs-CZ"/>
        </w:rPr>
        <w:t>Dílčí cena za 2. seč:</w:t>
        <w:tab/>
        <w:t>98.734,00 Kč bez DPH</w:t>
      </w:r>
    </w:p>
    <w:p>
      <w:pPr>
        <w:pStyle w:val="Style2"/>
        <w:keepNext w:val="0"/>
        <w:keepLines w:val="0"/>
        <w:widowControl w:val="0"/>
        <w:shd w:val="clear" w:color="auto" w:fill="auto"/>
        <w:tabs>
          <w:tab w:pos="4303" w:val="left"/>
        </w:tabs>
        <w:bidi w:val="0"/>
        <w:spacing w:before="0" w:after="420" w:line="240" w:lineRule="auto"/>
        <w:ind w:left="380" w:right="0" w:firstLine="0"/>
        <w:jc w:val="both"/>
      </w:pPr>
      <w:r>
        <w:rPr>
          <w:b/>
          <w:bCs/>
          <w:color w:val="000000"/>
          <w:spacing w:val="0"/>
          <w:w w:val="100"/>
          <w:position w:val="0"/>
          <w:shd w:val="clear" w:color="auto" w:fill="auto"/>
          <w:lang w:val="cs-CZ" w:eastAsia="cs-CZ" w:bidi="cs-CZ"/>
        </w:rPr>
        <w:t>Cena díla celkem:</w:t>
        <w:tab/>
        <w:t>197.468,00 Kč bez DPH</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82" w:name="bookmark82"/>
      <w:bookmarkEnd w:id="82"/>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6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ve formátu PDF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after="60" w:line="240" w:lineRule="auto"/>
        <w:ind w:left="0" w:right="0" w:firstLine="0"/>
        <w:jc w:val="both"/>
      </w:pPr>
      <w:bookmarkStart w:id="84" w:name="bookmark84"/>
      <w:bookmarkEnd w:id="84"/>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85" w:name="bookmark85"/>
      <w:bookmarkEnd w:id="85"/>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31.7.2025 (1.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86" w:name="bookmark86"/>
      <w:bookmarkEnd w:id="86"/>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1"/>
        </w:numPr>
        <w:shd w:val="clear" w:color="auto" w:fill="auto"/>
        <w:tabs>
          <w:tab w:pos="382" w:val="left"/>
        </w:tabs>
        <w:bidi w:val="0"/>
        <w:spacing w:before="0" w:after="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after="6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Pokud bude zhotovitel v prodlení proti dílčímu termínu předání a převzetí dokončené části díla (1. seče) sjednaného dle čl. II. odst. 1. písm. c) této smlouvy, je povinen zaplatit objednateli smluvní pokutu ve výši 0,2 % z celkové ceny díla bez DPH dle čl. III. této smlouvy za každý i započatý kalendářní den prodlení, až do dne podpisu zápisu o předání a převzetí dokončené části díla (1. seče).</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celkové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Při nesplnění termínu vyklizení pracoviště, oproti dohodnutému termínu v čl. II. odst.1. písm. e)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475" w:val="left"/>
        </w:tabs>
        <w:bidi w:val="0"/>
        <w:spacing w:before="0" w:after="20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475" w:val="left"/>
        </w:tabs>
        <w:bidi w:val="0"/>
        <w:spacing w:before="0" w:after="20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475" w:val="left"/>
        </w:tabs>
        <w:bidi w:val="0"/>
        <w:spacing w:before="0" w:after="20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60" w:val="left"/>
        </w:tabs>
        <w:bidi w:val="0"/>
        <w:spacing w:before="0" w:after="20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3"/>
        </w:numPr>
        <w:shd w:val="clear" w:color="auto" w:fill="auto"/>
        <w:tabs>
          <w:tab w:pos="986" w:val="left"/>
        </w:tabs>
        <w:bidi w:val="0"/>
        <w:spacing w:before="0" w:after="0" w:line="240" w:lineRule="auto"/>
        <w:ind w:left="0" w:right="0" w:firstLine="380"/>
        <w:jc w:val="both"/>
      </w:pPr>
      <w:bookmarkStart w:id="104" w:name="bookmark104"/>
      <w:bookmarkEnd w:id="10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3"/>
        </w:numPr>
        <w:shd w:val="clear" w:color="auto" w:fill="auto"/>
        <w:tabs>
          <w:tab w:pos="986" w:val="left"/>
        </w:tabs>
        <w:bidi w:val="0"/>
        <w:spacing w:before="0" w:after="0" w:line="240" w:lineRule="auto"/>
        <w:ind w:left="1020" w:right="0" w:hanging="580"/>
        <w:jc w:val="both"/>
      </w:pPr>
      <w:bookmarkStart w:id="105" w:name="bookmark105"/>
      <w:bookmarkEnd w:id="10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3"/>
        </w:numPr>
        <w:shd w:val="clear" w:color="auto" w:fill="auto"/>
        <w:tabs>
          <w:tab w:pos="986" w:val="left"/>
        </w:tabs>
        <w:bidi w:val="0"/>
        <w:spacing w:before="0" w:after="0" w:line="240" w:lineRule="auto"/>
        <w:ind w:left="1020" w:right="0" w:hanging="580"/>
        <w:jc w:val="both"/>
      </w:pPr>
      <w:bookmarkStart w:id="106" w:name="bookmark106"/>
      <w:bookmarkEnd w:id="10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76"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76" w:val="left"/>
        </w:tabs>
        <w:bidi w:val="0"/>
        <w:spacing w:before="0" w:after="14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85" w:left="1393" w:right="1386" w:bottom="1224" w:header="0" w:footer="3" w:gutter="0"/>
          <w:pgNumType w:start="1"/>
          <w:cols w:space="720"/>
          <w:noEndnote/>
          <w:rtlGutter w:val="0"/>
          <w:docGrid w:linePitch="360"/>
        </w:sectPr>
      </w:pPr>
      <w:bookmarkStart w:id="108" w:name="bookmark108"/>
      <w:bookmarkEnd w:id="108"/>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12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7" w:val="left"/>
        </w:tabs>
        <w:bidi w:val="0"/>
        <w:spacing w:before="0" w:after="30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7" w:val="left"/>
        </w:tabs>
        <w:bidi w:val="0"/>
        <w:spacing w:before="0" w:after="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prodlení zhotovitele o více než 14 kalendářních dnů oproti lhůtám a termínům ujednaným v čl. II. odst.1 této smlouvy.</w:t>
      </w:r>
      <w:bookmarkEnd w:id="116"/>
      <w:bookmarkEnd w:id="117"/>
      <w:bookmarkEnd w:id="119"/>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bezdůvodném přerušení prací zhotovitele, které trvá více než 14 dnů,</w:t>
      </w:r>
      <w:bookmarkEnd w:id="120"/>
      <w:bookmarkEnd w:id="121"/>
      <w:bookmarkEnd w:id="123"/>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24"/>
      <w:bookmarkEnd w:id="125"/>
      <w:bookmarkEnd w:id="127"/>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neplněním povinností zhotovitele vést řádně zápisy do stavebního deníku.</w:t>
      </w:r>
      <w:bookmarkEnd w:id="128"/>
      <w:bookmarkEnd w:id="129"/>
      <w:bookmarkEnd w:id="131"/>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200" w:line="240" w:lineRule="auto"/>
        <w:ind w:left="0" w:right="0" w:firstLine="0"/>
        <w:jc w:val="left"/>
      </w:pPr>
      <w:bookmarkStart w:id="140" w:name="bookmark140"/>
      <w:bookmarkEnd w:id="14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440" w:line="240" w:lineRule="auto"/>
        <w:ind w:left="380" w:right="0" w:firstLine="0"/>
        <w:jc w:val="left"/>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93" w:left="1394" w:right="1389" w:bottom="1226"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4085590</wp:posOffset>
                </wp:positionH>
                <wp:positionV relativeFrom="paragraph">
                  <wp:posOffset>12700</wp:posOffset>
                </wp:positionV>
                <wp:extent cx="1222375" cy="228600"/>
                <wp:wrapSquare wrapText="left"/>
                <wp:docPr id="9" name="Shape 9"/>
                <a:graphic xmlns:a="http://schemas.openxmlformats.org/drawingml/2006/main">
                  <a:graphicData uri="http://schemas.microsoft.com/office/word/2010/wordprocessingShape">
                    <wps:wsp>
                      <wps:cNvSpPr txBox="1"/>
                      <wps:spPr>
                        <a:xfrm>
                          <a:ext cx="1222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35" type="#_x0000_t202" style="position:absolute;margin-left:321.69999999999999pt;margin-top:1.pt;width:96.25pt;height:18.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HAGL, spol. s r.o.</w:t>
      </w:r>
    </w:p>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5989955</wp:posOffset>
              </wp:positionH>
              <wp:positionV relativeFrom="page">
                <wp:posOffset>9973310</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1.65000000000003pt;margin-top:785.30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3362325</wp:posOffset>
              </wp:positionH>
              <wp:positionV relativeFrom="page">
                <wp:posOffset>394970</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4.75pt;margin-top:31.10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55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