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363/2025</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884555</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50000000000006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Jílovský p. v Libouchci - sečení travních porostů 2025</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884555</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650000000000006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HAGL, spol. s 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Na Sklípku 880, 400 07 Ústí nad Labem</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25408321</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25408321</w:t>
      </w:r>
    </w:p>
    <w:p>
      <w:pPr>
        <w:pStyle w:val="Style2"/>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79" w:val="left"/>
        </w:tabs>
        <w:bidi w:val="0"/>
        <w:spacing w:before="0" w:after="320" w:line="240" w:lineRule="auto"/>
        <w:ind w:left="360" w:right="0" w:hanging="36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Jílovský p. v Libouchci - sečení travních porostů 2025</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79" w:val="left"/>
        </w:tabs>
        <w:bidi w:val="0"/>
        <w:spacing w:before="0" w:after="60" w:line="240" w:lineRule="auto"/>
        <w:ind w:left="360" w:right="0" w:hanging="36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sečení travních porostů v průtočném profilu vodního toku (VT) Jílovský potok v Libouchci (ř. km 11,070-15,234).</w:t>
      </w:r>
      <w:bookmarkEnd w:id="11"/>
      <w:bookmarkEnd w:id="8"/>
      <w:bookmarkEnd w:id="9"/>
    </w:p>
    <w:p>
      <w:pPr>
        <w:pStyle w:val="Style2"/>
        <w:keepNext w:val="0"/>
        <w:keepLines w:val="0"/>
        <w:widowControl w:val="0"/>
        <w:shd w:val="clear" w:color="auto" w:fill="auto"/>
        <w:bidi w:val="0"/>
        <w:spacing w:before="0" w:after="6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60" w:line="230" w:lineRule="auto"/>
        <w:ind w:left="72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Sekání travních porostů v opevněném profilu VT na ploše 37283 m2 </w:t>
      </w:r>
      <w:r>
        <w:rPr>
          <w:color w:val="000000"/>
          <w:spacing w:val="0"/>
          <w:w w:val="100"/>
          <w:position w:val="0"/>
          <w:shd w:val="clear" w:color="auto" w:fill="auto"/>
          <w:lang w:val="cs-CZ" w:eastAsia="cs-CZ" w:bidi="cs-CZ"/>
        </w:rPr>
        <w:t xml:space="preserve">(20089 m2 na dně a 17194 m2 na březích) </w:t>
      </w:r>
      <w:r>
        <w:rPr>
          <w:b/>
          <w:bCs/>
          <w:color w:val="000000"/>
          <w:spacing w:val="0"/>
          <w:w w:val="100"/>
          <w:position w:val="0"/>
          <w:shd w:val="clear" w:color="auto" w:fill="auto"/>
          <w:lang w:val="cs-CZ" w:eastAsia="cs-CZ" w:bidi="cs-CZ"/>
        </w:rPr>
        <w:t>v rámci jedné seče.</w:t>
      </w:r>
    </w:p>
    <w:p>
      <w:pPr>
        <w:pStyle w:val="Style2"/>
        <w:keepNext w:val="0"/>
        <w:keepLines w:val="0"/>
        <w:widowControl w:val="0"/>
        <w:shd w:val="clear" w:color="auto" w:fill="auto"/>
        <w:bidi w:val="0"/>
        <w:spacing w:before="0" w:after="0" w:line="240" w:lineRule="auto"/>
        <w:ind w:left="360" w:right="0" w:firstLine="20"/>
        <w:jc w:val="both"/>
      </w:pPr>
      <w:r>
        <w:rPr>
          <w:b/>
          <w:bCs/>
          <w:color w:val="000000"/>
          <w:spacing w:val="0"/>
          <w:w w:val="100"/>
          <w:position w:val="0"/>
          <w:shd w:val="clear" w:color="auto" w:fill="auto"/>
          <w:lang w:val="cs-CZ" w:eastAsia="cs-CZ" w:bidi="cs-CZ"/>
        </w:rPr>
        <w:t xml:space="preserve">Budou provedeny 2 seče v kalendářním roce 2025 </w:t>
      </w:r>
      <w:r>
        <w:rPr>
          <w:color w:val="000000"/>
          <w:spacing w:val="0"/>
          <w:w w:val="100"/>
          <w:position w:val="0"/>
          <w:shd w:val="clear" w:color="auto" w:fill="auto"/>
          <w:lang w:val="cs-CZ" w:eastAsia="cs-CZ" w:bidi="cs-CZ"/>
        </w:rPr>
        <w:t>(1. seč červen-červenec, 2. seč říjen-listopad). Termín započetí jednotlivých sečí bude upřesněn technickým dozorem investora (TDI).</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Posekané travní porosty budou průběžně vyhrabávány z průtočného profilu, odvezeny a zlikvidovány v souladu s příslušnými právními předpisy.</w:t>
      </w:r>
    </w:p>
    <w:p>
      <w:pPr>
        <w:pStyle w:val="Style2"/>
        <w:keepNext w:val="0"/>
        <w:keepLines w:val="0"/>
        <w:widowControl w:val="0"/>
        <w:shd w:val="clear" w:color="auto" w:fill="auto"/>
        <w:bidi w:val="0"/>
        <w:spacing w:before="0" w:line="240" w:lineRule="auto"/>
        <w:ind w:left="360" w:right="0" w:firstLine="20"/>
        <w:jc w:val="left"/>
      </w:pPr>
      <w:r>
        <w:rPr>
          <w:color w:val="000000"/>
          <w:spacing w:val="0"/>
          <w:w w:val="100"/>
          <w:position w:val="0"/>
          <w:shd w:val="clear" w:color="auto" w:fill="auto"/>
          <w:lang w:val="cs-CZ" w:eastAsia="cs-CZ" w:bidi="cs-CZ"/>
        </w:rPr>
        <w:t xml:space="preserve">Místo provádění díla: koryto vodního toku Jílovský potok v úseku od sil. mostu v Jílovém u č. p. 107 (50.7610881N, 14.1003469E), po most v Modré u č.p. 75 (50.7594114N, 14.0813933E) </w:t>
      </w:r>
      <w:r>
        <w:rPr>
          <w:b/>
          <w:bCs/>
          <w:color w:val="000000"/>
          <w:spacing w:val="0"/>
          <w:w w:val="100"/>
          <w:position w:val="0"/>
          <w:shd w:val="clear" w:color="auto" w:fill="auto"/>
          <w:lang w:val="cs-CZ" w:eastAsia="cs-CZ" w:bidi="cs-CZ"/>
        </w:rPr>
        <w:t xml:space="preserve">– viz příloha č . 2 – Situace. </w:t>
      </w:r>
      <w:r>
        <w:rPr>
          <w:color w:val="000000"/>
          <w:spacing w:val="0"/>
          <w:w w:val="100"/>
          <w:position w:val="0"/>
          <w:shd w:val="clear" w:color="auto" w:fill="auto"/>
          <w:lang w:val="cs-CZ" w:eastAsia="cs-CZ" w:bidi="cs-CZ"/>
        </w:rPr>
        <w:t>Jedná se o tyto pozemky ve správě Povodí Ohře, státní podnik: k. ú. Modrá u Děčína - p. p. č. 604/6, 1044/4, 1087/1, 1467/2</w:t>
      </w:r>
    </w:p>
    <w:p>
      <w:pPr>
        <w:pStyle w:val="Style12"/>
        <w:keepNext/>
        <w:keepLines/>
        <w:widowControl w:val="0"/>
        <w:numPr>
          <w:ilvl w:val="0"/>
          <w:numId w:val="1"/>
        </w:numPr>
        <w:shd w:val="clear" w:color="auto" w:fill="auto"/>
        <w:tabs>
          <w:tab w:pos="379" w:val="left"/>
        </w:tabs>
        <w:bidi w:val="0"/>
        <w:spacing w:before="0" w:after="180" w:line="240" w:lineRule="auto"/>
        <w:ind w:left="360" w:right="0" w:hanging="36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2"/>
      <w:bookmarkEnd w:id="13"/>
      <w:bookmarkEnd w:id="15"/>
    </w:p>
    <w:p>
      <w:pPr>
        <w:pStyle w:val="Style12"/>
        <w:keepNext/>
        <w:keepLines/>
        <w:widowControl w:val="0"/>
        <w:numPr>
          <w:ilvl w:val="0"/>
          <w:numId w:val="1"/>
        </w:numPr>
        <w:shd w:val="clear" w:color="auto" w:fill="auto"/>
        <w:tabs>
          <w:tab w:pos="379" w:val="left"/>
        </w:tabs>
        <w:bidi w:val="0"/>
        <w:spacing w:before="0" w:after="0" w:line="240" w:lineRule="auto"/>
        <w:ind w:left="0" w:right="0" w:firstLine="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Za předmět díla se dále považuje:</w:t>
      </w:r>
      <w:bookmarkEnd w:id="16"/>
      <w:bookmarkEnd w:id="17"/>
      <w:bookmarkEnd w:id="19"/>
    </w:p>
    <w:p>
      <w:pPr>
        <w:pStyle w:val="Style12"/>
        <w:keepNext/>
        <w:keepLines/>
        <w:widowControl w:val="0"/>
        <w:numPr>
          <w:ilvl w:val="0"/>
          <w:numId w:val="3"/>
        </w:numPr>
        <w:shd w:val="clear" w:color="auto" w:fill="auto"/>
        <w:tabs>
          <w:tab w:pos="773" w:val="left"/>
        </w:tabs>
        <w:bidi w:val="0"/>
        <w:spacing w:before="0" w:after="0" w:line="240" w:lineRule="auto"/>
        <w:ind w:left="720"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0"/>
      <w:bookmarkEnd w:id="21"/>
      <w:bookmarkEnd w:id="23"/>
    </w:p>
    <w:p>
      <w:pPr>
        <w:pStyle w:val="Style12"/>
        <w:keepNext/>
        <w:keepLines/>
        <w:widowControl w:val="0"/>
        <w:numPr>
          <w:ilvl w:val="0"/>
          <w:numId w:val="3"/>
        </w:numPr>
        <w:shd w:val="clear" w:color="auto" w:fill="auto"/>
        <w:tabs>
          <w:tab w:pos="783" w:val="left"/>
        </w:tabs>
        <w:bidi w:val="0"/>
        <w:spacing w:before="0" w:after="0" w:line="240" w:lineRule="auto"/>
        <w:ind w:left="720" w:right="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zajištění povolení ke vstupu a vjezdu na pozemky (mimo pozemků ve vlastnictví objednatele),</w:t>
      </w:r>
      <w:bookmarkEnd w:id="24"/>
      <w:bookmarkEnd w:id="25"/>
      <w:bookmarkEnd w:id="27"/>
    </w:p>
    <w:p>
      <w:pPr>
        <w:pStyle w:val="Style12"/>
        <w:keepNext/>
        <w:keepLines/>
        <w:widowControl w:val="0"/>
        <w:numPr>
          <w:ilvl w:val="0"/>
          <w:numId w:val="3"/>
        </w:numPr>
        <w:shd w:val="clear" w:color="auto" w:fill="auto"/>
        <w:tabs>
          <w:tab w:pos="783" w:val="left"/>
        </w:tabs>
        <w:bidi w:val="0"/>
        <w:spacing w:before="0" w:after="0" w:line="240" w:lineRule="auto"/>
        <w:ind w:left="720"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28"/>
      <w:bookmarkEnd w:id="29"/>
      <w:bookmarkEnd w:id="31"/>
    </w:p>
    <w:p>
      <w:pPr>
        <w:pStyle w:val="Style12"/>
        <w:keepNext/>
        <w:keepLines/>
        <w:widowControl w:val="0"/>
        <w:numPr>
          <w:ilvl w:val="0"/>
          <w:numId w:val="3"/>
        </w:numPr>
        <w:shd w:val="clear" w:color="auto" w:fill="auto"/>
        <w:tabs>
          <w:tab w:pos="763" w:val="left"/>
        </w:tabs>
        <w:bidi w:val="0"/>
        <w:spacing w:before="0" w:after="0" w:line="240" w:lineRule="auto"/>
        <w:ind w:left="0" w:right="0" w:firstLine="36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zajištění povolení zvláštního užívání pozemní komunikace, bude-li potřeba,</w:t>
      </w:r>
      <w:bookmarkEnd w:id="32"/>
      <w:bookmarkEnd w:id="33"/>
      <w:bookmarkEnd w:id="35"/>
    </w:p>
    <w:p>
      <w:pPr>
        <w:pStyle w:val="Style12"/>
        <w:keepNext/>
        <w:keepLines/>
        <w:widowControl w:val="0"/>
        <w:numPr>
          <w:ilvl w:val="0"/>
          <w:numId w:val="3"/>
        </w:numPr>
        <w:shd w:val="clear" w:color="auto" w:fill="auto"/>
        <w:tabs>
          <w:tab w:pos="783" w:val="left"/>
        </w:tabs>
        <w:bidi w:val="0"/>
        <w:spacing w:before="0" w:after="0" w:line="240" w:lineRule="auto"/>
        <w:ind w:left="720"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6"/>
      <w:bookmarkEnd w:id="37"/>
      <w:bookmarkEnd w:id="39"/>
    </w:p>
    <w:p>
      <w:pPr>
        <w:pStyle w:val="Style12"/>
        <w:keepNext/>
        <w:keepLines/>
        <w:widowControl w:val="0"/>
        <w:numPr>
          <w:ilvl w:val="0"/>
          <w:numId w:val="3"/>
        </w:numPr>
        <w:shd w:val="clear" w:color="auto" w:fill="auto"/>
        <w:tabs>
          <w:tab w:pos="763" w:val="left"/>
        </w:tabs>
        <w:bidi w:val="0"/>
        <w:spacing w:before="0" w:after="0" w:line="240" w:lineRule="auto"/>
        <w:ind w:left="0" w:right="0" w:firstLine="36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zhotovitel zodpovídá za místo realizace díla i v době přerušení prací,</w:t>
      </w:r>
      <w:bookmarkEnd w:id="40"/>
      <w:bookmarkEnd w:id="41"/>
      <w:bookmarkEnd w:id="43"/>
    </w:p>
    <w:p>
      <w:pPr>
        <w:pStyle w:val="Style12"/>
        <w:keepNext/>
        <w:keepLines/>
        <w:widowControl w:val="0"/>
        <w:numPr>
          <w:ilvl w:val="0"/>
          <w:numId w:val="3"/>
        </w:numPr>
        <w:shd w:val="clear" w:color="auto" w:fill="auto"/>
        <w:tabs>
          <w:tab w:pos="783" w:val="left"/>
        </w:tabs>
        <w:bidi w:val="0"/>
        <w:spacing w:before="0" w:after="0" w:line="240" w:lineRule="auto"/>
        <w:ind w:left="72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4"/>
      <w:bookmarkEnd w:id="45"/>
      <w:bookmarkEnd w:id="47"/>
    </w:p>
    <w:p>
      <w:pPr>
        <w:pStyle w:val="Style12"/>
        <w:keepNext/>
        <w:keepLines/>
        <w:widowControl w:val="0"/>
        <w:numPr>
          <w:ilvl w:val="0"/>
          <w:numId w:val="3"/>
        </w:numPr>
        <w:shd w:val="clear" w:color="auto" w:fill="auto"/>
        <w:tabs>
          <w:tab w:pos="783" w:val="left"/>
        </w:tabs>
        <w:bidi w:val="0"/>
        <w:spacing w:before="0" w:after="0" w:line="240" w:lineRule="auto"/>
        <w:ind w:left="720" w:right="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48"/>
      <w:bookmarkEnd w:id="49"/>
      <w:bookmarkEnd w:id="51"/>
    </w:p>
    <w:p>
      <w:pPr>
        <w:pStyle w:val="Style12"/>
        <w:keepNext/>
        <w:keepLines/>
        <w:widowControl w:val="0"/>
        <w:numPr>
          <w:ilvl w:val="0"/>
          <w:numId w:val="3"/>
        </w:numPr>
        <w:shd w:val="clear" w:color="auto" w:fill="auto"/>
        <w:tabs>
          <w:tab w:pos="783" w:val="left"/>
        </w:tabs>
        <w:bidi w:val="0"/>
        <w:spacing w:before="0" w:after="180" w:line="240" w:lineRule="auto"/>
        <w:ind w:left="720"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2"/>
      <w:bookmarkEnd w:id="53"/>
      <w:bookmarkEnd w:id="55"/>
    </w:p>
    <w:p>
      <w:pPr>
        <w:pStyle w:val="Style2"/>
        <w:keepNext w:val="0"/>
        <w:keepLines w:val="0"/>
        <w:widowControl w:val="0"/>
        <w:numPr>
          <w:ilvl w:val="0"/>
          <w:numId w:val="1"/>
        </w:numPr>
        <w:shd w:val="clear" w:color="auto" w:fill="auto"/>
        <w:tabs>
          <w:tab w:pos="379" w:val="left"/>
        </w:tabs>
        <w:bidi w:val="0"/>
        <w:spacing w:before="0" w:after="200" w:line="240" w:lineRule="auto"/>
        <w:ind w:left="360" w:right="0" w:hanging="360"/>
        <w:jc w:val="both"/>
      </w:pPr>
      <w:bookmarkStart w:id="56" w:name="bookmark56"/>
      <w:bookmarkStart w:id="57" w:name="bookmark57"/>
      <w:bookmarkEnd w:id="5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w:t>
      </w:r>
      <w:bookmarkEnd w:id="5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kvalitativní a jiné podmínky pro zhotovení díla a že disponuje takovými kapacitami a odbornými znalostmi, které jsou k plnění dle této smlouvy nezbytné.</w:t>
      </w:r>
    </w:p>
    <w:p>
      <w:pPr>
        <w:pStyle w:val="Style12"/>
        <w:keepNext/>
        <w:keepLines/>
        <w:widowControl w:val="0"/>
        <w:numPr>
          <w:ilvl w:val="0"/>
          <w:numId w:val="1"/>
        </w:numPr>
        <w:shd w:val="clear" w:color="auto" w:fill="auto"/>
        <w:tabs>
          <w:tab w:pos="382" w:val="left"/>
        </w:tabs>
        <w:bidi w:val="0"/>
        <w:spacing w:before="0" w:after="200" w:line="240" w:lineRule="auto"/>
        <w:ind w:left="380" w:right="0" w:hanging="38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58"/>
      <w:bookmarkEnd w:id="59"/>
      <w:bookmarkEnd w:id="61"/>
    </w:p>
    <w:p>
      <w:pPr>
        <w:pStyle w:val="Style12"/>
        <w:keepNext/>
        <w:keepLines/>
        <w:widowControl w:val="0"/>
        <w:numPr>
          <w:ilvl w:val="0"/>
          <w:numId w:val="1"/>
        </w:numPr>
        <w:shd w:val="clear" w:color="auto" w:fill="auto"/>
        <w:tabs>
          <w:tab w:pos="382" w:val="left"/>
        </w:tabs>
        <w:bidi w:val="0"/>
        <w:spacing w:before="0" w:after="0" w:line="240" w:lineRule="auto"/>
        <w:ind w:left="380" w:right="0" w:hanging="38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Objednatel předá zhotoviteli pracoviště (nebo jeho ucelenou část) prosté práv třetích osob.</w:t>
      </w:r>
      <w:bookmarkEnd w:id="62"/>
      <w:bookmarkEnd w:id="63"/>
      <w:bookmarkEnd w:id="65"/>
    </w:p>
    <w:p>
      <w:pPr>
        <w:pStyle w:val="Style12"/>
        <w:keepNext/>
        <w:keepLines/>
        <w:widowControl w:val="0"/>
        <w:shd w:val="clear" w:color="auto" w:fill="auto"/>
        <w:bidi w:val="0"/>
        <w:spacing w:before="0" w:after="200" w:line="240" w:lineRule="auto"/>
        <w:ind w:left="380" w:right="0" w:firstLine="20"/>
        <w:jc w:val="both"/>
      </w:pPr>
      <w:bookmarkStart w:id="66" w:name="bookmark66"/>
      <w:bookmarkStart w:id="67" w:name="bookmark67"/>
      <w:bookmarkStart w:id="68" w:name="bookmark68"/>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66"/>
      <w:bookmarkEnd w:id="67"/>
      <w:bookmarkEnd w:id="68"/>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69" w:name="bookmark69"/>
      <w:bookmarkEnd w:id="69"/>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70" w:name="bookmark70"/>
      <w:bookmarkEnd w:id="70"/>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71" w:name="bookmark71"/>
      <w:bookmarkEnd w:id="71"/>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Bez zbytečného odkladu po převzetí pracoviště, nejdříve však od 2.6.2025</w:t>
      </w:r>
    </w:p>
    <w:p>
      <w:pPr>
        <w:pStyle w:val="Style2"/>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72" w:name="bookmark72"/>
      <w:bookmarkEnd w:id="72"/>
      <w:r>
        <w:rPr>
          <w:b/>
          <w:bCs/>
          <w:color w:val="000000"/>
          <w:spacing w:val="0"/>
          <w:w w:val="100"/>
          <w:position w:val="0"/>
          <w:shd w:val="clear" w:color="auto" w:fill="auto"/>
          <w:lang w:val="cs-CZ" w:eastAsia="cs-CZ" w:bidi="cs-CZ"/>
        </w:rPr>
        <w:t>Dílčí termín pro dokončení 1. seče:</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31.7.2025</w:t>
      </w:r>
    </w:p>
    <w:p>
      <w:pPr>
        <w:pStyle w:val="Style2"/>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73" w:name="bookmark73"/>
      <w:bookmarkEnd w:id="73"/>
      <w:r>
        <w:rPr>
          <w:b/>
          <w:bCs/>
          <w:color w:val="000000"/>
          <w:spacing w:val="0"/>
          <w:w w:val="100"/>
          <w:position w:val="0"/>
          <w:shd w:val="clear" w:color="auto" w:fill="auto"/>
          <w:lang w:val="cs-CZ" w:eastAsia="cs-CZ" w:bidi="cs-CZ"/>
        </w:rPr>
        <w:t>předání a převzetí dokončeného díla včetně 2. seče:</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14.11.2025</w:t>
      </w:r>
    </w:p>
    <w:p>
      <w:pPr>
        <w:pStyle w:val="Style2"/>
        <w:keepNext w:val="0"/>
        <w:keepLines w:val="0"/>
        <w:widowControl w:val="0"/>
        <w:numPr>
          <w:ilvl w:val="0"/>
          <w:numId w:val="7"/>
        </w:numPr>
        <w:shd w:val="clear" w:color="auto" w:fill="auto"/>
        <w:tabs>
          <w:tab w:pos="806" w:val="left"/>
        </w:tabs>
        <w:bidi w:val="0"/>
        <w:spacing w:before="0" w:after="200" w:line="240" w:lineRule="auto"/>
        <w:ind w:left="720" w:right="0" w:hanging="320"/>
        <w:jc w:val="both"/>
      </w:pPr>
      <w:bookmarkStart w:id="74" w:name="bookmark74"/>
      <w:bookmarkEnd w:id="74"/>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75" w:name="bookmark75"/>
      <w:bookmarkEnd w:id="75"/>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76" w:name="bookmark76"/>
      <w:bookmarkEnd w:id="76"/>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0" w:line="288" w:lineRule="auto"/>
        <w:ind w:left="380" w:right="0" w:hanging="380"/>
        <w:jc w:val="both"/>
      </w:pPr>
      <w:bookmarkStart w:id="77" w:name="bookmark77"/>
      <w:bookmarkEnd w:id="77"/>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88"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přičemž jejich zajištění je podmínkou pro řádné dokončení díla. Odůvodněné změny budou po projednání oprávněnosti na kontrolním </w:t>
      </w:r>
      <w:r>
        <w:rPr>
          <w:color w:val="000000"/>
          <w:spacing w:val="0"/>
          <w:w w:val="100"/>
          <w:position w:val="0"/>
          <w:shd w:val="clear" w:color="auto" w:fill="auto"/>
          <w:lang w:val="cs-CZ" w:eastAsia="cs-CZ" w:bidi="cs-CZ"/>
        </w:rPr>
        <w:t>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303" w:val="left"/>
        </w:tabs>
        <w:bidi w:val="0"/>
        <w:spacing w:before="0" w:after="60" w:line="240" w:lineRule="auto"/>
        <w:ind w:left="380" w:right="0" w:firstLine="0"/>
        <w:jc w:val="both"/>
      </w:pPr>
      <w:r>
        <w:rPr>
          <w:color w:val="000000"/>
          <w:spacing w:val="0"/>
          <w:w w:val="100"/>
          <w:position w:val="0"/>
          <w:shd w:val="clear" w:color="auto" w:fill="auto"/>
          <w:lang w:val="cs-CZ" w:eastAsia="cs-CZ" w:bidi="cs-CZ"/>
        </w:rPr>
        <w:t>Dílčí cena za 1. seč:</w:t>
        <w:tab/>
        <w:t>95.966,00 Kč bez DPH</w:t>
      </w:r>
    </w:p>
    <w:p>
      <w:pPr>
        <w:pStyle w:val="Style2"/>
        <w:keepNext w:val="0"/>
        <w:keepLines w:val="0"/>
        <w:widowControl w:val="0"/>
        <w:shd w:val="clear" w:color="auto" w:fill="auto"/>
        <w:tabs>
          <w:tab w:pos="4303" w:val="left"/>
        </w:tabs>
        <w:bidi w:val="0"/>
        <w:spacing w:before="0" w:after="60" w:line="240" w:lineRule="auto"/>
        <w:ind w:left="380" w:right="0" w:firstLine="0"/>
        <w:jc w:val="both"/>
      </w:pPr>
      <w:r>
        <w:rPr>
          <w:color w:val="000000"/>
          <w:spacing w:val="0"/>
          <w:w w:val="100"/>
          <w:position w:val="0"/>
          <w:shd w:val="clear" w:color="auto" w:fill="auto"/>
          <w:lang w:val="cs-CZ" w:eastAsia="cs-CZ" w:bidi="cs-CZ"/>
        </w:rPr>
        <w:t>Dílčí cena za 2. seč:</w:t>
        <w:tab/>
        <w:t>95.966,00 Kč bez DPH</w:t>
      </w:r>
    </w:p>
    <w:p>
      <w:pPr>
        <w:pStyle w:val="Style2"/>
        <w:keepNext w:val="0"/>
        <w:keepLines w:val="0"/>
        <w:widowControl w:val="0"/>
        <w:shd w:val="clear" w:color="auto" w:fill="auto"/>
        <w:tabs>
          <w:tab w:pos="4303" w:val="left"/>
        </w:tabs>
        <w:bidi w:val="0"/>
        <w:spacing w:before="0" w:after="420" w:line="240" w:lineRule="auto"/>
        <w:ind w:left="380" w:right="0" w:firstLine="0"/>
        <w:jc w:val="both"/>
      </w:pPr>
      <w:r>
        <w:rPr>
          <w:b/>
          <w:bCs/>
          <w:color w:val="000000"/>
          <w:spacing w:val="0"/>
          <w:w w:val="100"/>
          <w:position w:val="0"/>
          <w:shd w:val="clear" w:color="auto" w:fill="auto"/>
          <w:lang w:val="cs-CZ" w:eastAsia="cs-CZ" w:bidi="cs-CZ"/>
        </w:rPr>
        <w:t>Cena díla celkem:</w:t>
        <w:tab/>
        <w:t>191.932,00 Kč bez DPH</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82" w:name="bookmark82"/>
      <w:bookmarkEnd w:id="82"/>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6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vystavovat nejpozději do 10 kalendářních dnů ode dne uskutečnění plnění.</w:t>
      </w:r>
    </w:p>
    <w:p>
      <w:pPr>
        <w:pStyle w:val="Style2"/>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 xml:space="preserve">Předat faktury lze i elektronicky ve formátu PDF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after="60" w:line="240" w:lineRule="auto"/>
        <w:ind w:left="0" w:right="0" w:firstLine="0"/>
        <w:jc w:val="both"/>
      </w:pPr>
      <w:bookmarkStart w:id="84" w:name="bookmark84"/>
      <w:bookmarkEnd w:id="84"/>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85" w:name="bookmark85"/>
      <w:bookmarkEnd w:id="85"/>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 xml:space="preserve">do 31.7.2025 (1. seč). </w:t>
      </w:r>
      <w:r>
        <w:rPr>
          <w:color w:val="000000"/>
          <w:spacing w:val="0"/>
          <w:w w:val="100"/>
          <w:position w:val="0"/>
          <w:shd w:val="clear" w:color="auto" w:fill="auto"/>
          <w:lang w:val="cs-CZ" w:eastAsia="cs-CZ" w:bidi="cs-CZ"/>
        </w:rPr>
        <w:t>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86" w:name="bookmark86"/>
      <w:bookmarkEnd w:id="86"/>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89" w:name="bookmark89"/>
      <w:bookmarkEnd w:id="8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after="6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Pokud bude zhotovitel v prodlení proti dílčímu termínu předání a převzetí dokončené části díla (1. seče) sjednaného dle čl. II. odst. 1. písm. c) této smlouvy, je povinen zaplatit objednateli smluvní pokutu ve výši 0,2 % z celkové ceny díla bez DPH dle čl. III. této smlouvy za každý i započatý kalendářní den prodlení, až do dne podpisu zápisu o předání a převzetí dokončené části díla (1. seče).</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celkové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Při nesplnění termínu vyklizení pracoviště, oproti dohodnutému termínu v čl. II. odst.1. písm. e)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475" w:val="left"/>
        </w:tabs>
        <w:bidi w:val="0"/>
        <w:spacing w:before="0" w:after="20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475" w:val="left"/>
        </w:tabs>
        <w:bidi w:val="0"/>
        <w:spacing w:before="0" w:after="20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475" w:val="left"/>
        </w:tabs>
        <w:bidi w:val="0"/>
        <w:spacing w:before="0" w:after="20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60" w:val="left"/>
        </w:tabs>
        <w:bidi w:val="0"/>
        <w:spacing w:before="0" w:after="200" w:line="240" w:lineRule="auto"/>
        <w:ind w:left="0" w:right="0" w:firstLine="0"/>
        <w:jc w:val="both"/>
      </w:pPr>
      <w:bookmarkStart w:id="103" w:name="bookmark103"/>
      <w:bookmarkEnd w:id="103"/>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86" w:val="left"/>
        </w:tabs>
        <w:bidi w:val="0"/>
        <w:spacing w:before="0" w:after="0" w:line="240" w:lineRule="auto"/>
        <w:ind w:left="0" w:right="0" w:firstLine="380"/>
        <w:jc w:val="both"/>
      </w:pPr>
      <w:bookmarkStart w:id="104" w:name="bookmark104"/>
      <w:bookmarkEnd w:id="104"/>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86" w:val="left"/>
        </w:tabs>
        <w:bidi w:val="0"/>
        <w:spacing w:before="0" w:after="0" w:line="240" w:lineRule="auto"/>
        <w:ind w:left="1020" w:right="0" w:hanging="580"/>
        <w:jc w:val="both"/>
      </w:pPr>
      <w:bookmarkStart w:id="105" w:name="bookmark105"/>
      <w:bookmarkEnd w:id="10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86" w:val="left"/>
        </w:tabs>
        <w:bidi w:val="0"/>
        <w:spacing w:before="0" w:after="0" w:line="240" w:lineRule="auto"/>
        <w:ind w:left="1020" w:right="0" w:hanging="580"/>
        <w:jc w:val="both"/>
      </w:pPr>
      <w:bookmarkStart w:id="106" w:name="bookmark106"/>
      <w:bookmarkEnd w:id="10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76"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76" w:val="left"/>
        </w:tabs>
        <w:bidi w:val="0"/>
        <w:spacing w:before="0" w:after="14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85" w:left="1393" w:right="1386" w:bottom="1224" w:header="0" w:footer="3" w:gutter="0"/>
          <w:pgNumType w:start="1"/>
          <w:cols w:space="720"/>
          <w:noEndnote/>
          <w:rtlGutter w:val="0"/>
          <w:docGrid w:linePitch="360"/>
        </w:sectPr>
      </w:pPr>
      <w:bookmarkStart w:id="108" w:name="bookmark108"/>
      <w:bookmarkEnd w:id="108"/>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12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7" w:val="left"/>
        </w:tabs>
        <w:bidi w:val="0"/>
        <w:spacing w:before="0" w:after="30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after="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4" w:val="left"/>
        </w:tabs>
        <w:bidi w:val="0"/>
        <w:spacing w:before="0" w:after="0" w:line="240" w:lineRule="auto"/>
        <w:ind w:left="1160" w:right="0" w:hanging="36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prodlení zhotovitele o více než 14 kalendářních dnů oproti lhůtám a termínům ujednaným v čl. II. odst.1 této smlouvy.</w:t>
      </w:r>
      <w:bookmarkEnd w:id="116"/>
      <w:bookmarkEnd w:id="117"/>
      <w:bookmarkEnd w:id="119"/>
    </w:p>
    <w:p>
      <w:pPr>
        <w:pStyle w:val="Style12"/>
        <w:keepNext/>
        <w:keepLines/>
        <w:widowControl w:val="0"/>
        <w:numPr>
          <w:ilvl w:val="0"/>
          <w:numId w:val="25"/>
        </w:numPr>
        <w:shd w:val="clear" w:color="auto" w:fill="auto"/>
        <w:tabs>
          <w:tab w:pos="1174" w:val="left"/>
        </w:tabs>
        <w:bidi w:val="0"/>
        <w:spacing w:before="0" w:after="0" w:line="240" w:lineRule="auto"/>
        <w:ind w:left="0" w:right="0" w:firstLine="80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bezdůvodném přerušení prací zhotovitele, které trvá více než 14 dnů,</w:t>
      </w:r>
      <w:bookmarkEnd w:id="120"/>
      <w:bookmarkEnd w:id="121"/>
      <w:bookmarkEnd w:id="123"/>
    </w:p>
    <w:p>
      <w:pPr>
        <w:pStyle w:val="Style12"/>
        <w:keepNext/>
        <w:keepLines/>
        <w:widowControl w:val="0"/>
        <w:numPr>
          <w:ilvl w:val="0"/>
          <w:numId w:val="25"/>
        </w:numPr>
        <w:shd w:val="clear" w:color="auto" w:fill="auto"/>
        <w:tabs>
          <w:tab w:pos="1376" w:val="left"/>
        </w:tabs>
        <w:bidi w:val="0"/>
        <w:spacing w:before="0" w:after="0" w:line="240" w:lineRule="auto"/>
        <w:ind w:left="1160" w:right="0" w:hanging="36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24"/>
      <w:bookmarkEnd w:id="125"/>
      <w:bookmarkEnd w:id="127"/>
    </w:p>
    <w:p>
      <w:pPr>
        <w:pStyle w:val="Style12"/>
        <w:keepNext/>
        <w:keepLines/>
        <w:widowControl w:val="0"/>
        <w:numPr>
          <w:ilvl w:val="0"/>
          <w:numId w:val="25"/>
        </w:numPr>
        <w:shd w:val="clear" w:color="auto" w:fill="auto"/>
        <w:tabs>
          <w:tab w:pos="1376" w:val="left"/>
        </w:tabs>
        <w:bidi w:val="0"/>
        <w:spacing w:before="0" w:after="180" w:line="240" w:lineRule="auto"/>
        <w:ind w:left="0" w:right="0" w:firstLine="80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neplněním povinností zhotovitele vést řádně zápisy do stavebního deníku.</w:t>
      </w:r>
      <w:bookmarkEnd w:id="128"/>
      <w:bookmarkEnd w:id="129"/>
      <w:bookmarkEnd w:id="131"/>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2755" w:val="left"/>
          <w:tab w:pos="4896" w:val="left"/>
          <w:tab w:pos="6907" w:val="left"/>
          <w:tab w:pos="8722" w:val="left"/>
        </w:tabs>
        <w:bidi w:val="0"/>
        <w:spacing w:before="0" w:after="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after="200" w:line="240" w:lineRule="auto"/>
        <w:ind w:left="0" w:right="0" w:firstLine="0"/>
        <w:jc w:val="left"/>
      </w:pPr>
      <w:bookmarkStart w:id="140" w:name="bookmark140"/>
      <w:bookmarkEnd w:id="14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42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tbl>
      <w:tblPr>
        <w:tblOverlap w:val="never"/>
        <w:jc w:val="center"/>
        <w:tblLayout w:type="fixed"/>
      </w:tblPr>
      <w:tblGrid>
        <w:gridCol w:w="3576"/>
        <w:gridCol w:w="5549"/>
      </w:tblGrid>
      <w:tr>
        <w:trPr>
          <w:trHeight w:val="1032"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Digitálně podepsal:</w:t>
            </w:r>
          </w:p>
        </w:tc>
      </w:tr>
      <w:tr>
        <w:trPr>
          <w:trHeight w:val="1603"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 za HAGL, spol. s r.o.</w:t>
            </w:r>
          </w:p>
        </w:tc>
      </w:tr>
    </w:tbl>
    <w:sectPr>
      <w:footnotePr>
        <w:pos w:val="pageBottom"/>
        <w:numFmt w:val="decimal"/>
        <w:numRestart w:val="continuous"/>
      </w:footnotePr>
      <w:pgSz w:w="11909" w:h="16838"/>
      <w:pgMar w:top="1093" w:left="1394" w:right="1389" w:bottom="122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5989955</wp:posOffset>
              </wp:positionH>
              <wp:positionV relativeFrom="page">
                <wp:posOffset>9973310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65000000000003pt;margin-top:785.30000000000007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3362325</wp:posOffset>
              </wp:positionH>
              <wp:positionV relativeFrom="page">
                <wp:posOffset>394970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75pt;margin-top:31.10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550" w:hanging="340"/>
      <w:outlineLvl w:val="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