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574BC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ajorHAnsi" w:eastAsia="Arial" w:hAnsiTheme="majorHAnsi" w:cstheme="majorHAnsi"/>
          <w:b/>
          <w:color w:val="000000"/>
        </w:rPr>
      </w:pPr>
      <w:r w:rsidRPr="0012393A">
        <w:rPr>
          <w:rFonts w:asciiTheme="majorHAnsi" w:eastAsia="Arial" w:hAnsiTheme="majorHAnsi" w:cstheme="majorHAnsi"/>
          <w:b/>
          <w:color w:val="000000"/>
        </w:rPr>
        <w:t>SMLOUVA O MARKETINGOVÉ SPOLUPRÁCI</w:t>
      </w:r>
    </w:p>
    <w:p w14:paraId="6E1C518C" w14:textId="77777777" w:rsidR="004700F5" w:rsidRPr="0012393A" w:rsidRDefault="004700F5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</w:p>
    <w:p w14:paraId="28481362" w14:textId="77777777" w:rsidR="0051698F" w:rsidRPr="00E8052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bCs/>
        </w:rPr>
      </w:pPr>
      <w:r w:rsidRPr="00E8052E">
        <w:rPr>
          <w:b/>
          <w:bCs/>
        </w:rPr>
        <w:t xml:space="preserve">Centrum experimentálního divadla, </w:t>
      </w:r>
      <w:proofErr w:type="spellStart"/>
      <w:r w:rsidRPr="00E8052E">
        <w:rPr>
          <w:b/>
          <w:bCs/>
        </w:rPr>
        <w:t>p.o</w:t>
      </w:r>
      <w:proofErr w:type="spellEnd"/>
      <w:r w:rsidRPr="00E8052E">
        <w:rPr>
          <w:b/>
          <w:bCs/>
        </w:rPr>
        <w:t>.</w:t>
      </w:r>
    </w:p>
    <w:p w14:paraId="701C6606" w14:textId="77777777" w:rsidR="0051698F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</w:pPr>
      <w:proofErr w:type="spellStart"/>
      <w:r>
        <w:t>HaDivadlo</w:t>
      </w:r>
      <w:proofErr w:type="spellEnd"/>
    </w:p>
    <w:p w14:paraId="0C82E2B4" w14:textId="77777777" w:rsidR="0051698F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</w:pPr>
      <w:r>
        <w:t>se sídlem Zelný trh 294/9, Brno 602 00</w:t>
      </w:r>
    </w:p>
    <w:p w14:paraId="143FC3DF" w14:textId="77777777" w:rsidR="0051698F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</w:pPr>
      <w:proofErr w:type="spellStart"/>
      <w:r>
        <w:t>lČO</w:t>
      </w:r>
      <w:proofErr w:type="spellEnd"/>
      <w:r>
        <w:t>: 00400921; DIČ: CZ00400921</w:t>
      </w:r>
    </w:p>
    <w:p w14:paraId="6D4A097E" w14:textId="77777777" w:rsidR="0051698F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</w:pPr>
      <w:r w:rsidRPr="00E8052E">
        <w:t xml:space="preserve">zastoupená Janem </w:t>
      </w:r>
      <w:proofErr w:type="spellStart"/>
      <w:r w:rsidRPr="00E8052E">
        <w:t>Búrikem</w:t>
      </w:r>
      <w:proofErr w:type="spellEnd"/>
      <w:r w:rsidRPr="00E8052E">
        <w:t>, ředitelem</w:t>
      </w:r>
    </w:p>
    <w:p w14:paraId="4C5B0B8D" w14:textId="1EB6AD6E" w:rsidR="0051698F" w:rsidRPr="00E8052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 w:rsidRPr="00E8052E">
        <w:rPr>
          <w:color w:val="000000"/>
        </w:rPr>
        <w:t xml:space="preserve">Číslo účtu: </w:t>
      </w:r>
      <w:r w:rsidR="000A39FD">
        <w:t>XXX</w:t>
      </w:r>
    </w:p>
    <w:p w14:paraId="5BD705E6" w14:textId="283FFC80" w:rsidR="0051698F" w:rsidRPr="00E8052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 w:rsidRPr="00E8052E">
        <w:rPr>
          <w:color w:val="000000"/>
        </w:rPr>
        <w:t xml:space="preserve">Plátce DPH: </w:t>
      </w:r>
      <w:r w:rsidR="000A39FD">
        <w:rPr>
          <w:color w:val="000000"/>
        </w:rPr>
        <w:t>XXX</w:t>
      </w:r>
    </w:p>
    <w:p w14:paraId="630A350D" w14:textId="77777777" w:rsidR="0051698F" w:rsidRPr="00E8052E" w:rsidRDefault="0051698F" w:rsidP="0051698F">
      <w:pPr>
        <w:keepNext/>
        <w:keepLines/>
        <w:spacing w:after="120" w:line="240" w:lineRule="auto"/>
        <w:ind w:left="567"/>
        <w:jc w:val="both"/>
      </w:pPr>
      <w:r w:rsidRPr="00E8052E">
        <w:t>Daňový domicil: ČR</w:t>
      </w:r>
    </w:p>
    <w:p w14:paraId="19A20E2A" w14:textId="77777777" w:rsidR="0051698F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  <w:r>
        <w:rPr>
          <w:color w:val="000000"/>
        </w:rPr>
        <w:t>(dále jen „</w:t>
      </w:r>
      <w:r>
        <w:rPr>
          <w:b/>
          <w:color w:val="000000"/>
        </w:rPr>
        <w:t>Divadlo</w:t>
      </w:r>
      <w:r>
        <w:rPr>
          <w:color w:val="000000"/>
        </w:rPr>
        <w:t>”)</w:t>
      </w:r>
    </w:p>
    <w:p w14:paraId="5995AB37" w14:textId="77777777" w:rsidR="0051698F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</w:p>
    <w:p w14:paraId="70AF648D" w14:textId="4D51E39C" w:rsidR="004700F5" w:rsidRPr="0012393A" w:rsidRDefault="00000000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a</w:t>
      </w:r>
    </w:p>
    <w:p w14:paraId="13B15FB3" w14:textId="77777777" w:rsidR="004700F5" w:rsidRPr="0012393A" w:rsidRDefault="004700F5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</w:p>
    <w:p w14:paraId="16B10DDA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  <w:proofErr w:type="spellStart"/>
      <w:r w:rsidRPr="0012393A">
        <w:rPr>
          <w:rFonts w:asciiTheme="majorHAnsi" w:eastAsia="Arial" w:hAnsiTheme="majorHAnsi" w:cstheme="majorHAnsi"/>
          <w:b/>
          <w:color w:val="000000"/>
        </w:rPr>
        <w:t>Dramox</w:t>
      </w:r>
      <w:proofErr w:type="spellEnd"/>
      <w:r w:rsidRPr="0012393A">
        <w:rPr>
          <w:rFonts w:asciiTheme="majorHAnsi" w:eastAsia="Arial" w:hAnsiTheme="majorHAnsi" w:cstheme="majorHAnsi"/>
          <w:b/>
          <w:color w:val="000000"/>
        </w:rPr>
        <w:t xml:space="preserve"> s.r.o.</w:t>
      </w:r>
    </w:p>
    <w:p w14:paraId="216D2409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se sídlem Bucharova 2928/</w:t>
      </w:r>
      <w:proofErr w:type="gramStart"/>
      <w:r w:rsidRPr="0012393A">
        <w:rPr>
          <w:rFonts w:asciiTheme="majorHAnsi" w:eastAsia="Arial" w:hAnsiTheme="majorHAnsi" w:cstheme="majorHAnsi"/>
          <w:color w:val="000000"/>
        </w:rPr>
        <w:t>14a</w:t>
      </w:r>
      <w:proofErr w:type="gramEnd"/>
      <w:r w:rsidRPr="0012393A">
        <w:rPr>
          <w:rFonts w:asciiTheme="majorHAnsi" w:eastAsia="Arial" w:hAnsiTheme="majorHAnsi" w:cstheme="majorHAnsi"/>
          <w:color w:val="000000"/>
        </w:rPr>
        <w:t xml:space="preserve">, Stodůlky, 158 00 Praha 5,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Aspira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Business Centre</w:t>
      </w:r>
    </w:p>
    <w:p w14:paraId="730C3DD1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proofErr w:type="spellStart"/>
      <w:r w:rsidRPr="0012393A">
        <w:rPr>
          <w:rFonts w:asciiTheme="majorHAnsi" w:eastAsia="Arial" w:hAnsiTheme="majorHAnsi" w:cstheme="majorHAnsi"/>
          <w:color w:val="000000"/>
        </w:rPr>
        <w:t>lČO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>: 09222103</w:t>
      </w:r>
    </w:p>
    <w:p w14:paraId="37AC5EE2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společnost zapsaná v obchodním rejstříku vedeném Městským soudem v Praze, oddíl C, vložka 332337</w:t>
      </w:r>
    </w:p>
    <w:p w14:paraId="6AC0C36A" w14:textId="2BAF15FC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zastoupená </w:t>
      </w:r>
      <w:r w:rsidR="000A39FD">
        <w:rPr>
          <w:rFonts w:asciiTheme="majorHAnsi" w:eastAsia="Arial" w:hAnsiTheme="majorHAnsi" w:cstheme="majorHAnsi"/>
          <w:color w:val="000000"/>
        </w:rPr>
        <w:t>XXX</w:t>
      </w:r>
      <w:r w:rsidRPr="0012393A">
        <w:rPr>
          <w:rFonts w:asciiTheme="majorHAnsi" w:eastAsia="Arial" w:hAnsiTheme="majorHAnsi" w:cstheme="majorHAnsi"/>
          <w:color w:val="000000"/>
        </w:rPr>
        <w:t>, prokuristou</w:t>
      </w:r>
    </w:p>
    <w:p w14:paraId="0015A602" w14:textId="2132AED1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plátce DPH: </w:t>
      </w:r>
      <w:r w:rsidR="000A39FD">
        <w:rPr>
          <w:rFonts w:asciiTheme="majorHAnsi" w:eastAsia="Arial" w:hAnsiTheme="majorHAnsi" w:cstheme="majorHAnsi"/>
          <w:color w:val="000000"/>
        </w:rPr>
        <w:t>XXX</w:t>
      </w:r>
    </w:p>
    <w:p w14:paraId="598E4ECD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(dále jen „</w:t>
      </w:r>
      <w:proofErr w:type="spellStart"/>
      <w:r w:rsidRPr="0012393A">
        <w:rPr>
          <w:rFonts w:asciiTheme="majorHAnsi" w:eastAsia="Arial" w:hAnsiTheme="majorHAnsi" w:cstheme="majorHAnsi"/>
          <w:b/>
          <w:color w:val="000000"/>
        </w:rPr>
        <w:t>Dramox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>”)</w:t>
      </w:r>
    </w:p>
    <w:p w14:paraId="4371F188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(Divadlo a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dále společné též jako „</w:t>
      </w:r>
      <w:r w:rsidRPr="0012393A">
        <w:rPr>
          <w:rFonts w:asciiTheme="majorHAnsi" w:eastAsia="Arial" w:hAnsiTheme="majorHAnsi" w:cstheme="majorHAnsi"/>
          <w:b/>
          <w:color w:val="000000"/>
        </w:rPr>
        <w:t>Smluvní strany</w:t>
      </w:r>
      <w:r w:rsidRPr="0012393A">
        <w:rPr>
          <w:rFonts w:asciiTheme="majorHAnsi" w:eastAsia="Arial" w:hAnsiTheme="majorHAnsi" w:cstheme="majorHAnsi"/>
          <w:color w:val="000000"/>
        </w:rPr>
        <w:t>“, každý samostatně jako „</w:t>
      </w:r>
      <w:r w:rsidRPr="0012393A">
        <w:rPr>
          <w:rFonts w:asciiTheme="majorHAnsi" w:eastAsia="Arial" w:hAnsiTheme="majorHAnsi" w:cstheme="majorHAnsi"/>
          <w:b/>
          <w:color w:val="000000"/>
        </w:rPr>
        <w:t>Smluvní strana</w:t>
      </w:r>
      <w:r w:rsidRPr="0012393A">
        <w:rPr>
          <w:rFonts w:asciiTheme="majorHAnsi" w:eastAsia="Arial" w:hAnsiTheme="majorHAnsi" w:cstheme="majorHAnsi"/>
          <w:color w:val="000000"/>
        </w:rPr>
        <w:t>“)</w:t>
      </w:r>
    </w:p>
    <w:p w14:paraId="054BB478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Smluvní strany se dohodly níže uvedeného dne, měsíce a roku uzavřít tuto smlouvou ve smyslu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ust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>. §1746 odst. 2 a násl. zákona č. 89/2012 Sb., občanský zákoník, ve znění pozdějších předpisů („</w:t>
      </w:r>
      <w:r w:rsidRPr="0012393A">
        <w:rPr>
          <w:rFonts w:asciiTheme="majorHAnsi" w:eastAsia="Arial" w:hAnsiTheme="majorHAnsi" w:cstheme="majorHAnsi"/>
          <w:b/>
          <w:color w:val="000000"/>
        </w:rPr>
        <w:t>Smlouva</w:t>
      </w:r>
      <w:r w:rsidRPr="0012393A">
        <w:rPr>
          <w:rFonts w:asciiTheme="majorHAnsi" w:eastAsia="Arial" w:hAnsiTheme="majorHAnsi" w:cstheme="majorHAnsi"/>
          <w:color w:val="000000"/>
        </w:rPr>
        <w:t>“).</w:t>
      </w:r>
    </w:p>
    <w:p w14:paraId="44570CB3" w14:textId="77777777" w:rsidR="004700F5" w:rsidRPr="0012393A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b/>
          <w:color w:val="000000"/>
        </w:rPr>
        <w:t>PŘEDMĚT SMLOUVY</w:t>
      </w:r>
      <w:r w:rsidRPr="0012393A">
        <w:rPr>
          <w:rFonts w:asciiTheme="majorHAnsi" w:eastAsia="Arial" w:hAnsiTheme="majorHAnsi" w:cstheme="majorHAnsi"/>
          <w:b/>
          <w:color w:val="000000"/>
        </w:rPr>
        <w:tab/>
      </w:r>
      <w:r w:rsidRPr="0012393A">
        <w:rPr>
          <w:rFonts w:asciiTheme="majorHAnsi" w:eastAsia="Arial" w:hAnsiTheme="majorHAnsi" w:cstheme="majorHAnsi"/>
          <w:b/>
          <w:color w:val="000000"/>
        </w:rPr>
        <w:tab/>
      </w:r>
    </w:p>
    <w:p w14:paraId="5A8F1634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Předmětem této Smlouvy je závazek Divadla poskytovat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marketingové materiály ( PR texty, rozhovory atp.) týkající se inscenace uvedené v Příloze č. 1 této smlouvy, pro podporu činnosti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spočívající v zpřístupňování záznamů divadelních představení způsobem, že kdokoli může mít k němu přístup na místě a v čase podle své vlastní volby, zejména počítačovou nebo obdobnou sítí, včetně užití způsobem video on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demand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nebo prostřednictvím mobilních sítí, a tomu odpovídající závazek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zaplatit za poskytnuté materiály odměnu dle této Smlouvy.</w:t>
      </w:r>
    </w:p>
    <w:p w14:paraId="3E53A74D" w14:textId="77777777" w:rsidR="004700F5" w:rsidRPr="0012393A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b/>
          <w:color w:val="000000"/>
        </w:rPr>
        <w:t>PRÁVA A POVINNOSTI SMLUVNÍ STRAN</w:t>
      </w:r>
    </w:p>
    <w:p w14:paraId="2A4609B8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lastRenderedPageBreak/>
        <w:t xml:space="preserve">Divadlo se zavazuje poskytovat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marketingové materiály k představení uvedeném v Příloze č. 1 této smlouvy, jehož záznam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umístí na svůj portál.</w:t>
      </w:r>
    </w:p>
    <w:p w14:paraId="5BEF9C07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Divadlo se dále zavazuje k poskytnutí součinnosti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v rámci PR aktivit a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promotion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k záznamům představení, zejména sdílením příspěvků s odkazem na Záznam, ve spolupráci s 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Dramoxem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a v rozsahu a znění dodaném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Dramoxem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na oficiálních profilech Divadla na sociálních sítích.</w:t>
      </w:r>
    </w:p>
    <w:p w14:paraId="12419DA0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highlight w:val="white"/>
        </w:rPr>
      </w:pPr>
      <w:proofErr w:type="spellStart"/>
      <w:r w:rsidRPr="0012393A">
        <w:rPr>
          <w:rFonts w:asciiTheme="majorHAnsi" w:eastAsia="Arial" w:hAnsiTheme="majorHAnsi" w:cstheme="majorHAnsi"/>
          <w:highlight w:val="white"/>
        </w:rPr>
        <w:t>Dramox</w:t>
      </w:r>
      <w:proofErr w:type="spellEnd"/>
      <w:r w:rsidRPr="0012393A">
        <w:rPr>
          <w:rFonts w:asciiTheme="majorHAnsi" w:eastAsia="Arial" w:hAnsiTheme="majorHAnsi" w:cstheme="majorHAnsi"/>
          <w:highlight w:val="white"/>
        </w:rPr>
        <w:t xml:space="preserve"> je povinen na vlastní výlučnou odpovědnost, účet a náklady vypořádat autorská práva a jiná obdobná práva duševního vlastnictví pro zamýšlená užití zvukově-obrazového záznamu divadelního představení, jehož výrobcem je Česká televize, uvedeného v Příloze č. 1 tvořící nedílnou součást této Smlouvy, a to v rozsahu veškerých druhů a typů práv duševního vlastnictví, která budou na předmětných záznamech váznout.</w:t>
      </w:r>
    </w:p>
    <w:p w14:paraId="7A48B7DF" w14:textId="77777777" w:rsidR="004700F5" w:rsidRPr="0012393A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bookmarkStart w:id="0" w:name="_heading=h.gjdgxs" w:colFirst="0" w:colLast="0"/>
      <w:bookmarkEnd w:id="0"/>
      <w:r w:rsidRPr="0012393A">
        <w:rPr>
          <w:rFonts w:asciiTheme="majorHAnsi" w:eastAsia="Arial" w:hAnsiTheme="majorHAnsi" w:cstheme="majorHAnsi"/>
          <w:b/>
          <w:color w:val="000000"/>
        </w:rPr>
        <w:t>LICENCE</w:t>
      </w:r>
    </w:p>
    <w:p w14:paraId="52C2E16B" w14:textId="77777777" w:rsidR="004700F5" w:rsidRPr="0012393A" w:rsidRDefault="00000000" w:rsidP="0012393A">
      <w:pPr>
        <w:keepNext/>
        <w:keepLines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Divadlo poskytuje touto Smlouvou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</w:t>
      </w:r>
      <w:r w:rsidRPr="0012393A">
        <w:rPr>
          <w:rFonts w:asciiTheme="majorHAnsi" w:eastAsia="Arial" w:hAnsiTheme="majorHAnsi" w:cstheme="majorHAnsi"/>
          <w:b/>
          <w:color w:val="000000"/>
        </w:rPr>
        <w:t>územně a časově neomezené nevýhradní</w:t>
      </w:r>
      <w:r w:rsidRPr="0012393A">
        <w:rPr>
          <w:rFonts w:asciiTheme="majorHAnsi" w:eastAsia="Arial" w:hAnsiTheme="majorHAnsi" w:cstheme="majorHAnsi"/>
          <w:color w:val="000000"/>
        </w:rPr>
        <w:t xml:space="preserve"> svolení (s výjimkou práv povinně kolektivně spravovaných) k užití poskytnutých marketingových materiálů za účelem propagace záznamu všemi obvyklými způsoby, zejména v prostředí internetu na webových stránkách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a profilech na sociálních sítích a v tištěných médiích, a to i po jejich zpracování či jiné změně, samostatně nebo ve spojení s jiným autorskými díly.</w:t>
      </w:r>
    </w:p>
    <w:p w14:paraId="194EA602" w14:textId="77777777" w:rsidR="004700F5" w:rsidRPr="0012393A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bookmarkStart w:id="1" w:name="_heading=h.30j0zll" w:colFirst="0" w:colLast="0"/>
      <w:bookmarkEnd w:id="1"/>
      <w:r w:rsidRPr="0012393A">
        <w:rPr>
          <w:rFonts w:asciiTheme="majorHAnsi" w:eastAsia="Arial" w:hAnsiTheme="majorHAnsi" w:cstheme="majorHAnsi"/>
          <w:b/>
          <w:color w:val="000000"/>
        </w:rPr>
        <w:t>ODMĚNA</w:t>
      </w:r>
    </w:p>
    <w:p w14:paraId="79434FEC" w14:textId="057FC1D7" w:rsidR="004700F5" w:rsidRPr="0012393A" w:rsidRDefault="000A39FD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>
        <w:rPr>
          <w:rFonts w:asciiTheme="majorHAnsi" w:eastAsia="Arial" w:hAnsiTheme="majorHAnsi" w:cstheme="majorHAnsi"/>
          <w:color w:val="000000"/>
        </w:rPr>
        <w:t>XXX</w:t>
      </w:r>
    </w:p>
    <w:p w14:paraId="7A507726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bookmarkStart w:id="2" w:name="_heading=h.1fob9te" w:colFirst="0" w:colLast="0"/>
      <w:bookmarkEnd w:id="2"/>
      <w:proofErr w:type="spellStart"/>
      <w:r w:rsidRPr="0012393A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je povinen vždy nejpozději do 15 dnů po skončení příslušného kalendářního čtvrtletí informovat Divadlo o celkovém počtu zhlédnutí Záznamu a provést vyúčtování licenční odměny. V případě, že vyúčtovaná licenční odměna nebude ze strany Divadla rozporována ve lhůtě do 7 dnů od jejího doručení, považuje se za schválenou. Schválená licenční odměna se na straně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stává podkladem pro zúčtování nákladů.</w:t>
      </w:r>
    </w:p>
    <w:p w14:paraId="7BF7D687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Schválená licenční odměna dle bodu 4.2. je splatná bezhotovostním převodem na bankovní účet Divadla: v případě Divadla plátce DPH se splatností 14 dnů ode dne doručení daňového dokladu vystaveného Divadlem; v případě Divadla, které není plátcem DPH, se splatností 14 dnů ode dne, kdy se vyúčtování licenční odměny považuje dle bodu 4.</w:t>
      </w:r>
      <w:r w:rsidRPr="0012393A">
        <w:rPr>
          <w:rFonts w:asciiTheme="majorHAnsi" w:eastAsia="Arial" w:hAnsiTheme="majorHAnsi" w:cstheme="majorHAnsi"/>
        </w:rPr>
        <w:t>2</w:t>
      </w:r>
      <w:r w:rsidRPr="0012393A">
        <w:rPr>
          <w:rFonts w:asciiTheme="majorHAnsi" w:eastAsia="Arial" w:hAnsiTheme="majorHAnsi" w:cstheme="majorHAnsi"/>
          <w:color w:val="000000"/>
        </w:rPr>
        <w:t>. za schválené.</w:t>
      </w:r>
    </w:p>
    <w:p w14:paraId="6DEDE9A8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V případě, že se jedna ze smluvních stran stane plátcem DPH, je povinna to oznámit druhé smluvní straně nejpozději do konce kalendářního měsíce, ve kterém se stala plátcem DPH.</w:t>
      </w:r>
    </w:p>
    <w:p w14:paraId="5B29D288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Odměna se v případě autora, který je plátcem DPH zvyšuje o příslušnou sazbu daně z přidané hodnoty.</w:t>
      </w:r>
    </w:p>
    <w:p w14:paraId="6E7E9906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V případě, že se po dobu trvání této smlouvy ukáže, že existují další držitelé práv, kteří nebyli v době uzavření této Smlouvy uvedení v Příloze č.1, se výše odměny uvedená v čl. 4.1. se sníží o nový podíl držitelů práv, kteří nebyli součástí původního výpočtu. Tato skutečnost bude předmětem dodatku ke smlouvě.</w:t>
      </w:r>
    </w:p>
    <w:p w14:paraId="09C1716C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V případě, že se po dobu trvání této smlouvy zvýší odměna u dalších držitelů autorských práv, sníží se odměna Divadla o nový podíl držitelů práv. O této změně je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povinen informovat Divadlo nejpozději jeden kalendářní měsíc od uvedení v platnost. Bude řešeno dodatkem ke smlouvě.</w:t>
      </w:r>
    </w:p>
    <w:p w14:paraId="5D28E179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lastRenderedPageBreak/>
        <w:t xml:space="preserve">V případě prodlení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s úhradou licenční odměny je Divadlo oprávněno požadovat zaplacení úroku z prodlení v zákonné výši za každý započatý den prodlení.</w:t>
      </w:r>
    </w:p>
    <w:p w14:paraId="045EC35D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V případě, že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vznikne v rámci plnění této Smlouvy povinnost hradit odměnu zahraničním kolektivním správcům, sníží se odměna dle čl. 4.1 o částku zaplacenou zahraničním kolektivním správcům. S ohledem na skutečnost, že výše poplatků zahraničním kolektivním správcům se může v jednotlivých případech a státech lišit,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 uvede na vyžádání skutečnou výši zaplacených poplatků zaplacených zahraničním kolektivním správcům ve vyúčtování dle čl. 4.2.</w:t>
      </w:r>
    </w:p>
    <w:p w14:paraId="4279898C" w14:textId="77777777" w:rsidR="004700F5" w:rsidRPr="0012393A" w:rsidRDefault="00000000" w:rsidP="0012393A">
      <w:pPr>
        <w:keepNext/>
        <w:keepLines/>
        <w:numPr>
          <w:ilvl w:val="1"/>
          <w:numId w:val="1"/>
        </w:numPr>
        <w:spacing w:before="120" w:after="120" w:line="240" w:lineRule="auto"/>
        <w:jc w:val="both"/>
        <w:rPr>
          <w:rFonts w:asciiTheme="majorHAnsi" w:eastAsia="Arial" w:hAnsiTheme="majorHAnsi" w:cstheme="majorHAnsi"/>
        </w:rPr>
      </w:pPr>
      <w:r w:rsidRPr="0012393A">
        <w:rPr>
          <w:rFonts w:asciiTheme="majorHAnsi" w:eastAsia="Arial" w:hAnsiTheme="majorHAnsi" w:cstheme="majorHAnsi"/>
          <w:highlight w:val="white"/>
        </w:rPr>
        <w:t xml:space="preserve">Smluvní strany se dále dohodly, že </w:t>
      </w:r>
      <w:proofErr w:type="spellStart"/>
      <w:r w:rsidRPr="0012393A">
        <w:rPr>
          <w:rFonts w:asciiTheme="majorHAnsi" w:eastAsia="Arial" w:hAnsiTheme="majorHAnsi" w:cstheme="majorHAnsi"/>
          <w:highlight w:val="white"/>
        </w:rPr>
        <w:t>Dramox</w:t>
      </w:r>
      <w:proofErr w:type="spellEnd"/>
      <w:r w:rsidRPr="0012393A">
        <w:rPr>
          <w:rFonts w:asciiTheme="majorHAnsi" w:eastAsia="Arial" w:hAnsiTheme="majorHAnsi" w:cstheme="majorHAnsi"/>
          <w:highlight w:val="white"/>
        </w:rPr>
        <w:t xml:space="preserve"> je oprávněn jednostranně odečíst od licenční odměny náklady vynaložené na zakoupení licenčních práv pro užití záznamu představení oproti nároku Divadla na zaplacení odměny dle čl. 4 Smlouvy. Strany se dohodli, že náklady na zakoupení licenčních práv nepřekročí </w:t>
      </w:r>
      <w:proofErr w:type="gramStart"/>
      <w:r w:rsidRPr="0012393A">
        <w:rPr>
          <w:rFonts w:asciiTheme="majorHAnsi" w:eastAsia="Arial" w:hAnsiTheme="majorHAnsi" w:cstheme="majorHAnsi"/>
          <w:highlight w:val="white"/>
        </w:rPr>
        <w:t>40.000,-</w:t>
      </w:r>
      <w:proofErr w:type="gramEnd"/>
      <w:r w:rsidRPr="0012393A">
        <w:rPr>
          <w:rFonts w:asciiTheme="majorHAnsi" w:eastAsia="Arial" w:hAnsiTheme="majorHAnsi" w:cstheme="majorHAnsi"/>
          <w:highlight w:val="white"/>
        </w:rPr>
        <w:t xml:space="preserve"> ročně. Tato suma bude zohledněna ve vyúčtování, které bude zasíláno divadlu dle bodu 4.3. smlouvy. Nárok Divadla na vyplacení odměny vznikne Divadlu poté, kdy jsou náklady dle tohoto článku uhrazeny v plné výši. </w:t>
      </w:r>
    </w:p>
    <w:p w14:paraId="4B9E93A1" w14:textId="77777777" w:rsidR="004700F5" w:rsidRPr="0012393A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b/>
          <w:color w:val="000000"/>
        </w:rPr>
        <w:t>KOMUNIKACE SMLUVNÍCH STRAN</w:t>
      </w:r>
    </w:p>
    <w:p w14:paraId="1D92642D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Veškerá komunikace o předmětu této Smlouvy musí probíhat písemně. Za písemnou formu se pro účely této smlouvy považuje i forma elektronická. V naléhavých případech a v případech, kdy nemá komunikace Smluvních stran vliv na plnění této Smlouvy, mohou strany komunikovat telefonicky. </w:t>
      </w:r>
    </w:p>
    <w:p w14:paraId="1419E047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Smluvní strany se budou neprodleně informovat o všech skutečnostech významných pro plnění této Smlouvy. </w:t>
      </w:r>
    </w:p>
    <w:p w14:paraId="3FBDB3AC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Veškeré písemnosti dle této Smlouvy se doručují na adresu Smluvních stran uvedenou v záhlaví této Smlouvy, běžnou korespondenci je možné zasílat rovněž prostřednictvím elektronické pošty (e-mailem) mezi osobami definovanými níže.</w:t>
      </w:r>
    </w:p>
    <w:p w14:paraId="6BA2A9F2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Strany se zavazují komunikovat prostřednictvím odpovědných osob:</w:t>
      </w:r>
    </w:p>
    <w:p w14:paraId="5A5E884C" w14:textId="33C450E4" w:rsidR="004700F5" w:rsidRPr="0012393A" w:rsidRDefault="00000000" w:rsidP="0012393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Za Divadlo: </w:t>
      </w:r>
      <w:r w:rsidR="000A39FD">
        <w:rPr>
          <w:color w:val="000000"/>
        </w:rPr>
        <w:t>XXX</w:t>
      </w:r>
      <w:r w:rsidR="004554F8">
        <w:rPr>
          <w:color w:val="000000"/>
        </w:rPr>
        <w:t xml:space="preserve">, e-mail: </w:t>
      </w:r>
      <w:r w:rsidR="000A39FD">
        <w:rPr>
          <w:color w:val="000000"/>
        </w:rPr>
        <w:t>XXX</w:t>
      </w:r>
      <w:r w:rsidR="004554F8">
        <w:rPr>
          <w:color w:val="000000"/>
        </w:rPr>
        <w:t>, tel: +420 </w:t>
      </w:r>
      <w:r w:rsidR="000A39FD">
        <w:rPr>
          <w:color w:val="000000"/>
        </w:rPr>
        <w:t>XXX</w:t>
      </w:r>
    </w:p>
    <w:p w14:paraId="779FAE49" w14:textId="77D1347F" w:rsidR="004700F5" w:rsidRPr="0012393A" w:rsidRDefault="00000000" w:rsidP="0012393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Za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 xml:space="preserve">: </w:t>
      </w:r>
      <w:r w:rsidR="000A39FD">
        <w:rPr>
          <w:rFonts w:asciiTheme="majorHAnsi" w:eastAsia="Arial" w:hAnsiTheme="majorHAnsi" w:cstheme="majorHAnsi"/>
          <w:color w:val="000000"/>
        </w:rPr>
        <w:t>XXX</w:t>
      </w:r>
      <w:r w:rsidRPr="0012393A">
        <w:rPr>
          <w:rFonts w:asciiTheme="majorHAnsi" w:eastAsia="Arial" w:hAnsiTheme="majorHAnsi" w:cstheme="majorHAnsi"/>
          <w:color w:val="000000"/>
        </w:rPr>
        <w:t xml:space="preserve">, e-mail: </w:t>
      </w:r>
      <w:r w:rsidR="000A39FD">
        <w:rPr>
          <w:rFonts w:asciiTheme="majorHAnsi" w:eastAsia="Arial" w:hAnsiTheme="majorHAnsi" w:cstheme="majorHAnsi"/>
          <w:color w:val="000000"/>
        </w:rPr>
        <w:t>XXX</w:t>
      </w:r>
      <w:r w:rsidRPr="0012393A">
        <w:rPr>
          <w:rFonts w:asciiTheme="majorHAnsi" w:eastAsia="Arial" w:hAnsiTheme="majorHAnsi" w:cstheme="majorHAnsi"/>
          <w:color w:val="000000"/>
        </w:rPr>
        <w:t>.</w:t>
      </w:r>
    </w:p>
    <w:p w14:paraId="43EE2F30" w14:textId="77777777" w:rsidR="004700F5" w:rsidRPr="0012393A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b/>
          <w:color w:val="000000"/>
        </w:rPr>
        <w:t xml:space="preserve">DŮVĚRNOST A MLČENLIVOST </w:t>
      </w:r>
    </w:p>
    <w:p w14:paraId="23952A44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Smluvní strany se zavazují, že o této Smlouvě a všech důvěrných a utajovaných informacích a skutečnostech týkajících se druhého z nich, o kterých se dozví v souvislosti s touto Smlouvou, budou zachovávat absolutní mlčenlivost, s výjimkou informací, které bude nezbytné poskytnout třetím osobám za účelem řádného splnění této Smlouvy, plnění zákonných povinností či uplatnění práv z této Smlouvy. </w:t>
      </w:r>
    </w:p>
    <w:p w14:paraId="2C8346C6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Za důvěrné a utajované informace ve smyslu tohoto článku se považují veškeré informace, jejichž zveřejnění by mohlo druhé Smluvní straně způsobit škodu nebo poškodit její pověst, a to bez ohledu na to, zda tvoří součást obchodního tajemství. </w:t>
      </w:r>
    </w:p>
    <w:p w14:paraId="433EEC20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Povinnost mlčenlivosti ve shora uvedeném rozsahu se nevztahuje na informace, které se týkají Smluvní strany, která je sama o sobě zveřejní, na informace, které se stanou obecně známými, aniž by v takovou známost vešly v důsledku porušení závazku mlčenlivosti výše sjednaného, a na informace obecně známé.</w:t>
      </w:r>
    </w:p>
    <w:p w14:paraId="5FF56B6E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lastRenderedPageBreak/>
        <w:t>Bez ohledu na výše uvedené, Smluvní strany souhlasí s tím, aby tato smlouva byla zveřejněna v rámci evidence smluv přístupné dle zákona 106/1999 Sb., o svobodném přístupu k informacím, ve znění pozdějších předpisů, a dle zákona č. 340/2015 Sb., o registru smluv, ve znění pozdějších předpisů, a to v rozsahu nezbytném ke splnění zákonné povinnosti, zejména údaje o Smluvních stranách, předmětu Smlouvy a datu jejího uzavření. Zveřejnění informací ke splnění zákonné povinnosti není považováno za porušení mlčenlivosti. Jestliže tato Smlouva bude podléhat povinnosti uveřejnění podle zákona o registru smluv, Smluvní strany se dohodly, že osobní údaje a vzorec pro výpočet odměny dle článku 4 budou znečitelněny v souladu se zákonem o registru smluv jako obchodní tajemství, jehož utajení Smluvní strany odpovídajícím způsobem zajišťují.</w:t>
      </w:r>
    </w:p>
    <w:p w14:paraId="652732B3" w14:textId="77777777" w:rsidR="004700F5" w:rsidRPr="0012393A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b/>
          <w:color w:val="000000"/>
        </w:rPr>
        <w:t>VYŠŠÍ MOC</w:t>
      </w:r>
    </w:p>
    <w:p w14:paraId="2BD0F1C4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Pokud kterákoli ze Smluvních stran nebude schopna dodržovat nebo plnit jakoukoli povinnost podle této Smlouvy a tato neschopnost bude výhradně způsobena tzv. vyšší mocí ve smyslu </w:t>
      </w:r>
      <w:proofErr w:type="spellStart"/>
      <w:r w:rsidRPr="0012393A">
        <w:rPr>
          <w:rFonts w:asciiTheme="majorHAnsi" w:eastAsia="Arial" w:hAnsiTheme="majorHAnsi" w:cstheme="majorHAnsi"/>
          <w:color w:val="000000"/>
        </w:rPr>
        <w:t>ust</w:t>
      </w:r>
      <w:proofErr w:type="spellEnd"/>
      <w:r w:rsidRPr="0012393A">
        <w:rPr>
          <w:rFonts w:asciiTheme="majorHAnsi" w:eastAsia="Arial" w:hAnsiTheme="majorHAnsi" w:cstheme="majorHAnsi"/>
          <w:color w:val="000000"/>
        </w:rPr>
        <w:t>. § 2913 odst. 2 zákona č. 89/2012 Sb., občanský zákoník, je povinna takovou skutečnost druhé Smluvní straně neprodleně oznámit. Smluvní strany se zavazují bez ohledu na jejich práva a povinnosti vyplývající z platných právních předpisů nebo z této Smlouvy hledat řešení vzniklé situace v dobré víře a v případě potřeby uzavřít dodatek/dodatky k této Smlouvě, vše s cílem zajistit řádné plnění této Smlouvy.</w:t>
      </w:r>
    </w:p>
    <w:p w14:paraId="09D7C5E5" w14:textId="77777777" w:rsidR="004700F5" w:rsidRPr="0012393A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b/>
          <w:color w:val="000000"/>
        </w:rPr>
        <w:t>ZÁVĚREČNÁ USTANOVENÍ</w:t>
      </w:r>
    </w:p>
    <w:p w14:paraId="35CFA5ED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Tato smlouva nabývá platnosti a účinnosti dnem jejího podpisu oběma Smluvními stranami. </w:t>
      </w:r>
    </w:p>
    <w:p w14:paraId="7A1D56BA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V případě, že se některá ustanovení této Smlouvy stanou obsoletní, neúčinná nebo neplatná v důsledku změny právních předpisů nebo rozhodnutí správního orgánu České republiky, nebude to mít za následek neplatnost či neúčinnost Smlouvy a Smluvní strany se zavazují nahradit neplatné ustanovení ustanovením platným, jehož věcný a ekonomický význam bude co nejvíce odpovídat významu a účelu nahrazovaného ustanovení.</w:t>
      </w:r>
    </w:p>
    <w:p w14:paraId="52951169" w14:textId="77777777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 xml:space="preserve">Tato smlouva představuje úplnou dohodu Smluvních stran o předmětu této Smlouvy a nahrazuje veškerá případná předchozí ujednání Smluvních stran ohledně předmětu této Smlouvy. </w:t>
      </w:r>
    </w:p>
    <w:p w14:paraId="6ED73F50" w14:textId="77777777" w:rsidR="0012393A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Tato smlouva se vyhotovuje ve dvou stejnopisech s platností originálu a každá Smluvní strana obdrží po jednom vyhotovení.</w:t>
      </w:r>
    </w:p>
    <w:p w14:paraId="245BCF03" w14:textId="5B0F23A4" w:rsidR="004700F5" w:rsidRPr="0012393A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Smluvní strany prohlašují, že si smlouvu přečetly, s jejím zněním souhlasí a na důkaz toho připojují níže, jakož i na každou stranu této smlouvy své podpisy.</w:t>
      </w:r>
    </w:p>
    <w:p w14:paraId="71217776" w14:textId="77777777" w:rsidR="004700F5" w:rsidRPr="0012393A" w:rsidRDefault="004700F5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000000"/>
        </w:rPr>
      </w:pPr>
    </w:p>
    <w:tbl>
      <w:tblPr>
        <w:tblStyle w:val="a1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4700F5" w:rsidRPr="0012393A" w14:paraId="233EF41E" w14:textId="77777777">
        <w:tc>
          <w:tcPr>
            <w:tcW w:w="4530" w:type="dxa"/>
          </w:tcPr>
          <w:p w14:paraId="2BF0CDC0" w14:textId="77777777" w:rsidR="004700F5" w:rsidRPr="0012393A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2393A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V</w:t>
            </w:r>
            <w:r w:rsidRPr="0012393A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Praze [__/__] 2025</w:t>
            </w:r>
          </w:p>
          <w:p w14:paraId="5011F72C" w14:textId="2E9BB8BE" w:rsidR="004700F5" w:rsidRPr="0012393A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2393A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 xml:space="preserve">Za </w:t>
            </w:r>
            <w:r w:rsidR="004554F8" w:rsidRPr="004554F8">
              <w:rPr>
                <w:rFonts w:asciiTheme="majorHAnsi" w:eastAsia="Arial" w:hAnsiTheme="majorHAnsi" w:cstheme="majorHAnsi"/>
                <w:b/>
                <w:bCs/>
                <w:color w:val="000000"/>
                <w:sz w:val="22"/>
                <w:szCs w:val="22"/>
              </w:rPr>
              <w:t xml:space="preserve">Centrum experimentálního divadla, </w:t>
            </w:r>
            <w:proofErr w:type="spellStart"/>
            <w:r w:rsidR="004554F8" w:rsidRPr="004554F8">
              <w:rPr>
                <w:rFonts w:asciiTheme="majorHAnsi" w:eastAsia="Arial" w:hAnsiTheme="majorHAnsi" w:cstheme="majorHAnsi"/>
                <w:b/>
                <w:bCs/>
                <w:color w:val="000000"/>
                <w:sz w:val="22"/>
                <w:szCs w:val="22"/>
              </w:rPr>
              <w:t>p.o</w:t>
            </w:r>
            <w:proofErr w:type="spellEnd"/>
            <w:r w:rsidR="004554F8" w:rsidRPr="004554F8">
              <w:rPr>
                <w:rFonts w:asciiTheme="majorHAnsi" w:eastAsia="Arial" w:hAnsiTheme="majorHAnsi" w:cstheme="majorHAns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4530" w:type="dxa"/>
          </w:tcPr>
          <w:p w14:paraId="5C442435" w14:textId="77777777" w:rsidR="004700F5" w:rsidRPr="0012393A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12393A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V Praze dne [__/__] 202</w:t>
            </w:r>
            <w:r w:rsidRPr="0012393A">
              <w:rPr>
                <w:rFonts w:asciiTheme="majorHAnsi" w:eastAsia="Arial" w:hAnsiTheme="majorHAnsi" w:cstheme="majorHAnsi"/>
                <w:sz w:val="22"/>
                <w:szCs w:val="22"/>
              </w:rPr>
              <w:t>5</w:t>
            </w:r>
          </w:p>
          <w:p w14:paraId="3D2DDB32" w14:textId="77777777" w:rsidR="004700F5" w:rsidRPr="0012393A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2393A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 xml:space="preserve">Za </w:t>
            </w:r>
            <w:proofErr w:type="spellStart"/>
            <w:r w:rsidRPr="0012393A">
              <w:rPr>
                <w:rFonts w:asciiTheme="majorHAnsi" w:eastAsia="Arial" w:hAnsiTheme="majorHAnsi" w:cstheme="majorHAnsi"/>
                <w:b/>
                <w:color w:val="000000"/>
                <w:sz w:val="22"/>
                <w:szCs w:val="22"/>
              </w:rPr>
              <w:t>Dramox</w:t>
            </w:r>
            <w:proofErr w:type="spellEnd"/>
            <w:r w:rsidRPr="0012393A">
              <w:rPr>
                <w:rFonts w:asciiTheme="majorHAnsi" w:eastAsia="Arial" w:hAnsiTheme="majorHAnsi" w:cstheme="majorHAnsi"/>
                <w:b/>
                <w:color w:val="000000"/>
                <w:sz w:val="22"/>
                <w:szCs w:val="22"/>
              </w:rPr>
              <w:t xml:space="preserve"> s.r.o.</w:t>
            </w:r>
          </w:p>
        </w:tc>
      </w:tr>
    </w:tbl>
    <w:p w14:paraId="4127EC67" w14:textId="77777777" w:rsidR="004700F5" w:rsidRPr="0012393A" w:rsidRDefault="004700F5" w:rsidP="0012393A">
      <w:pPr>
        <w:keepNext/>
        <w:keepLines/>
        <w:spacing w:line="240" w:lineRule="auto"/>
        <w:rPr>
          <w:rFonts w:asciiTheme="majorHAnsi" w:eastAsia="Arial" w:hAnsiTheme="majorHAnsi" w:cstheme="majorHAnsi"/>
        </w:rPr>
      </w:pPr>
    </w:p>
    <w:tbl>
      <w:tblPr>
        <w:tblStyle w:val="a2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4700F5" w:rsidRPr="0012393A" w14:paraId="56F4D280" w14:textId="77777777">
        <w:tc>
          <w:tcPr>
            <w:tcW w:w="4530" w:type="dxa"/>
          </w:tcPr>
          <w:p w14:paraId="33A50C87" w14:textId="77777777" w:rsidR="004700F5" w:rsidRPr="0012393A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14:paraId="5DDE5A1A" w14:textId="77777777" w:rsidR="004700F5" w:rsidRPr="0012393A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14:paraId="36338717" w14:textId="77777777" w:rsidR="004700F5" w:rsidRPr="0012393A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2393A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_____________________</w:t>
            </w:r>
          </w:p>
          <w:p w14:paraId="71D2498E" w14:textId="50349C24" w:rsidR="004700F5" w:rsidRPr="0012393A" w:rsidRDefault="004554F8" w:rsidP="0012393A">
            <w:pPr>
              <w:keepNext/>
              <w:keepLines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4554F8">
              <w:rPr>
                <w:rFonts w:asciiTheme="majorHAnsi" w:eastAsia="Arial" w:hAnsiTheme="majorHAnsi" w:cstheme="majorHAnsi"/>
                <w:b/>
                <w:bCs/>
                <w:color w:val="000000"/>
                <w:sz w:val="22"/>
                <w:szCs w:val="22"/>
              </w:rPr>
              <w:t>Jan Búrik</w:t>
            </w:r>
            <w:r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, ředitel</w:t>
            </w:r>
          </w:p>
          <w:p w14:paraId="2B5CC260" w14:textId="77777777" w:rsidR="004700F5" w:rsidRPr="0012393A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4530" w:type="dxa"/>
          </w:tcPr>
          <w:p w14:paraId="2099A508" w14:textId="77777777" w:rsidR="004700F5" w:rsidRPr="0012393A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14:paraId="415CFAAC" w14:textId="77777777" w:rsidR="004700F5" w:rsidRPr="0012393A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14:paraId="27097F5D" w14:textId="77777777" w:rsidR="004700F5" w:rsidRPr="0012393A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12393A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_____________________</w:t>
            </w:r>
          </w:p>
          <w:p w14:paraId="3267D553" w14:textId="79241A7A" w:rsidR="004700F5" w:rsidRPr="0012393A" w:rsidRDefault="000A39FD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b/>
                <w:color w:val="000000"/>
                <w:sz w:val="22"/>
                <w:szCs w:val="22"/>
              </w:rPr>
              <w:t>XXX</w:t>
            </w:r>
            <w:r w:rsidR="00000000" w:rsidRPr="0012393A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, prokurista</w:t>
            </w:r>
          </w:p>
          <w:p w14:paraId="546F9004" w14:textId="77777777" w:rsidR="004700F5" w:rsidRPr="0012393A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093C6BAB" w14:textId="77777777" w:rsidR="004700F5" w:rsidRPr="0012393A" w:rsidRDefault="004700F5" w:rsidP="0012393A">
      <w:pPr>
        <w:keepNext/>
        <w:keepLines/>
        <w:spacing w:line="240" w:lineRule="auto"/>
        <w:rPr>
          <w:rFonts w:asciiTheme="majorHAnsi" w:eastAsia="Arial" w:hAnsiTheme="majorHAnsi" w:cstheme="majorHAnsi"/>
        </w:rPr>
      </w:pPr>
    </w:p>
    <w:p w14:paraId="6DFB3990" w14:textId="77777777" w:rsidR="004700F5" w:rsidRPr="0012393A" w:rsidRDefault="00000000" w:rsidP="0012393A">
      <w:pPr>
        <w:keepNext/>
        <w:keepLines/>
        <w:spacing w:line="240" w:lineRule="auto"/>
        <w:rPr>
          <w:rFonts w:asciiTheme="majorHAnsi" w:eastAsia="Arial" w:hAnsiTheme="majorHAnsi" w:cstheme="majorHAnsi"/>
        </w:rPr>
      </w:pPr>
      <w:r w:rsidRPr="0012393A">
        <w:rPr>
          <w:rFonts w:asciiTheme="majorHAnsi" w:hAnsiTheme="majorHAnsi" w:cstheme="majorHAnsi"/>
        </w:rPr>
        <w:br w:type="page"/>
      </w:r>
    </w:p>
    <w:p w14:paraId="59DC3D3A" w14:textId="77777777" w:rsidR="004700F5" w:rsidRPr="0012393A" w:rsidRDefault="00000000" w:rsidP="0012393A">
      <w:pPr>
        <w:keepNext/>
        <w:keepLines/>
        <w:spacing w:line="240" w:lineRule="auto"/>
        <w:jc w:val="center"/>
        <w:rPr>
          <w:rFonts w:asciiTheme="majorHAnsi" w:eastAsia="Arial" w:hAnsiTheme="majorHAnsi" w:cstheme="majorHAnsi"/>
        </w:rPr>
      </w:pPr>
      <w:r w:rsidRPr="0012393A">
        <w:rPr>
          <w:rFonts w:asciiTheme="majorHAnsi" w:eastAsia="Arial" w:hAnsiTheme="majorHAnsi" w:cstheme="majorHAnsi"/>
          <w:b/>
          <w:color w:val="000000"/>
        </w:rPr>
        <w:lastRenderedPageBreak/>
        <w:t>Příloha č. 1</w:t>
      </w:r>
    </w:p>
    <w:p w14:paraId="7125B3E8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center"/>
        <w:rPr>
          <w:rFonts w:asciiTheme="majorHAnsi" w:eastAsia="Arial" w:hAnsiTheme="majorHAnsi" w:cstheme="majorHAnsi"/>
          <w:b/>
          <w:color w:val="000000"/>
        </w:rPr>
      </w:pPr>
      <w:r w:rsidRPr="0012393A">
        <w:rPr>
          <w:rFonts w:asciiTheme="majorHAnsi" w:eastAsia="Arial" w:hAnsiTheme="majorHAnsi" w:cstheme="majorHAnsi"/>
          <w:b/>
          <w:color w:val="000000"/>
        </w:rPr>
        <w:t>Popis představení</w:t>
      </w:r>
    </w:p>
    <w:p w14:paraId="4E73C351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12393A">
        <w:rPr>
          <w:rFonts w:asciiTheme="majorHAnsi" w:eastAsia="Arial" w:hAnsiTheme="majorHAnsi" w:cstheme="majorHAnsi"/>
          <w:color w:val="000000"/>
        </w:rPr>
        <w:t>Smluvní strany dohodly na poskytnutí marketingových materiálů (PR texty,</w:t>
      </w:r>
      <w:r w:rsidRPr="0012393A">
        <w:rPr>
          <w:rFonts w:asciiTheme="majorHAnsi" w:eastAsia="Arial" w:hAnsiTheme="majorHAnsi" w:cstheme="majorHAnsi"/>
          <w:color w:val="000000"/>
        </w:rPr>
        <w:br/>
        <w:t>rozhovory atp.) k záznamu následujícího představení:</w:t>
      </w:r>
    </w:p>
    <w:p w14:paraId="4A18D3D1" w14:textId="77777777" w:rsidR="004700F5" w:rsidRPr="0012393A" w:rsidRDefault="00000000" w:rsidP="0012393A">
      <w:pPr>
        <w:keepNext/>
        <w:keepLines/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hAnsiTheme="majorHAnsi" w:cstheme="majorHAnsi"/>
          <w:b/>
          <w:color w:val="000000"/>
        </w:rPr>
      </w:pPr>
      <w:r w:rsidRPr="0012393A">
        <w:rPr>
          <w:rFonts w:asciiTheme="majorHAnsi" w:eastAsia="Arial" w:hAnsiTheme="majorHAnsi" w:cstheme="majorHAnsi"/>
          <w:b/>
          <w:color w:val="000000"/>
        </w:rPr>
        <w:t xml:space="preserve">Název díla: </w:t>
      </w:r>
      <w:r w:rsidRPr="0012393A">
        <w:rPr>
          <w:rFonts w:asciiTheme="majorHAnsi" w:eastAsia="Arial" w:hAnsiTheme="majorHAnsi" w:cstheme="majorHAnsi"/>
          <w:highlight w:val="white"/>
        </w:rPr>
        <w:t xml:space="preserve">Doma u Hitlerů aneb Historky z </w:t>
      </w:r>
      <w:proofErr w:type="spellStart"/>
      <w:r w:rsidRPr="0012393A">
        <w:rPr>
          <w:rFonts w:asciiTheme="majorHAnsi" w:eastAsia="Arial" w:hAnsiTheme="majorHAnsi" w:cstheme="majorHAnsi"/>
          <w:highlight w:val="white"/>
        </w:rPr>
        <w:t>Hitlerovic</w:t>
      </w:r>
      <w:proofErr w:type="spellEnd"/>
      <w:r w:rsidRPr="0012393A">
        <w:rPr>
          <w:rFonts w:asciiTheme="majorHAnsi" w:eastAsia="Arial" w:hAnsiTheme="majorHAnsi" w:cstheme="majorHAnsi"/>
          <w:highlight w:val="white"/>
        </w:rPr>
        <w:t xml:space="preserve"> kuchyně</w:t>
      </w:r>
    </w:p>
    <w:p w14:paraId="3582C727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000000"/>
          <w:highlight w:val="white"/>
        </w:rPr>
      </w:pPr>
      <w:r w:rsidRPr="0012393A">
        <w:rPr>
          <w:rFonts w:asciiTheme="majorHAnsi" w:eastAsia="Arial" w:hAnsiTheme="majorHAnsi" w:cstheme="majorHAnsi"/>
          <w:color w:val="000000"/>
          <w:highlight w:val="white"/>
        </w:rPr>
        <w:t xml:space="preserve">Autor: </w:t>
      </w:r>
      <w:r w:rsidRPr="0012393A">
        <w:rPr>
          <w:rFonts w:asciiTheme="majorHAnsi" w:eastAsia="Arial" w:hAnsiTheme="majorHAnsi" w:cstheme="majorHAnsi"/>
          <w:color w:val="151A31"/>
          <w:highlight w:val="white"/>
        </w:rPr>
        <w:t>Arnošt Goldflam</w:t>
      </w:r>
    </w:p>
    <w:p w14:paraId="751EEEEB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151A31"/>
          <w:highlight w:val="white"/>
        </w:rPr>
      </w:pPr>
      <w:r w:rsidRPr="0012393A">
        <w:rPr>
          <w:rFonts w:asciiTheme="majorHAnsi" w:eastAsia="Arial" w:hAnsiTheme="majorHAnsi" w:cstheme="majorHAnsi"/>
          <w:color w:val="000000"/>
          <w:highlight w:val="white"/>
        </w:rPr>
        <w:t xml:space="preserve">Režie: </w:t>
      </w:r>
      <w:r w:rsidRPr="0012393A">
        <w:rPr>
          <w:rFonts w:asciiTheme="majorHAnsi" w:eastAsia="Arial" w:hAnsiTheme="majorHAnsi" w:cstheme="majorHAnsi"/>
          <w:color w:val="151A31"/>
          <w:highlight w:val="white"/>
        </w:rPr>
        <w:t>Luboš Balák</w:t>
      </w:r>
    </w:p>
    <w:p w14:paraId="3EC09FB6" w14:textId="3D0CE25B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151A31"/>
          <w:highlight w:val="white"/>
        </w:rPr>
      </w:pPr>
      <w:r w:rsidRPr="0012393A">
        <w:rPr>
          <w:rFonts w:asciiTheme="majorHAnsi" w:eastAsia="Arial" w:hAnsiTheme="majorHAnsi" w:cstheme="majorHAnsi"/>
          <w:color w:val="151A31"/>
          <w:highlight w:val="white"/>
        </w:rPr>
        <w:t xml:space="preserve">Dramatizace: </w:t>
      </w:r>
      <w:r w:rsidR="0012393A">
        <w:rPr>
          <w:rFonts w:asciiTheme="majorHAnsi" w:eastAsia="Arial" w:hAnsiTheme="majorHAnsi" w:cstheme="majorHAnsi"/>
          <w:color w:val="151A31"/>
          <w:highlight w:val="white"/>
        </w:rPr>
        <w:t>L</w:t>
      </w:r>
      <w:r w:rsidRPr="0012393A">
        <w:rPr>
          <w:rFonts w:asciiTheme="majorHAnsi" w:eastAsia="Arial" w:hAnsiTheme="majorHAnsi" w:cstheme="majorHAnsi"/>
          <w:color w:val="151A31"/>
          <w:highlight w:val="white"/>
        </w:rPr>
        <w:t>uboš Balák</w:t>
      </w:r>
    </w:p>
    <w:p w14:paraId="7EBBE9FF" w14:textId="3254866A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highlight w:val="white"/>
        </w:rPr>
      </w:pPr>
      <w:r w:rsidRPr="0012393A">
        <w:rPr>
          <w:rFonts w:asciiTheme="majorHAnsi" w:eastAsia="Arial" w:hAnsiTheme="majorHAnsi" w:cstheme="majorHAnsi"/>
          <w:color w:val="000000"/>
          <w:highlight w:val="white"/>
        </w:rPr>
        <w:t>Scénografie:</w:t>
      </w:r>
      <w:r w:rsidR="0012393A">
        <w:rPr>
          <w:rFonts w:asciiTheme="majorHAnsi" w:eastAsia="Arial" w:hAnsiTheme="majorHAnsi" w:cstheme="majorHAnsi"/>
          <w:color w:val="000000"/>
          <w:highlight w:val="white"/>
        </w:rPr>
        <w:t xml:space="preserve"> </w:t>
      </w:r>
      <w:r w:rsidRPr="0012393A">
        <w:rPr>
          <w:rFonts w:asciiTheme="majorHAnsi" w:eastAsia="Arial" w:hAnsiTheme="majorHAnsi" w:cstheme="majorHAnsi"/>
          <w:color w:val="151A31"/>
          <w:highlight w:val="white"/>
        </w:rPr>
        <w:t xml:space="preserve">Luboš Balák, Marián </w:t>
      </w:r>
      <w:proofErr w:type="spellStart"/>
      <w:r w:rsidRPr="0012393A">
        <w:rPr>
          <w:rFonts w:asciiTheme="majorHAnsi" w:eastAsia="Arial" w:hAnsiTheme="majorHAnsi" w:cstheme="majorHAnsi"/>
          <w:color w:val="151A31"/>
          <w:highlight w:val="white"/>
        </w:rPr>
        <w:t>Amsler</w:t>
      </w:r>
      <w:proofErr w:type="spellEnd"/>
    </w:p>
    <w:p w14:paraId="0A0CD686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highlight w:val="white"/>
        </w:rPr>
      </w:pPr>
      <w:r w:rsidRPr="0012393A">
        <w:rPr>
          <w:rFonts w:asciiTheme="majorHAnsi" w:eastAsia="Arial" w:hAnsiTheme="majorHAnsi" w:cstheme="majorHAnsi"/>
          <w:color w:val="000000"/>
          <w:highlight w:val="white"/>
        </w:rPr>
        <w:t xml:space="preserve">Kostýmy: </w:t>
      </w:r>
      <w:r w:rsidRPr="0012393A">
        <w:rPr>
          <w:rFonts w:asciiTheme="majorHAnsi" w:eastAsia="Arial" w:hAnsiTheme="majorHAnsi" w:cstheme="majorHAnsi"/>
          <w:color w:val="151A31"/>
          <w:highlight w:val="white"/>
        </w:rPr>
        <w:t xml:space="preserve">Kateřina </w:t>
      </w:r>
      <w:proofErr w:type="spellStart"/>
      <w:r w:rsidRPr="0012393A">
        <w:rPr>
          <w:rFonts w:asciiTheme="majorHAnsi" w:eastAsia="Arial" w:hAnsiTheme="majorHAnsi" w:cstheme="majorHAnsi"/>
          <w:color w:val="151A31"/>
          <w:highlight w:val="white"/>
        </w:rPr>
        <w:t>Kumhalová</w:t>
      </w:r>
      <w:proofErr w:type="spellEnd"/>
    </w:p>
    <w:p w14:paraId="298E81F6" w14:textId="77777777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000000"/>
          <w:highlight w:val="white"/>
        </w:rPr>
      </w:pPr>
      <w:r w:rsidRPr="0012393A">
        <w:rPr>
          <w:rFonts w:asciiTheme="majorHAnsi" w:eastAsia="Arial" w:hAnsiTheme="majorHAnsi" w:cstheme="majorHAnsi"/>
          <w:color w:val="000000"/>
          <w:highlight w:val="white"/>
        </w:rPr>
        <w:t>Hudba:</w:t>
      </w:r>
      <w:r w:rsidRPr="0012393A">
        <w:rPr>
          <w:rFonts w:asciiTheme="majorHAnsi" w:eastAsia="Arial" w:hAnsiTheme="majorHAnsi" w:cstheme="majorHAnsi"/>
          <w:highlight w:val="white"/>
        </w:rPr>
        <w:t xml:space="preserve"> </w:t>
      </w:r>
      <w:r w:rsidRPr="0012393A">
        <w:rPr>
          <w:rFonts w:asciiTheme="majorHAnsi" w:eastAsia="Arial" w:hAnsiTheme="majorHAnsi" w:cstheme="majorHAnsi"/>
          <w:color w:val="151A31"/>
          <w:highlight w:val="white"/>
        </w:rPr>
        <w:t>Karel Hanák</w:t>
      </w:r>
    </w:p>
    <w:p w14:paraId="5B1C8572" w14:textId="699DFE2F" w:rsidR="004700F5" w:rsidRPr="0012393A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000000"/>
          <w:highlight w:val="white"/>
        </w:rPr>
      </w:pPr>
      <w:r w:rsidRPr="0012393A">
        <w:rPr>
          <w:rFonts w:asciiTheme="majorHAnsi" w:eastAsia="Arial" w:hAnsiTheme="majorHAnsi" w:cstheme="majorHAnsi"/>
          <w:color w:val="000000"/>
          <w:highlight w:val="white"/>
        </w:rPr>
        <w:t xml:space="preserve">Datum premiéry: </w:t>
      </w:r>
      <w:r w:rsidR="0012393A" w:rsidRPr="0012393A">
        <w:rPr>
          <w:rFonts w:asciiTheme="majorHAnsi" w:eastAsia="Arial" w:hAnsiTheme="majorHAnsi" w:cstheme="majorHAnsi"/>
        </w:rPr>
        <w:t>10.11.2007</w:t>
      </w:r>
    </w:p>
    <w:p w14:paraId="70384066" w14:textId="77777777" w:rsidR="004700F5" w:rsidRPr="0012393A" w:rsidRDefault="00000000" w:rsidP="0012393A">
      <w:pPr>
        <w:keepNext/>
        <w:keepLines/>
        <w:pBdr>
          <w:top w:val="nil"/>
          <w:left w:val="nil"/>
          <w:bottom w:val="single" w:sz="12" w:space="1" w:color="000000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highlight w:val="white"/>
        </w:rPr>
      </w:pPr>
      <w:r w:rsidRPr="0012393A">
        <w:rPr>
          <w:rFonts w:asciiTheme="majorHAnsi" w:eastAsia="Arial" w:hAnsiTheme="majorHAnsi" w:cstheme="majorHAnsi"/>
          <w:color w:val="000000"/>
          <w:highlight w:val="white"/>
        </w:rPr>
        <w:t xml:space="preserve">Obsazení: </w:t>
      </w:r>
      <w:r w:rsidRPr="0012393A">
        <w:rPr>
          <w:rFonts w:asciiTheme="majorHAnsi" w:eastAsia="Arial" w:hAnsiTheme="majorHAnsi" w:cstheme="majorHAnsi"/>
          <w:color w:val="151A31"/>
          <w:highlight w:val="white"/>
        </w:rPr>
        <w:t xml:space="preserve">Petr Jeništa, Jana </w:t>
      </w:r>
      <w:proofErr w:type="spellStart"/>
      <w:r w:rsidRPr="0012393A">
        <w:rPr>
          <w:rFonts w:asciiTheme="majorHAnsi" w:eastAsia="Arial" w:hAnsiTheme="majorHAnsi" w:cstheme="majorHAnsi"/>
          <w:color w:val="151A31"/>
          <w:highlight w:val="white"/>
        </w:rPr>
        <w:t>Plodková</w:t>
      </w:r>
      <w:proofErr w:type="spellEnd"/>
      <w:r w:rsidRPr="0012393A">
        <w:rPr>
          <w:rFonts w:asciiTheme="majorHAnsi" w:eastAsia="Arial" w:hAnsiTheme="majorHAnsi" w:cstheme="majorHAnsi"/>
          <w:color w:val="151A31"/>
          <w:highlight w:val="white"/>
        </w:rPr>
        <w:t xml:space="preserve">, Simona Peková, Marián </w:t>
      </w:r>
      <w:proofErr w:type="spellStart"/>
      <w:r w:rsidRPr="0012393A">
        <w:rPr>
          <w:rFonts w:asciiTheme="majorHAnsi" w:eastAsia="Arial" w:hAnsiTheme="majorHAnsi" w:cstheme="majorHAnsi"/>
          <w:color w:val="151A31"/>
          <w:highlight w:val="white"/>
        </w:rPr>
        <w:t>Chalány</w:t>
      </w:r>
      <w:proofErr w:type="spellEnd"/>
      <w:r w:rsidRPr="0012393A">
        <w:rPr>
          <w:rFonts w:asciiTheme="majorHAnsi" w:eastAsia="Arial" w:hAnsiTheme="majorHAnsi" w:cstheme="majorHAnsi"/>
          <w:color w:val="151A31"/>
          <w:highlight w:val="white"/>
        </w:rPr>
        <w:t xml:space="preserve">, Martin </w:t>
      </w:r>
      <w:proofErr w:type="spellStart"/>
      <w:r w:rsidRPr="0012393A">
        <w:rPr>
          <w:rFonts w:asciiTheme="majorHAnsi" w:eastAsia="Arial" w:hAnsiTheme="majorHAnsi" w:cstheme="majorHAnsi"/>
          <w:color w:val="151A31"/>
          <w:highlight w:val="white"/>
        </w:rPr>
        <w:t>Siničák</w:t>
      </w:r>
      <w:proofErr w:type="spellEnd"/>
      <w:r w:rsidRPr="0012393A">
        <w:rPr>
          <w:rFonts w:asciiTheme="majorHAnsi" w:eastAsia="Arial" w:hAnsiTheme="majorHAnsi" w:cstheme="majorHAnsi"/>
          <w:color w:val="151A31"/>
          <w:highlight w:val="white"/>
        </w:rPr>
        <w:t xml:space="preserve">, Jiří Hájek, Kamila Kalousová, František </w:t>
      </w:r>
      <w:proofErr w:type="spellStart"/>
      <w:r w:rsidRPr="0012393A">
        <w:rPr>
          <w:rFonts w:asciiTheme="majorHAnsi" w:eastAsia="Arial" w:hAnsiTheme="majorHAnsi" w:cstheme="majorHAnsi"/>
          <w:color w:val="151A31"/>
          <w:highlight w:val="white"/>
        </w:rPr>
        <w:t>Kumhala</w:t>
      </w:r>
      <w:proofErr w:type="spellEnd"/>
      <w:r w:rsidRPr="0012393A">
        <w:rPr>
          <w:rFonts w:asciiTheme="majorHAnsi" w:eastAsia="Arial" w:hAnsiTheme="majorHAnsi" w:cstheme="majorHAnsi"/>
          <w:color w:val="151A31"/>
          <w:highlight w:val="white"/>
        </w:rPr>
        <w:t xml:space="preserve">, Eva Baláková, Magdaléna Tkačíková, Petra Bučková, Kateřina </w:t>
      </w:r>
      <w:proofErr w:type="spellStart"/>
      <w:r w:rsidRPr="0012393A">
        <w:rPr>
          <w:rFonts w:asciiTheme="majorHAnsi" w:eastAsia="Arial" w:hAnsiTheme="majorHAnsi" w:cstheme="majorHAnsi"/>
          <w:color w:val="151A31"/>
          <w:highlight w:val="white"/>
        </w:rPr>
        <w:t>Kumhalová</w:t>
      </w:r>
      <w:proofErr w:type="spellEnd"/>
    </w:p>
    <w:p w14:paraId="390B8F07" w14:textId="77777777" w:rsidR="004700F5" w:rsidRPr="0012393A" w:rsidRDefault="004700F5" w:rsidP="0012393A">
      <w:pPr>
        <w:keepNext/>
        <w:keepLines/>
        <w:spacing w:after="0" w:line="240" w:lineRule="auto"/>
        <w:rPr>
          <w:rFonts w:asciiTheme="majorHAnsi" w:eastAsia="Arial" w:hAnsiTheme="majorHAnsi" w:cstheme="majorHAnsi"/>
        </w:rPr>
      </w:pPr>
    </w:p>
    <w:p w14:paraId="0B7AD0B2" w14:textId="77777777" w:rsidR="004700F5" w:rsidRPr="0012393A" w:rsidRDefault="004700F5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</w:p>
    <w:p w14:paraId="01A4E548" w14:textId="77777777" w:rsidR="004700F5" w:rsidRPr="0012393A" w:rsidRDefault="004700F5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b/>
          <w:color w:val="000000"/>
        </w:rPr>
      </w:pPr>
    </w:p>
    <w:sectPr w:rsidR="004700F5" w:rsidRPr="0012393A"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944A4" w14:textId="77777777" w:rsidR="00E063B0" w:rsidRDefault="00E063B0">
      <w:pPr>
        <w:spacing w:after="0" w:line="240" w:lineRule="auto"/>
      </w:pPr>
      <w:r>
        <w:separator/>
      </w:r>
    </w:p>
  </w:endnote>
  <w:endnote w:type="continuationSeparator" w:id="0">
    <w:p w14:paraId="5F3672E7" w14:textId="77777777" w:rsidR="00E063B0" w:rsidRDefault="00E06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5D42CCB7-22F7-4FBA-BDF1-1FFBC6E2A59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D1EEFED2-685A-49E0-966E-C7EC5F96D2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182CB0F-59A9-4463-AE0D-5A8C99938B55}"/>
    <w:embedBold r:id="rId4" w:fontKey="{A74F3108-B4A5-4677-8396-D8D206C32DD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E06A8ED1-0071-43D1-9DC8-A6FC8E5A1B2F}"/>
    <w:embedItalic r:id="rId6" w:fontKey="{46A73398-5717-4229-8DFD-FA2E93A1491F}"/>
  </w:font>
  <w:font w:name="Futura T OT">
    <w:altName w:val="Arial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8E07772-C386-4EEA-9456-8C30DBF0E3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09EEF" w14:textId="77777777" w:rsidR="004700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393A">
      <w:rPr>
        <w:noProof/>
        <w:color w:val="000000"/>
      </w:rPr>
      <w:t>1</w:t>
    </w:r>
    <w:r>
      <w:rPr>
        <w:color w:val="000000"/>
      </w:rPr>
      <w:fldChar w:fldCharType="end"/>
    </w:r>
  </w:p>
  <w:p w14:paraId="13EE05E0" w14:textId="77777777" w:rsidR="004700F5" w:rsidRDefault="00470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C8DAE" w14:textId="77777777" w:rsidR="00E063B0" w:rsidRDefault="00E063B0">
      <w:pPr>
        <w:spacing w:after="0" w:line="240" w:lineRule="auto"/>
      </w:pPr>
      <w:r>
        <w:separator/>
      </w:r>
    </w:p>
  </w:footnote>
  <w:footnote w:type="continuationSeparator" w:id="0">
    <w:p w14:paraId="20038F3D" w14:textId="77777777" w:rsidR="00E063B0" w:rsidRDefault="00E06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41D58"/>
    <w:multiLevelType w:val="multilevel"/>
    <w:tmpl w:val="DADE1314"/>
    <w:lvl w:ilvl="0">
      <w:start w:val="1"/>
      <w:numFmt w:val="decimal"/>
      <w:lvlText w:val="%1."/>
      <w:lvlJc w:val="left"/>
      <w:pPr>
        <w:ind w:left="567" w:hanging="567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567" w:hanging="567"/>
      </w:pPr>
    </w:lvl>
    <w:lvl w:ilvl="3">
      <w:start w:val="1"/>
      <w:numFmt w:val="decimal"/>
      <w:lvlText w:val="%1.%2.%3.%4."/>
      <w:lvlJc w:val="left"/>
      <w:pPr>
        <w:ind w:left="567" w:hanging="567"/>
      </w:pPr>
    </w:lvl>
    <w:lvl w:ilvl="4">
      <w:start w:val="1"/>
      <w:numFmt w:val="lowerLetter"/>
      <w:lvlText w:val="(%5)"/>
      <w:lvlJc w:val="left"/>
      <w:pPr>
        <w:ind w:left="567" w:hanging="567"/>
      </w:pPr>
    </w:lvl>
    <w:lvl w:ilvl="5">
      <w:start w:val="1"/>
      <w:numFmt w:val="lowerRoman"/>
      <w:lvlText w:val="(%6)"/>
      <w:lvlJc w:val="lef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left"/>
      <w:pPr>
        <w:ind w:left="567" w:hanging="567"/>
      </w:pPr>
    </w:lvl>
  </w:abstractNum>
  <w:abstractNum w:abstractNumId="1" w15:restartNumberingAfterBreak="0">
    <w:nsid w:val="38FD7EC2"/>
    <w:multiLevelType w:val="multilevel"/>
    <w:tmpl w:val="5262D6F8"/>
    <w:lvl w:ilvl="0">
      <w:start w:val="1"/>
      <w:numFmt w:val="decimal"/>
      <w:lvlText w:val="%1."/>
      <w:lvlJc w:val="left"/>
      <w:pPr>
        <w:ind w:left="567" w:hanging="567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567" w:hanging="567"/>
      </w:pPr>
    </w:lvl>
    <w:lvl w:ilvl="3">
      <w:start w:val="1"/>
      <w:numFmt w:val="decimal"/>
      <w:lvlText w:val="%1.%2.%3.%4."/>
      <w:lvlJc w:val="left"/>
      <w:pPr>
        <w:ind w:left="5954" w:hanging="567"/>
      </w:pPr>
    </w:lvl>
    <w:lvl w:ilvl="4">
      <w:start w:val="1"/>
      <w:numFmt w:val="lowerLetter"/>
      <w:lvlText w:val="(%5)"/>
      <w:lvlJc w:val="left"/>
      <w:pPr>
        <w:ind w:left="567" w:hanging="567"/>
      </w:pPr>
    </w:lvl>
    <w:lvl w:ilvl="5">
      <w:start w:val="1"/>
      <w:numFmt w:val="lowerRoman"/>
      <w:lvlText w:val="(%6)"/>
      <w:lvlJc w:val="lef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left"/>
      <w:pPr>
        <w:ind w:left="567" w:hanging="567"/>
      </w:pPr>
    </w:lvl>
  </w:abstractNum>
  <w:abstractNum w:abstractNumId="2" w15:restartNumberingAfterBreak="0">
    <w:nsid w:val="43CB783B"/>
    <w:multiLevelType w:val="multilevel"/>
    <w:tmpl w:val="715A0A8A"/>
    <w:lvl w:ilvl="0">
      <w:start w:val="1"/>
      <w:numFmt w:val="decimal"/>
      <w:pStyle w:val="PartiesCtrlShiftP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7500B98"/>
    <w:multiLevelType w:val="multilevel"/>
    <w:tmpl w:val="0074D0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5CE806A0"/>
    <w:multiLevelType w:val="multilevel"/>
    <w:tmpl w:val="ACB2DAD6"/>
    <w:lvl w:ilvl="0">
      <w:start w:val="2"/>
      <w:numFmt w:val="bullet"/>
      <w:lvlText w:val="-"/>
      <w:lvlJc w:val="left"/>
      <w:pPr>
        <w:ind w:left="927" w:hanging="360"/>
      </w:pPr>
      <w:rPr>
        <w:rFonts w:ascii="Poppins" w:eastAsia="Poppins" w:hAnsi="Poppins" w:cs="Poppin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 w16cid:durableId="626619706">
    <w:abstractNumId w:val="0"/>
  </w:num>
  <w:num w:numId="2" w16cid:durableId="1894272417">
    <w:abstractNumId w:val="1"/>
  </w:num>
  <w:num w:numId="3" w16cid:durableId="1828861681">
    <w:abstractNumId w:val="4"/>
  </w:num>
  <w:num w:numId="4" w16cid:durableId="1292132902">
    <w:abstractNumId w:val="3"/>
  </w:num>
  <w:num w:numId="5" w16cid:durableId="1712804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0F5"/>
    <w:rsid w:val="000A39FD"/>
    <w:rsid w:val="0012393A"/>
    <w:rsid w:val="00304584"/>
    <w:rsid w:val="00405515"/>
    <w:rsid w:val="004554F8"/>
    <w:rsid w:val="004700F5"/>
    <w:rsid w:val="0051698F"/>
    <w:rsid w:val="009A1B8F"/>
    <w:rsid w:val="00AB5628"/>
    <w:rsid w:val="00DA7AF4"/>
    <w:rsid w:val="00E0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B2A5A"/>
  <w15:docId w15:val="{4F752A8D-D8AD-3244-9B03-4A60BF67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580BAC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F3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E366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E3660"/>
    <w:rPr>
      <w:color w:val="605E5C"/>
      <w:shd w:val="clear" w:color="auto" w:fill="E1DFDD"/>
    </w:rPr>
  </w:style>
  <w:style w:type="paragraph" w:customStyle="1" w:styleId="PartiesCtrlShiftP">
    <w:name w:val="Parties (CtrlShift + P)"/>
    <w:basedOn w:val="Normln"/>
    <w:next w:val="Normln"/>
    <w:qFormat/>
    <w:rsid w:val="00A712D6"/>
    <w:pPr>
      <w:numPr>
        <w:numId w:val="5"/>
      </w:numPr>
      <w:spacing w:after="120" w:line="120" w:lineRule="atLeast"/>
      <w:jc w:val="both"/>
    </w:pPr>
    <w:rPr>
      <w:rFonts w:ascii="Futura T OT" w:hAnsi="Futura T OT"/>
      <w:b/>
      <w:sz w:val="20"/>
      <w:szCs w:val="20"/>
    </w:rPr>
  </w:style>
  <w:style w:type="table" w:customStyle="1" w:styleId="a1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p1wpzSpM1b2kLNtUt/eeqUD0OQ==">CgMxLjAyCGguZ2pkZ3hzMgloLjMwajB6bGwyCWguMWZvYjl0ZTgAciExVm1VMjFMN3J6OXFNVVd0QXJxZVdxTVN2VzZoczZIdTg=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1523</Words>
  <Characters>8987</Characters>
  <Application>Microsoft Office Word</Application>
  <DocSecurity>0</DocSecurity>
  <Lines>74</Lines>
  <Paragraphs>20</Paragraphs>
  <ScaleCrop>false</ScaleCrop>
  <Company/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Petr</dc:creator>
  <cp:lastModifiedBy>Ondřej Petr</cp:lastModifiedBy>
  <cp:revision>2</cp:revision>
  <dcterms:created xsi:type="dcterms:W3CDTF">2025-04-17T07:55:00Z</dcterms:created>
  <dcterms:modified xsi:type="dcterms:W3CDTF">2025-04-17T07:55:00Z</dcterms:modified>
</cp:coreProperties>
</file>