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2E1" w14:textId="77777777" w:rsidR="005945A1" w:rsidRPr="005945A1" w:rsidRDefault="005945A1" w:rsidP="005945A1">
      <w:pPr>
        <w:pBdr>
          <w:top w:val="nil"/>
          <w:left w:val="nil"/>
          <w:bottom w:val="nil"/>
          <w:right w:val="nil"/>
          <w:between w:val="nil"/>
        </w:pBdr>
        <w:tabs>
          <w:tab w:val="left" w:pos="2016"/>
          <w:tab w:val="left" w:pos="3168"/>
          <w:tab w:val="left" w:pos="4320"/>
          <w:tab w:val="left" w:pos="5472"/>
          <w:tab w:val="left" w:pos="6624"/>
          <w:tab w:val="left" w:pos="7776"/>
          <w:tab w:val="left" w:pos="8928"/>
        </w:tabs>
        <w:autoSpaceDE/>
        <w:autoSpaceDN/>
        <w:spacing w:line="276" w:lineRule="auto"/>
        <w:jc w:val="center"/>
        <w:rPr>
          <w:b/>
          <w:color w:val="000000"/>
          <w:sz w:val="28"/>
          <w:szCs w:val="28"/>
          <w:lang w:val="cs-CZ" w:eastAsia="cs-CZ"/>
        </w:rPr>
      </w:pPr>
    </w:p>
    <w:p w14:paraId="746D50E8" w14:textId="77777777" w:rsidR="005945A1" w:rsidRPr="005945A1" w:rsidRDefault="005945A1" w:rsidP="005945A1">
      <w:pPr>
        <w:pBdr>
          <w:top w:val="nil"/>
          <w:left w:val="nil"/>
          <w:bottom w:val="nil"/>
          <w:right w:val="nil"/>
          <w:between w:val="nil"/>
        </w:pBdr>
        <w:tabs>
          <w:tab w:val="left" w:pos="2016"/>
          <w:tab w:val="left" w:pos="3168"/>
          <w:tab w:val="left" w:pos="4320"/>
          <w:tab w:val="left" w:pos="5472"/>
          <w:tab w:val="left" w:pos="6624"/>
          <w:tab w:val="left" w:pos="7776"/>
          <w:tab w:val="left" w:pos="8928"/>
        </w:tabs>
        <w:autoSpaceDE/>
        <w:autoSpaceDN/>
        <w:spacing w:line="276" w:lineRule="auto"/>
        <w:jc w:val="center"/>
        <w:rPr>
          <w:b/>
          <w:color w:val="000000"/>
          <w:sz w:val="28"/>
          <w:szCs w:val="28"/>
          <w:lang w:val="cs-CZ" w:eastAsia="cs-CZ"/>
        </w:rPr>
      </w:pPr>
      <w:r w:rsidRPr="005945A1">
        <w:rPr>
          <w:b/>
          <w:color w:val="000000"/>
          <w:sz w:val="28"/>
          <w:szCs w:val="28"/>
          <w:lang w:val="cs-CZ" w:eastAsia="cs-CZ"/>
        </w:rPr>
        <w:t>Smlouva o poskytnutí dotace</w:t>
      </w:r>
    </w:p>
    <w:p w14:paraId="20C5C3B4" w14:textId="4839CD0D" w:rsidR="005945A1" w:rsidRPr="005945A1" w:rsidRDefault="005945A1" w:rsidP="005945A1">
      <w:pPr>
        <w:widowControl/>
        <w:tabs>
          <w:tab w:val="left" w:pos="8928"/>
        </w:tabs>
        <w:autoSpaceDE/>
        <w:autoSpaceDN/>
        <w:spacing w:before="120" w:after="120" w:line="276" w:lineRule="auto"/>
        <w:jc w:val="center"/>
        <w:rPr>
          <w:i/>
          <w:sz w:val="20"/>
          <w:szCs w:val="20"/>
          <w:lang w:val="cs-CZ" w:eastAsia="cs-CZ"/>
        </w:rPr>
      </w:pPr>
      <w:r w:rsidRPr="005945A1">
        <w:rPr>
          <w:b/>
          <w:sz w:val="20"/>
          <w:szCs w:val="20"/>
          <w:lang w:val="cs-CZ" w:eastAsia="cs-CZ"/>
        </w:rPr>
        <w:t>č. D/</w:t>
      </w:r>
      <w:r w:rsidR="00186470">
        <w:rPr>
          <w:b/>
          <w:sz w:val="20"/>
          <w:szCs w:val="20"/>
          <w:lang w:val="cs-CZ" w:eastAsia="cs-CZ"/>
        </w:rPr>
        <w:t>3553</w:t>
      </w:r>
      <w:r w:rsidR="007209E3">
        <w:rPr>
          <w:b/>
          <w:sz w:val="20"/>
          <w:szCs w:val="20"/>
          <w:lang w:val="cs-CZ" w:eastAsia="cs-CZ"/>
        </w:rPr>
        <w:t>/202</w:t>
      </w:r>
      <w:r w:rsidR="005A0115">
        <w:rPr>
          <w:b/>
          <w:sz w:val="20"/>
          <w:szCs w:val="20"/>
          <w:lang w:val="cs-CZ" w:eastAsia="cs-CZ"/>
        </w:rPr>
        <w:t>4</w:t>
      </w:r>
      <w:r w:rsidRPr="005945A1">
        <w:rPr>
          <w:b/>
          <w:sz w:val="20"/>
          <w:szCs w:val="20"/>
          <w:lang w:val="cs-CZ" w:eastAsia="cs-CZ"/>
        </w:rPr>
        <w:t>/STR</w:t>
      </w:r>
    </w:p>
    <w:p w14:paraId="5DF1934D" w14:textId="77777777" w:rsidR="005945A1" w:rsidRPr="005945A1" w:rsidRDefault="005945A1" w:rsidP="005945A1">
      <w:pPr>
        <w:widowControl/>
        <w:tabs>
          <w:tab w:val="left" w:pos="8928"/>
        </w:tabs>
        <w:autoSpaceDE/>
        <w:autoSpaceDN/>
        <w:spacing w:before="72" w:after="120" w:line="276" w:lineRule="auto"/>
        <w:jc w:val="center"/>
        <w:rPr>
          <w:sz w:val="24"/>
          <w:szCs w:val="24"/>
          <w:lang w:val="cs-CZ" w:eastAsia="cs-CZ"/>
        </w:rPr>
      </w:pPr>
      <w:r w:rsidRPr="005945A1">
        <w:rPr>
          <w:sz w:val="20"/>
          <w:szCs w:val="20"/>
          <w:lang w:val="cs-CZ" w:eastAsia="cs-CZ"/>
        </w:rPr>
        <w:t xml:space="preserve"> (uzavřená dle § 159 a násl. zákona č. 500/2004 Sb., správní řád, ve znění pozdějších předpisů)</w:t>
      </w:r>
    </w:p>
    <w:p w14:paraId="17ACD2AF" w14:textId="77777777" w:rsidR="005945A1" w:rsidRPr="005945A1" w:rsidRDefault="005945A1" w:rsidP="005945A1">
      <w:pPr>
        <w:widowControl/>
        <w:pBdr>
          <w:top w:val="nil"/>
          <w:left w:val="nil"/>
          <w:bottom w:val="nil"/>
          <w:right w:val="nil"/>
          <w:between w:val="nil"/>
        </w:pBdr>
        <w:autoSpaceDE/>
        <w:autoSpaceDN/>
        <w:spacing w:line="276" w:lineRule="auto"/>
        <w:jc w:val="center"/>
        <w:rPr>
          <w:color w:val="000000"/>
          <w:sz w:val="20"/>
          <w:szCs w:val="20"/>
          <w:lang w:val="cs-CZ" w:eastAsia="cs-CZ"/>
        </w:rPr>
      </w:pPr>
      <w:r w:rsidRPr="005945A1">
        <w:rPr>
          <w:color w:val="000000"/>
          <w:sz w:val="20"/>
          <w:szCs w:val="20"/>
          <w:lang w:val="cs-CZ" w:eastAsia="cs-CZ"/>
        </w:rPr>
        <w:t>mezi:</w:t>
      </w:r>
    </w:p>
    <w:p w14:paraId="5C1B31A7" w14:textId="77777777" w:rsidR="005945A1" w:rsidRPr="005945A1" w:rsidRDefault="005945A1" w:rsidP="005945A1">
      <w:pPr>
        <w:widowControl/>
        <w:pBdr>
          <w:top w:val="nil"/>
          <w:left w:val="nil"/>
          <w:bottom w:val="nil"/>
          <w:right w:val="nil"/>
          <w:between w:val="nil"/>
        </w:pBdr>
        <w:autoSpaceDE/>
        <w:autoSpaceDN/>
        <w:spacing w:line="276" w:lineRule="auto"/>
        <w:jc w:val="center"/>
        <w:rPr>
          <w:color w:val="000000"/>
          <w:sz w:val="20"/>
          <w:szCs w:val="20"/>
          <w:lang w:val="cs-CZ" w:eastAsia="cs-CZ"/>
        </w:rPr>
      </w:pPr>
    </w:p>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2122"/>
        <w:gridCol w:w="6940"/>
      </w:tblGrid>
      <w:tr w:rsidR="005945A1" w:rsidRPr="005945A1" w14:paraId="3151CA1A" w14:textId="77777777" w:rsidTr="0069769B">
        <w:tc>
          <w:tcPr>
            <w:tcW w:w="2122" w:type="dxa"/>
          </w:tcPr>
          <w:p w14:paraId="1A4CC8B5" w14:textId="77777777" w:rsidR="005945A1" w:rsidRPr="005945A1" w:rsidRDefault="005945A1" w:rsidP="005945A1">
            <w:pPr>
              <w:widowControl/>
              <w:pBdr>
                <w:top w:val="nil"/>
                <w:left w:val="nil"/>
                <w:bottom w:val="nil"/>
                <w:right w:val="nil"/>
                <w:between w:val="nil"/>
              </w:pBdr>
              <w:autoSpaceDE/>
              <w:autoSpaceDN/>
              <w:spacing w:after="160" w:line="276" w:lineRule="auto"/>
              <w:rPr>
                <w:color w:val="000000"/>
                <w:sz w:val="20"/>
                <w:szCs w:val="20"/>
                <w:lang w:val="cs-CZ" w:eastAsia="cs-CZ"/>
              </w:rPr>
            </w:pPr>
            <w:r w:rsidRPr="005945A1">
              <w:rPr>
                <w:color w:val="000000"/>
                <w:sz w:val="20"/>
                <w:szCs w:val="20"/>
                <w:lang w:val="cs-CZ" w:eastAsia="cs-CZ"/>
              </w:rPr>
              <w:t>Poskytovatel dotace:</w:t>
            </w:r>
          </w:p>
        </w:tc>
        <w:tc>
          <w:tcPr>
            <w:tcW w:w="6940" w:type="dxa"/>
          </w:tcPr>
          <w:p w14:paraId="0EBC96F5" w14:textId="77777777" w:rsidR="005945A1" w:rsidRPr="002358F0" w:rsidRDefault="005945A1" w:rsidP="005945A1">
            <w:pPr>
              <w:widowControl/>
              <w:pBdr>
                <w:top w:val="nil"/>
                <w:left w:val="nil"/>
                <w:bottom w:val="nil"/>
                <w:right w:val="nil"/>
                <w:between w:val="nil"/>
              </w:pBdr>
              <w:autoSpaceDE/>
              <w:autoSpaceDN/>
              <w:spacing w:after="160" w:line="276" w:lineRule="auto"/>
              <w:rPr>
                <w:b/>
                <w:color w:val="000000"/>
                <w:sz w:val="20"/>
                <w:szCs w:val="20"/>
                <w:lang w:val="cs-CZ" w:eastAsia="cs-CZ"/>
              </w:rPr>
            </w:pPr>
            <w:r w:rsidRPr="002358F0">
              <w:rPr>
                <w:b/>
                <w:color w:val="000000"/>
                <w:sz w:val="20"/>
                <w:szCs w:val="20"/>
                <w:lang w:val="cs-CZ" w:eastAsia="cs-CZ"/>
              </w:rPr>
              <w:t>Zlínský kraj</w:t>
            </w:r>
          </w:p>
          <w:p w14:paraId="73F7E841" w14:textId="77777777"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se sídlem ve Zlíně, tř. T. Bati 21, PSČ 761 90</w:t>
            </w:r>
          </w:p>
          <w:p w14:paraId="0895E8BF" w14:textId="77777777"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 xml:space="preserve">zastupuje: Ing. Radim Holiš, hejtman </w:t>
            </w:r>
          </w:p>
          <w:p w14:paraId="7A0EA6D9" w14:textId="77777777"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IČO: 70891320</w:t>
            </w:r>
          </w:p>
          <w:p w14:paraId="1F23CD44" w14:textId="77777777"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bankovní spojení: 1827552/0800, Česká spořitelna, a. s.</w:t>
            </w:r>
          </w:p>
          <w:p w14:paraId="3B867C0D" w14:textId="77777777" w:rsidR="005945A1" w:rsidRPr="005945A1" w:rsidRDefault="005945A1" w:rsidP="005945A1">
            <w:pPr>
              <w:widowControl/>
              <w:pBdr>
                <w:top w:val="nil"/>
                <w:left w:val="nil"/>
                <w:bottom w:val="nil"/>
                <w:right w:val="nil"/>
                <w:between w:val="nil"/>
              </w:pBdr>
              <w:autoSpaceDE/>
              <w:autoSpaceDN/>
              <w:spacing w:after="160" w:line="276" w:lineRule="auto"/>
              <w:rPr>
                <w:color w:val="000000"/>
                <w:sz w:val="20"/>
                <w:szCs w:val="20"/>
                <w:lang w:val="cs-CZ" w:eastAsia="cs-CZ"/>
              </w:rPr>
            </w:pPr>
            <w:r w:rsidRPr="005945A1">
              <w:rPr>
                <w:color w:val="000000"/>
                <w:sz w:val="20"/>
                <w:szCs w:val="20"/>
                <w:lang w:val="cs-CZ" w:eastAsia="cs-CZ"/>
              </w:rPr>
              <w:t>(dále i jen „</w:t>
            </w:r>
            <w:r w:rsidRPr="005945A1">
              <w:rPr>
                <w:b/>
                <w:color w:val="000000"/>
                <w:sz w:val="20"/>
                <w:szCs w:val="20"/>
                <w:lang w:val="cs-CZ" w:eastAsia="cs-CZ"/>
              </w:rPr>
              <w:t>poskytovatel</w:t>
            </w:r>
            <w:r w:rsidRPr="005945A1">
              <w:rPr>
                <w:color w:val="000000"/>
                <w:sz w:val="20"/>
                <w:szCs w:val="20"/>
                <w:lang w:val="cs-CZ" w:eastAsia="cs-CZ"/>
              </w:rPr>
              <w:t>“)</w:t>
            </w:r>
          </w:p>
        </w:tc>
      </w:tr>
    </w:tbl>
    <w:p w14:paraId="29C316F2" w14:textId="77777777" w:rsidR="005945A1" w:rsidRPr="005945A1" w:rsidRDefault="005945A1" w:rsidP="005945A1">
      <w:pPr>
        <w:widowControl/>
        <w:pBdr>
          <w:top w:val="nil"/>
          <w:left w:val="nil"/>
          <w:bottom w:val="nil"/>
          <w:right w:val="nil"/>
          <w:between w:val="nil"/>
        </w:pBdr>
        <w:autoSpaceDE/>
        <w:autoSpaceDN/>
        <w:spacing w:line="276" w:lineRule="auto"/>
        <w:rPr>
          <w:color w:val="000000"/>
          <w:sz w:val="20"/>
          <w:szCs w:val="20"/>
          <w:lang w:val="cs-CZ" w:eastAsia="cs-CZ"/>
        </w:rPr>
      </w:pPr>
      <w:r w:rsidRPr="005945A1">
        <w:rPr>
          <w:color w:val="000000"/>
          <w:sz w:val="20"/>
          <w:szCs w:val="20"/>
          <w:lang w:val="cs-CZ" w:eastAsia="cs-CZ"/>
        </w:rPr>
        <w:t>a</w:t>
      </w:r>
    </w:p>
    <w:tbl>
      <w:tblPr>
        <w:tblW w:w="9498" w:type="dxa"/>
        <w:tblBorders>
          <w:top w:val="nil"/>
          <w:left w:val="nil"/>
          <w:bottom w:val="nil"/>
          <w:right w:val="nil"/>
          <w:insideH w:val="nil"/>
          <w:insideV w:val="nil"/>
        </w:tblBorders>
        <w:tblLayout w:type="fixed"/>
        <w:tblLook w:val="0400" w:firstRow="0" w:lastRow="0" w:firstColumn="0" w:lastColumn="0" w:noHBand="0" w:noVBand="1"/>
      </w:tblPr>
      <w:tblGrid>
        <w:gridCol w:w="2122"/>
        <w:gridCol w:w="7376"/>
      </w:tblGrid>
      <w:tr w:rsidR="005945A1" w:rsidRPr="005945A1" w14:paraId="56E16D58" w14:textId="77777777" w:rsidTr="002358F0">
        <w:tc>
          <w:tcPr>
            <w:tcW w:w="2122" w:type="dxa"/>
          </w:tcPr>
          <w:p w14:paraId="3C54110A" w14:textId="77777777" w:rsidR="005945A1" w:rsidRPr="005945A1" w:rsidRDefault="005945A1" w:rsidP="005945A1">
            <w:pPr>
              <w:widowControl/>
              <w:pBdr>
                <w:top w:val="nil"/>
                <w:left w:val="nil"/>
                <w:bottom w:val="nil"/>
                <w:right w:val="nil"/>
                <w:between w:val="nil"/>
              </w:pBdr>
              <w:autoSpaceDE/>
              <w:autoSpaceDN/>
              <w:spacing w:after="160" w:line="276" w:lineRule="auto"/>
              <w:rPr>
                <w:color w:val="000000"/>
                <w:sz w:val="20"/>
                <w:szCs w:val="20"/>
                <w:lang w:val="cs-CZ" w:eastAsia="cs-CZ"/>
              </w:rPr>
            </w:pPr>
            <w:r w:rsidRPr="005945A1">
              <w:rPr>
                <w:color w:val="000000"/>
                <w:sz w:val="20"/>
                <w:szCs w:val="20"/>
                <w:lang w:val="cs-CZ" w:eastAsia="cs-CZ"/>
              </w:rPr>
              <w:t>Příjemce dotace:</w:t>
            </w:r>
          </w:p>
        </w:tc>
        <w:tc>
          <w:tcPr>
            <w:tcW w:w="7376" w:type="dxa"/>
          </w:tcPr>
          <w:p w14:paraId="001E7F48" w14:textId="77777777" w:rsidR="005945A1" w:rsidRPr="005945A1" w:rsidRDefault="005945A1" w:rsidP="005945A1">
            <w:pPr>
              <w:widowControl/>
              <w:pBdr>
                <w:top w:val="nil"/>
                <w:left w:val="nil"/>
                <w:bottom w:val="nil"/>
                <w:right w:val="nil"/>
                <w:between w:val="nil"/>
              </w:pBdr>
              <w:autoSpaceDE/>
              <w:autoSpaceDN/>
              <w:spacing w:after="160" w:line="276" w:lineRule="auto"/>
              <w:rPr>
                <w:i/>
                <w:color w:val="5B9BD5"/>
                <w:sz w:val="16"/>
                <w:szCs w:val="16"/>
                <w:lang w:val="cs-CZ" w:eastAsia="cs-CZ"/>
              </w:rPr>
            </w:pPr>
            <w:r w:rsidRPr="005945A1">
              <w:rPr>
                <w:b/>
                <w:color w:val="000000"/>
                <w:sz w:val="20"/>
                <w:szCs w:val="20"/>
                <w:lang w:val="cs-CZ" w:eastAsia="cs-CZ"/>
              </w:rPr>
              <w:t>Statutární město Zlín</w:t>
            </w:r>
            <w:r w:rsidRPr="005945A1">
              <w:rPr>
                <w:color w:val="000000"/>
                <w:sz w:val="20"/>
                <w:szCs w:val="20"/>
                <w:lang w:val="cs-CZ" w:eastAsia="cs-CZ"/>
              </w:rPr>
              <w:t xml:space="preserve"> </w:t>
            </w:r>
          </w:p>
          <w:p w14:paraId="2D05AE0C" w14:textId="77777777"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 xml:space="preserve">sídlo: nám. Míru 12, 760 01 Zlín </w:t>
            </w:r>
          </w:p>
          <w:p w14:paraId="4DF2C160" w14:textId="77777777" w:rsidR="005945A1" w:rsidRPr="002358F0"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typ příjemce: právnická osoba - obec</w:t>
            </w:r>
          </w:p>
          <w:p w14:paraId="74F15EE2" w14:textId="77777777" w:rsidR="005945A1" w:rsidRPr="002358F0"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IČO: 00283924</w:t>
            </w:r>
          </w:p>
          <w:p w14:paraId="6AD1EA3A" w14:textId="7F57C73C"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bankovní spojení: </w:t>
            </w:r>
            <w:r w:rsidR="005A0115">
              <w:rPr>
                <w:color w:val="000000"/>
                <w:sz w:val="20"/>
                <w:szCs w:val="20"/>
                <w:lang w:val="cs-CZ" w:eastAsia="cs-CZ"/>
              </w:rPr>
              <w:t>3048982/</w:t>
            </w:r>
            <w:r w:rsidRPr="005945A1">
              <w:rPr>
                <w:color w:val="000000"/>
                <w:sz w:val="20"/>
                <w:szCs w:val="20"/>
                <w:lang w:val="cs-CZ" w:eastAsia="cs-CZ"/>
              </w:rPr>
              <w:t>0800, Česká spořitelna, a.s.</w:t>
            </w:r>
          </w:p>
          <w:p w14:paraId="1213A317" w14:textId="3AD67605" w:rsidR="005945A1" w:rsidRPr="005945A1" w:rsidRDefault="005945A1" w:rsidP="002358F0">
            <w:pPr>
              <w:widowControl/>
              <w:pBdr>
                <w:top w:val="nil"/>
                <w:left w:val="nil"/>
                <w:bottom w:val="nil"/>
                <w:right w:val="nil"/>
                <w:between w:val="nil"/>
              </w:pBdr>
              <w:autoSpaceDE/>
              <w:autoSpaceDN/>
              <w:spacing w:after="60"/>
              <w:rPr>
                <w:color w:val="000000"/>
                <w:sz w:val="20"/>
                <w:szCs w:val="20"/>
                <w:lang w:val="cs-CZ" w:eastAsia="cs-CZ"/>
              </w:rPr>
            </w:pPr>
            <w:r w:rsidRPr="005945A1">
              <w:rPr>
                <w:color w:val="000000"/>
                <w:sz w:val="20"/>
                <w:szCs w:val="20"/>
                <w:lang w:val="cs-CZ" w:eastAsia="cs-CZ"/>
              </w:rPr>
              <w:t>zastupuje: </w:t>
            </w:r>
            <w:r w:rsidR="005A0115">
              <w:rPr>
                <w:color w:val="000000"/>
                <w:sz w:val="20"/>
                <w:szCs w:val="20"/>
                <w:lang w:val="cs-CZ" w:eastAsia="cs-CZ"/>
              </w:rPr>
              <w:t>Michal Čížek, náměstek primátora</w:t>
            </w:r>
          </w:p>
          <w:p w14:paraId="45332A0F" w14:textId="77777777" w:rsidR="005945A1" w:rsidRPr="005945A1" w:rsidRDefault="005945A1" w:rsidP="005945A1">
            <w:pPr>
              <w:widowControl/>
              <w:pBdr>
                <w:top w:val="nil"/>
                <w:left w:val="nil"/>
                <w:bottom w:val="nil"/>
                <w:right w:val="nil"/>
                <w:between w:val="nil"/>
              </w:pBdr>
              <w:autoSpaceDE/>
              <w:autoSpaceDN/>
              <w:spacing w:after="160" w:line="276" w:lineRule="auto"/>
              <w:rPr>
                <w:color w:val="000000"/>
                <w:sz w:val="20"/>
                <w:szCs w:val="20"/>
                <w:lang w:val="cs-CZ" w:eastAsia="cs-CZ"/>
              </w:rPr>
            </w:pPr>
            <w:r w:rsidRPr="005945A1">
              <w:rPr>
                <w:color w:val="000000"/>
                <w:sz w:val="20"/>
                <w:szCs w:val="20"/>
                <w:lang w:val="cs-CZ" w:eastAsia="cs-CZ"/>
              </w:rPr>
              <w:t>(dále jen „</w:t>
            </w:r>
            <w:r w:rsidRPr="005945A1">
              <w:rPr>
                <w:b/>
                <w:color w:val="000000"/>
                <w:sz w:val="20"/>
                <w:szCs w:val="20"/>
                <w:lang w:val="cs-CZ" w:eastAsia="cs-CZ"/>
              </w:rPr>
              <w:t>příjemce</w:t>
            </w:r>
            <w:r w:rsidRPr="005945A1">
              <w:rPr>
                <w:color w:val="000000"/>
                <w:sz w:val="20"/>
                <w:szCs w:val="20"/>
                <w:lang w:val="cs-CZ" w:eastAsia="cs-CZ"/>
              </w:rPr>
              <w:t>“)</w:t>
            </w:r>
          </w:p>
        </w:tc>
      </w:tr>
    </w:tbl>
    <w:p w14:paraId="212CB864"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Předmět smlouvy</w:t>
      </w:r>
    </w:p>
    <w:p w14:paraId="4BAA8BA0"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Poskytovatel se zavazuje poskytnout příjemci </w:t>
      </w:r>
      <w:r w:rsidRPr="005945A1">
        <w:rPr>
          <w:b/>
          <w:color w:val="000000"/>
          <w:sz w:val="20"/>
          <w:szCs w:val="20"/>
          <w:lang w:val="cs-CZ" w:eastAsia="cs-CZ"/>
        </w:rPr>
        <w:t>neinvestiční dotaci</w:t>
      </w:r>
      <w:r w:rsidRPr="005945A1">
        <w:rPr>
          <w:color w:val="000000"/>
          <w:sz w:val="20"/>
          <w:szCs w:val="20"/>
          <w:lang w:val="cs-CZ" w:eastAsia="cs-CZ"/>
        </w:rPr>
        <w:t xml:space="preserve"> z Fondu Zlínského kraje (dále jen „</w:t>
      </w:r>
      <w:r w:rsidRPr="005945A1">
        <w:rPr>
          <w:b/>
          <w:color w:val="000000"/>
          <w:sz w:val="20"/>
          <w:szCs w:val="20"/>
          <w:lang w:val="cs-CZ" w:eastAsia="cs-CZ"/>
        </w:rPr>
        <w:t>dotace</w:t>
      </w:r>
      <w:r w:rsidRPr="005945A1">
        <w:rPr>
          <w:color w:val="000000"/>
          <w:sz w:val="20"/>
          <w:szCs w:val="20"/>
          <w:lang w:val="cs-CZ" w:eastAsia="cs-CZ"/>
        </w:rPr>
        <w:t>“) do výše </w:t>
      </w:r>
      <w:r w:rsidRPr="005945A1">
        <w:rPr>
          <w:b/>
          <w:color w:val="000000"/>
          <w:sz w:val="20"/>
          <w:szCs w:val="20"/>
          <w:lang w:val="cs-CZ" w:eastAsia="cs-CZ"/>
        </w:rPr>
        <w:t>5 500 000</w:t>
      </w:r>
      <w:r w:rsidRPr="005945A1">
        <w:rPr>
          <w:color w:val="000000"/>
          <w:sz w:val="20"/>
          <w:szCs w:val="20"/>
          <w:lang w:val="cs-CZ" w:eastAsia="cs-CZ"/>
        </w:rPr>
        <w:t xml:space="preserve"> Kč, (slovy: </w:t>
      </w:r>
      <w:r w:rsidRPr="007209E3">
        <w:rPr>
          <w:i/>
          <w:color w:val="000000"/>
          <w:sz w:val="20"/>
          <w:szCs w:val="20"/>
          <w:lang w:val="cs-CZ" w:eastAsia="cs-CZ"/>
        </w:rPr>
        <w:t>pět milionů pět set tisíc korun českých</w:t>
      </w:r>
      <w:r w:rsidRPr="005945A1">
        <w:rPr>
          <w:color w:val="000000"/>
          <w:sz w:val="20"/>
          <w:szCs w:val="20"/>
          <w:lang w:val="cs-CZ" w:eastAsia="cs-CZ"/>
        </w:rPr>
        <w:t>).</w:t>
      </w:r>
    </w:p>
    <w:p w14:paraId="68BB54E9" w14:textId="77777777" w:rsidR="005945A1" w:rsidRPr="005945A1" w:rsidRDefault="005945A1" w:rsidP="0017458B">
      <w:pPr>
        <w:pStyle w:val="Hlavntextlnksmlouvy"/>
      </w:pPr>
      <w:r w:rsidRPr="005945A1">
        <w:t>Dotace je poskytována na zajištění dopravní obslužnosti dle zákona č. 194/2010 Sb., o veřejných službách v přepravě cestujících a o změně dalších zákonů ve znění pozdějších předpisů, veřejnou drážní dopravou mezi hraničními zastávkami Zlín, Náměstí práce – Otrokovice, železniční stani</w:t>
      </w:r>
      <w:r w:rsidR="007209E3">
        <w:t>ce, trolejbusovými linkami č.</w:t>
      </w:r>
      <w:r w:rsidRPr="005945A1">
        <w:t xml:space="preserve"> 2 a 6.</w:t>
      </w:r>
    </w:p>
    <w:p w14:paraId="75B55C09"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se zavazuje zrealizovat projekt tak, jak je popsán v žádosti o poskytnutí dotace.</w:t>
      </w:r>
    </w:p>
    <w:p w14:paraId="4998CCF7"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color w:val="000000"/>
          <w:sz w:val="20"/>
          <w:szCs w:val="20"/>
          <w:lang w:val="cs-CZ" w:eastAsia="cs-CZ"/>
        </w:rPr>
      </w:pPr>
      <w:r w:rsidRPr="005945A1">
        <w:rPr>
          <w:color w:val="000000"/>
          <w:sz w:val="20"/>
          <w:szCs w:val="20"/>
          <w:lang w:val="cs-CZ" w:eastAsia="cs-CZ"/>
        </w:rPr>
        <w:t xml:space="preserve">Dopravní obslužnost dle </w:t>
      </w:r>
      <w:r w:rsidR="0017458B">
        <w:rPr>
          <w:color w:val="000000"/>
          <w:sz w:val="20"/>
          <w:szCs w:val="20"/>
          <w:lang w:val="cs-CZ" w:eastAsia="cs-CZ"/>
        </w:rPr>
        <w:t>čl.</w:t>
      </w:r>
      <w:r w:rsidR="0017458B" w:rsidRPr="005945A1">
        <w:rPr>
          <w:color w:val="000000"/>
          <w:sz w:val="20"/>
          <w:szCs w:val="20"/>
          <w:lang w:val="cs-CZ" w:eastAsia="cs-CZ"/>
        </w:rPr>
        <w:t xml:space="preserve"> </w:t>
      </w:r>
      <w:r w:rsidRPr="005945A1">
        <w:rPr>
          <w:color w:val="000000"/>
          <w:sz w:val="20"/>
          <w:szCs w:val="20"/>
          <w:lang w:val="cs-CZ" w:eastAsia="cs-CZ"/>
        </w:rPr>
        <w:t>1.2 zajišťuje pro příjemce Dopravní společnost Zlín – Otrokovice, s. r. o., IČO 60730153 (dále jen „</w:t>
      </w:r>
      <w:r w:rsidRPr="005945A1">
        <w:rPr>
          <w:b/>
          <w:color w:val="000000"/>
          <w:sz w:val="20"/>
          <w:szCs w:val="20"/>
          <w:lang w:val="cs-CZ" w:eastAsia="cs-CZ"/>
        </w:rPr>
        <w:t>konečný příjemce</w:t>
      </w:r>
      <w:r w:rsidRPr="005945A1">
        <w:rPr>
          <w:color w:val="000000"/>
          <w:sz w:val="20"/>
          <w:szCs w:val="20"/>
          <w:lang w:val="cs-CZ" w:eastAsia="cs-CZ"/>
        </w:rPr>
        <w:t>“).</w:t>
      </w:r>
    </w:p>
    <w:p w14:paraId="05FBF7C6" w14:textId="0A72FC80"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i/>
          <w:color w:val="000000"/>
          <w:sz w:val="20"/>
          <w:szCs w:val="20"/>
          <w:lang w:val="cs-CZ" w:eastAsia="cs-CZ"/>
        </w:rPr>
      </w:pPr>
      <w:r w:rsidRPr="005945A1">
        <w:rPr>
          <w:color w:val="000000"/>
          <w:sz w:val="20"/>
          <w:szCs w:val="20"/>
          <w:lang w:val="cs-CZ" w:eastAsia="cs-CZ"/>
        </w:rPr>
        <w:t>Výkaz předpokládaných nákladů a výnos</w:t>
      </w:r>
      <w:r w:rsidR="007209E3">
        <w:rPr>
          <w:color w:val="000000"/>
          <w:sz w:val="20"/>
          <w:szCs w:val="20"/>
          <w:lang w:val="cs-CZ" w:eastAsia="cs-CZ"/>
        </w:rPr>
        <w:t>ů konečného příjemce na rok 202</w:t>
      </w:r>
      <w:r w:rsidR="005A0115">
        <w:rPr>
          <w:color w:val="000000"/>
          <w:sz w:val="20"/>
          <w:szCs w:val="20"/>
          <w:lang w:val="cs-CZ" w:eastAsia="cs-CZ"/>
        </w:rPr>
        <w:t>5</w:t>
      </w:r>
      <w:r w:rsidRPr="005945A1">
        <w:rPr>
          <w:color w:val="000000"/>
          <w:sz w:val="20"/>
          <w:szCs w:val="20"/>
          <w:lang w:val="cs-CZ" w:eastAsia="cs-CZ"/>
        </w:rPr>
        <w:t xml:space="preserve">, který udává předpokládanou kompenzaci paušálních nákladů na 1 vozokm, je přílohou č. 1 této smlouvy. Poskytnutá dotace bude představovat podíl </w:t>
      </w:r>
      <w:r w:rsidR="005A0115">
        <w:rPr>
          <w:color w:val="000000"/>
          <w:sz w:val="20"/>
          <w:szCs w:val="20"/>
          <w:lang w:val="cs-CZ" w:eastAsia="cs-CZ"/>
        </w:rPr>
        <w:t>9,58</w:t>
      </w:r>
      <w:r w:rsidRPr="009E6512">
        <w:rPr>
          <w:color w:val="000000"/>
          <w:sz w:val="20"/>
          <w:szCs w:val="20"/>
          <w:lang w:val="cs-CZ" w:eastAsia="cs-CZ"/>
        </w:rPr>
        <w:t> %</w:t>
      </w:r>
      <w:r w:rsidRPr="005945A1">
        <w:rPr>
          <w:color w:val="000000"/>
          <w:sz w:val="20"/>
          <w:szCs w:val="20"/>
          <w:lang w:val="cs-CZ" w:eastAsia="cs-CZ"/>
        </w:rPr>
        <w:t xml:space="preserve"> na předpokládané kompenzaci paušálních nákladů konečného příjemce. V případě, že skutečná kompenzace paušálních nákladů konečného příjemce bude jiná než předpokládaná, postupuje se dle ustanovení čl. 4.2. </w:t>
      </w:r>
    </w:p>
    <w:p w14:paraId="2E5D2AD1" w14:textId="5CF25BF5" w:rsidR="008B44F4" w:rsidRDefault="008B44F4">
      <w:pPr>
        <w:rPr>
          <w:color w:val="000000"/>
          <w:sz w:val="20"/>
          <w:szCs w:val="20"/>
          <w:lang w:val="cs-CZ" w:eastAsia="cs-CZ"/>
        </w:rPr>
      </w:pPr>
      <w:r>
        <w:rPr>
          <w:color w:val="000000"/>
          <w:sz w:val="20"/>
          <w:szCs w:val="20"/>
          <w:lang w:val="cs-CZ" w:eastAsia="cs-CZ"/>
        </w:rPr>
        <w:br w:type="page"/>
      </w:r>
    </w:p>
    <w:p w14:paraId="47405D21"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lastRenderedPageBreak/>
        <w:t>Doba realizace</w:t>
      </w:r>
    </w:p>
    <w:p w14:paraId="0B41A697" w14:textId="4CDD08DD"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Doba </w:t>
      </w:r>
      <w:r w:rsidR="007209E3">
        <w:rPr>
          <w:color w:val="000000"/>
          <w:sz w:val="20"/>
          <w:szCs w:val="20"/>
          <w:lang w:val="cs-CZ" w:eastAsia="cs-CZ"/>
        </w:rPr>
        <w:t>realizace začíná dnem 1. 1. 202</w:t>
      </w:r>
      <w:r w:rsidR="005A0115">
        <w:rPr>
          <w:color w:val="000000"/>
          <w:sz w:val="20"/>
          <w:szCs w:val="20"/>
          <w:lang w:val="cs-CZ" w:eastAsia="cs-CZ"/>
        </w:rPr>
        <w:t>5</w:t>
      </w:r>
      <w:r w:rsidRPr="005945A1">
        <w:rPr>
          <w:color w:val="000000"/>
          <w:sz w:val="20"/>
          <w:szCs w:val="20"/>
          <w:lang w:val="cs-CZ" w:eastAsia="cs-CZ"/>
        </w:rPr>
        <w:t>.</w:t>
      </w:r>
    </w:p>
    <w:p w14:paraId="70A09C09" w14:textId="4EAEB5CC"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Doba r</w:t>
      </w:r>
      <w:r w:rsidR="007209E3">
        <w:rPr>
          <w:color w:val="000000"/>
          <w:sz w:val="20"/>
          <w:szCs w:val="20"/>
          <w:lang w:val="cs-CZ" w:eastAsia="cs-CZ"/>
        </w:rPr>
        <w:t>ealizace končí dnem 31. 12. 202</w:t>
      </w:r>
      <w:r w:rsidR="005A0115">
        <w:rPr>
          <w:color w:val="000000"/>
          <w:sz w:val="20"/>
          <w:szCs w:val="20"/>
          <w:lang w:val="cs-CZ" w:eastAsia="cs-CZ"/>
        </w:rPr>
        <w:t>5</w:t>
      </w:r>
      <w:r w:rsidRPr="005945A1">
        <w:rPr>
          <w:color w:val="000000"/>
          <w:sz w:val="20"/>
          <w:szCs w:val="20"/>
          <w:lang w:val="cs-CZ" w:eastAsia="cs-CZ"/>
        </w:rPr>
        <w:t>.</w:t>
      </w:r>
    </w:p>
    <w:p w14:paraId="5C8EF36A" w14:textId="28B24376" w:rsidR="005945A1" w:rsidRPr="008B44F4"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Způsobilé výdaje musí příjemci vzniknout v době realizace a musí jím být uhrazeny způsobem specifikovaným v odst. 5.2. </w:t>
      </w:r>
    </w:p>
    <w:p w14:paraId="59D2D331" w14:textId="77777777" w:rsidR="008B44F4" w:rsidRPr="005945A1" w:rsidRDefault="008B44F4" w:rsidP="008B44F4">
      <w:pPr>
        <w:widowControl/>
        <w:pBdr>
          <w:top w:val="nil"/>
          <w:left w:val="nil"/>
          <w:bottom w:val="nil"/>
          <w:right w:val="nil"/>
          <w:between w:val="nil"/>
        </w:pBdr>
        <w:autoSpaceDE/>
        <w:autoSpaceDN/>
        <w:spacing w:before="60" w:after="60" w:line="259" w:lineRule="auto"/>
        <w:ind w:left="567"/>
        <w:jc w:val="both"/>
        <w:rPr>
          <w:sz w:val="20"/>
          <w:szCs w:val="20"/>
          <w:lang w:val="cs-CZ" w:eastAsia="cs-CZ"/>
        </w:rPr>
      </w:pPr>
    </w:p>
    <w:p w14:paraId="731D03F2"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Monitorovací indikátory</w:t>
      </w:r>
    </w:p>
    <w:p w14:paraId="3B2D3DF8"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Během doby realizace se příjemce zavazuje naplnit monitorovací indikátor projektu, jehož minimální závazná hodnota je uvedena v následující tabulce, a to nejpozději k datu ukončení doby realizace:</w:t>
      </w:r>
    </w:p>
    <w:tbl>
      <w:tblPr>
        <w:tblW w:w="85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4925"/>
        <w:gridCol w:w="1686"/>
        <w:gridCol w:w="1427"/>
      </w:tblGrid>
      <w:tr w:rsidR="005945A1" w:rsidRPr="005945A1" w14:paraId="491F15B4" w14:textId="77777777" w:rsidTr="0069769B">
        <w:trPr>
          <w:trHeight w:val="243"/>
        </w:trPr>
        <w:tc>
          <w:tcPr>
            <w:tcW w:w="8515" w:type="dxa"/>
            <w:gridSpan w:val="4"/>
            <w:tcBorders>
              <w:top w:val="single" w:sz="4" w:space="0" w:color="808080"/>
              <w:left w:val="single" w:sz="4" w:space="0" w:color="808080"/>
              <w:bottom w:val="dotted" w:sz="4" w:space="0" w:color="000000"/>
              <w:right w:val="single" w:sz="4" w:space="0" w:color="808080"/>
            </w:tcBorders>
            <w:shd w:val="clear" w:color="auto" w:fill="F2F2F2"/>
            <w:vAlign w:val="center"/>
          </w:tcPr>
          <w:p w14:paraId="51AF3207" w14:textId="77777777" w:rsidR="005945A1" w:rsidRPr="005945A1" w:rsidRDefault="005945A1" w:rsidP="005945A1">
            <w:pPr>
              <w:tabs>
                <w:tab w:val="left" w:pos="360"/>
                <w:tab w:val="left" w:pos="8928"/>
              </w:tabs>
              <w:autoSpaceDE/>
              <w:autoSpaceDN/>
              <w:spacing w:before="60" w:after="60" w:line="276" w:lineRule="auto"/>
              <w:jc w:val="center"/>
              <w:rPr>
                <w:b/>
                <w:sz w:val="16"/>
                <w:szCs w:val="16"/>
                <w:lang w:val="cs-CZ" w:eastAsia="cs-CZ"/>
              </w:rPr>
            </w:pPr>
            <w:r w:rsidRPr="005945A1">
              <w:rPr>
                <w:b/>
                <w:sz w:val="16"/>
                <w:szCs w:val="16"/>
                <w:lang w:val="cs-CZ" w:eastAsia="cs-CZ"/>
              </w:rPr>
              <w:t>Monitorovací indikátory – výstupy projektu</w:t>
            </w:r>
          </w:p>
        </w:tc>
      </w:tr>
      <w:tr w:rsidR="005945A1" w:rsidRPr="005945A1" w14:paraId="781EA616" w14:textId="77777777" w:rsidTr="0069769B">
        <w:trPr>
          <w:trHeight w:val="549"/>
        </w:trPr>
        <w:tc>
          <w:tcPr>
            <w:tcW w:w="477" w:type="dxa"/>
            <w:tcBorders>
              <w:top w:val="dotted" w:sz="4" w:space="0" w:color="000000"/>
              <w:left w:val="single" w:sz="4" w:space="0" w:color="808080"/>
              <w:bottom w:val="single" w:sz="4" w:space="0" w:color="808080"/>
              <w:right w:val="dotted" w:sz="4" w:space="0" w:color="000000"/>
            </w:tcBorders>
            <w:shd w:val="clear" w:color="auto" w:fill="F2F2F2"/>
            <w:vAlign w:val="center"/>
          </w:tcPr>
          <w:p w14:paraId="48906817" w14:textId="77777777" w:rsidR="005945A1" w:rsidRPr="005945A1" w:rsidRDefault="005945A1" w:rsidP="005945A1">
            <w:pPr>
              <w:tabs>
                <w:tab w:val="left" w:pos="360"/>
                <w:tab w:val="left" w:pos="8928"/>
              </w:tabs>
              <w:autoSpaceDE/>
              <w:autoSpaceDN/>
              <w:spacing w:after="160" w:line="276" w:lineRule="auto"/>
              <w:jc w:val="center"/>
              <w:rPr>
                <w:sz w:val="16"/>
                <w:szCs w:val="16"/>
                <w:lang w:val="cs-CZ" w:eastAsia="cs-CZ"/>
              </w:rPr>
            </w:pPr>
            <w:r w:rsidRPr="005945A1">
              <w:rPr>
                <w:sz w:val="16"/>
                <w:szCs w:val="16"/>
                <w:lang w:val="cs-CZ" w:eastAsia="cs-CZ"/>
              </w:rPr>
              <w:t>poř. číslo</w:t>
            </w:r>
          </w:p>
        </w:tc>
        <w:tc>
          <w:tcPr>
            <w:tcW w:w="4925" w:type="dxa"/>
            <w:tcBorders>
              <w:top w:val="dotted" w:sz="4" w:space="0" w:color="000000"/>
              <w:left w:val="dotted" w:sz="4" w:space="0" w:color="000000"/>
              <w:bottom w:val="single" w:sz="4" w:space="0" w:color="808080"/>
              <w:right w:val="dotted" w:sz="4" w:space="0" w:color="000000"/>
            </w:tcBorders>
            <w:shd w:val="clear" w:color="auto" w:fill="F2F2F2"/>
            <w:vAlign w:val="center"/>
          </w:tcPr>
          <w:p w14:paraId="66F6220E" w14:textId="77777777" w:rsidR="005945A1" w:rsidRPr="005945A1" w:rsidRDefault="005945A1" w:rsidP="005945A1">
            <w:pPr>
              <w:tabs>
                <w:tab w:val="left" w:pos="360"/>
                <w:tab w:val="left" w:pos="8928"/>
              </w:tabs>
              <w:autoSpaceDE/>
              <w:autoSpaceDN/>
              <w:spacing w:after="160" w:line="276" w:lineRule="auto"/>
              <w:jc w:val="center"/>
              <w:rPr>
                <w:sz w:val="16"/>
                <w:szCs w:val="16"/>
                <w:lang w:val="cs-CZ" w:eastAsia="cs-CZ"/>
              </w:rPr>
            </w:pPr>
            <w:r w:rsidRPr="005945A1">
              <w:rPr>
                <w:sz w:val="16"/>
                <w:szCs w:val="16"/>
                <w:lang w:val="cs-CZ" w:eastAsia="cs-CZ"/>
              </w:rPr>
              <w:t>Výstup</w:t>
            </w:r>
          </w:p>
        </w:tc>
        <w:tc>
          <w:tcPr>
            <w:tcW w:w="1686" w:type="dxa"/>
            <w:tcBorders>
              <w:top w:val="dotted" w:sz="4" w:space="0" w:color="000000"/>
              <w:left w:val="dotted" w:sz="4" w:space="0" w:color="000000"/>
              <w:bottom w:val="single" w:sz="4" w:space="0" w:color="808080"/>
              <w:right w:val="dotted" w:sz="4" w:space="0" w:color="000000"/>
            </w:tcBorders>
            <w:shd w:val="clear" w:color="auto" w:fill="F2F2F2"/>
            <w:vAlign w:val="center"/>
          </w:tcPr>
          <w:p w14:paraId="0B855BEA" w14:textId="77777777" w:rsidR="005945A1" w:rsidRPr="005945A1" w:rsidRDefault="005945A1" w:rsidP="005945A1">
            <w:pPr>
              <w:tabs>
                <w:tab w:val="left" w:pos="360"/>
                <w:tab w:val="left" w:pos="8928"/>
              </w:tabs>
              <w:autoSpaceDE/>
              <w:autoSpaceDN/>
              <w:spacing w:after="160" w:line="276" w:lineRule="auto"/>
              <w:jc w:val="center"/>
              <w:rPr>
                <w:sz w:val="16"/>
                <w:szCs w:val="16"/>
                <w:lang w:val="cs-CZ" w:eastAsia="cs-CZ"/>
              </w:rPr>
            </w:pPr>
            <w:r w:rsidRPr="005945A1">
              <w:rPr>
                <w:sz w:val="16"/>
                <w:szCs w:val="16"/>
                <w:lang w:val="cs-CZ" w:eastAsia="cs-CZ"/>
              </w:rPr>
              <w:t>Měrná jednotka</w:t>
            </w:r>
          </w:p>
        </w:tc>
        <w:tc>
          <w:tcPr>
            <w:tcW w:w="1427" w:type="dxa"/>
            <w:tcBorders>
              <w:top w:val="dotted" w:sz="4" w:space="0" w:color="000000"/>
              <w:left w:val="dotted" w:sz="4" w:space="0" w:color="000000"/>
              <w:bottom w:val="single" w:sz="4" w:space="0" w:color="808080"/>
              <w:right w:val="single" w:sz="4" w:space="0" w:color="808080"/>
            </w:tcBorders>
            <w:shd w:val="clear" w:color="auto" w:fill="F2F2F2"/>
            <w:vAlign w:val="center"/>
          </w:tcPr>
          <w:p w14:paraId="1623D7E8" w14:textId="77777777" w:rsidR="005945A1" w:rsidRPr="005945A1" w:rsidRDefault="005945A1" w:rsidP="005945A1">
            <w:pPr>
              <w:tabs>
                <w:tab w:val="left" w:pos="360"/>
                <w:tab w:val="left" w:pos="8928"/>
              </w:tabs>
              <w:autoSpaceDE/>
              <w:autoSpaceDN/>
              <w:spacing w:after="160" w:line="276" w:lineRule="auto"/>
              <w:jc w:val="center"/>
              <w:rPr>
                <w:sz w:val="16"/>
                <w:szCs w:val="16"/>
                <w:lang w:val="cs-CZ" w:eastAsia="cs-CZ"/>
              </w:rPr>
            </w:pPr>
            <w:r w:rsidRPr="005945A1">
              <w:rPr>
                <w:sz w:val="16"/>
                <w:szCs w:val="16"/>
                <w:lang w:val="cs-CZ" w:eastAsia="cs-CZ"/>
              </w:rPr>
              <w:t>Minimální závazná hodnota</w:t>
            </w:r>
          </w:p>
        </w:tc>
      </w:tr>
      <w:tr w:rsidR="005945A1" w:rsidRPr="005945A1" w14:paraId="7E5BB88A" w14:textId="77777777" w:rsidTr="0069769B">
        <w:trPr>
          <w:trHeight w:val="291"/>
        </w:trPr>
        <w:tc>
          <w:tcPr>
            <w:tcW w:w="477" w:type="dxa"/>
            <w:tcBorders>
              <w:top w:val="single" w:sz="4" w:space="0" w:color="808080"/>
              <w:left w:val="single" w:sz="4" w:space="0" w:color="808080"/>
              <w:bottom w:val="dotted" w:sz="4" w:space="0" w:color="000000"/>
              <w:right w:val="dotted" w:sz="4" w:space="0" w:color="000000"/>
            </w:tcBorders>
            <w:shd w:val="clear" w:color="auto" w:fill="FFFFFF"/>
          </w:tcPr>
          <w:p w14:paraId="4AD68CC8" w14:textId="77777777" w:rsidR="005945A1" w:rsidRPr="005945A1" w:rsidRDefault="005945A1" w:rsidP="005945A1">
            <w:pPr>
              <w:tabs>
                <w:tab w:val="left" w:pos="360"/>
                <w:tab w:val="left" w:pos="8928"/>
              </w:tabs>
              <w:autoSpaceDE/>
              <w:autoSpaceDN/>
              <w:spacing w:after="160" w:line="276" w:lineRule="auto"/>
              <w:jc w:val="both"/>
              <w:rPr>
                <w:sz w:val="18"/>
                <w:szCs w:val="18"/>
                <w:lang w:val="cs-CZ" w:eastAsia="cs-CZ"/>
              </w:rPr>
            </w:pPr>
            <w:r w:rsidRPr="005945A1">
              <w:rPr>
                <w:sz w:val="18"/>
                <w:szCs w:val="18"/>
                <w:lang w:val="cs-CZ" w:eastAsia="cs-CZ"/>
              </w:rPr>
              <w:t>1</w:t>
            </w:r>
          </w:p>
        </w:tc>
        <w:tc>
          <w:tcPr>
            <w:tcW w:w="4925" w:type="dxa"/>
            <w:tcBorders>
              <w:top w:val="single" w:sz="4" w:space="0" w:color="808080"/>
              <w:left w:val="dotted" w:sz="4" w:space="0" w:color="000000"/>
              <w:bottom w:val="dotted" w:sz="4" w:space="0" w:color="000000"/>
              <w:right w:val="dotted" w:sz="4" w:space="0" w:color="000000"/>
            </w:tcBorders>
            <w:shd w:val="clear" w:color="auto" w:fill="FFFFFF"/>
          </w:tcPr>
          <w:p w14:paraId="23E3B8FD" w14:textId="77777777" w:rsidR="005945A1" w:rsidRPr="005945A1" w:rsidRDefault="005945A1" w:rsidP="005945A1">
            <w:pPr>
              <w:tabs>
                <w:tab w:val="left" w:pos="360"/>
                <w:tab w:val="left" w:pos="8928"/>
              </w:tabs>
              <w:autoSpaceDE/>
              <w:autoSpaceDN/>
              <w:spacing w:after="160" w:line="276" w:lineRule="auto"/>
              <w:jc w:val="both"/>
              <w:rPr>
                <w:sz w:val="18"/>
                <w:szCs w:val="18"/>
                <w:lang w:val="cs-CZ" w:eastAsia="cs-CZ"/>
              </w:rPr>
            </w:pPr>
            <w:r w:rsidRPr="005945A1">
              <w:rPr>
                <w:sz w:val="18"/>
                <w:szCs w:val="18"/>
                <w:lang w:val="cs-CZ" w:eastAsia="cs-CZ"/>
              </w:rPr>
              <w:t>Uskutečněný dopravní výkon</w:t>
            </w:r>
          </w:p>
        </w:tc>
        <w:tc>
          <w:tcPr>
            <w:tcW w:w="1686" w:type="dxa"/>
            <w:tcBorders>
              <w:top w:val="single" w:sz="4" w:space="0" w:color="808080"/>
              <w:left w:val="dotted" w:sz="4" w:space="0" w:color="000000"/>
              <w:bottom w:val="dotted" w:sz="4" w:space="0" w:color="000000"/>
              <w:right w:val="dotted" w:sz="4" w:space="0" w:color="000000"/>
            </w:tcBorders>
            <w:shd w:val="clear" w:color="auto" w:fill="FFFFFF"/>
          </w:tcPr>
          <w:p w14:paraId="723C7DB3" w14:textId="77777777" w:rsidR="005945A1" w:rsidRPr="005945A1" w:rsidRDefault="005945A1" w:rsidP="005945A1">
            <w:pPr>
              <w:tabs>
                <w:tab w:val="left" w:pos="360"/>
                <w:tab w:val="left" w:pos="8928"/>
              </w:tabs>
              <w:autoSpaceDE/>
              <w:autoSpaceDN/>
              <w:spacing w:after="160" w:line="276" w:lineRule="auto"/>
              <w:jc w:val="both"/>
              <w:rPr>
                <w:sz w:val="18"/>
                <w:szCs w:val="18"/>
                <w:lang w:val="cs-CZ" w:eastAsia="cs-CZ"/>
              </w:rPr>
            </w:pPr>
            <w:r w:rsidRPr="005945A1">
              <w:rPr>
                <w:sz w:val="18"/>
                <w:szCs w:val="18"/>
                <w:lang w:val="cs-CZ" w:eastAsia="cs-CZ"/>
              </w:rPr>
              <w:t>vozokm</w:t>
            </w:r>
          </w:p>
        </w:tc>
        <w:tc>
          <w:tcPr>
            <w:tcW w:w="1427" w:type="dxa"/>
            <w:tcBorders>
              <w:top w:val="single" w:sz="4" w:space="0" w:color="808080"/>
              <w:left w:val="dotted" w:sz="4" w:space="0" w:color="000000"/>
              <w:bottom w:val="dotted" w:sz="4" w:space="0" w:color="000000"/>
              <w:right w:val="single" w:sz="4" w:space="0" w:color="808080"/>
            </w:tcBorders>
            <w:shd w:val="clear" w:color="auto" w:fill="FFFFFF"/>
          </w:tcPr>
          <w:p w14:paraId="15AF3A49" w14:textId="77777777" w:rsidR="005945A1" w:rsidRPr="005945A1" w:rsidRDefault="005945A1" w:rsidP="005945A1">
            <w:pPr>
              <w:tabs>
                <w:tab w:val="left" w:pos="360"/>
                <w:tab w:val="left" w:pos="8928"/>
              </w:tabs>
              <w:autoSpaceDE/>
              <w:autoSpaceDN/>
              <w:spacing w:after="160" w:line="276" w:lineRule="auto"/>
              <w:jc w:val="both"/>
              <w:rPr>
                <w:sz w:val="18"/>
                <w:szCs w:val="18"/>
                <w:lang w:val="cs-CZ" w:eastAsia="cs-CZ"/>
              </w:rPr>
            </w:pPr>
            <w:r w:rsidRPr="005945A1">
              <w:rPr>
                <w:sz w:val="18"/>
                <w:szCs w:val="18"/>
                <w:lang w:val="cs-CZ" w:eastAsia="cs-CZ"/>
              </w:rPr>
              <w:t>900 000</w:t>
            </w:r>
          </w:p>
        </w:tc>
      </w:tr>
    </w:tbl>
    <w:p w14:paraId="1FC384EA" w14:textId="03BAE8CF" w:rsidR="005945A1" w:rsidRPr="008B44F4"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Částečné nenaplnění monitorovacího indikátoru uvedeného v tabulce v předchozím odstavci, </w:t>
      </w:r>
      <w:r w:rsidRPr="005945A1">
        <w:rPr>
          <w:b/>
          <w:color w:val="000000"/>
          <w:sz w:val="20"/>
          <w:szCs w:val="20"/>
          <w:lang w:val="cs-CZ" w:eastAsia="cs-CZ"/>
        </w:rPr>
        <w:t>maximálně však o 3 %</w:t>
      </w:r>
      <w:r w:rsidRPr="005945A1">
        <w:rPr>
          <w:color w:val="000000"/>
          <w:sz w:val="20"/>
          <w:szCs w:val="20"/>
          <w:lang w:val="cs-CZ" w:eastAsia="cs-CZ"/>
        </w:rPr>
        <w:t>, zůstane-li zachován účel a smysl projektu, nebude považováno za porušení podmínek smlouvy. V případě překročení uvedené tolerance částečného nenaplnění monitorovacích indikátorů se jedná o podstatné nenaplnění monitorovacího indikátoru.</w:t>
      </w:r>
    </w:p>
    <w:p w14:paraId="3481F36A" w14:textId="77777777" w:rsidR="008B44F4" w:rsidRPr="005945A1" w:rsidRDefault="008B44F4" w:rsidP="008B44F4">
      <w:pPr>
        <w:widowControl/>
        <w:pBdr>
          <w:top w:val="nil"/>
          <w:left w:val="nil"/>
          <w:bottom w:val="nil"/>
          <w:right w:val="nil"/>
          <w:between w:val="nil"/>
        </w:pBdr>
        <w:autoSpaceDE/>
        <w:autoSpaceDN/>
        <w:spacing w:before="60" w:after="60" w:line="259" w:lineRule="auto"/>
        <w:ind w:left="567"/>
        <w:jc w:val="both"/>
        <w:rPr>
          <w:sz w:val="20"/>
          <w:szCs w:val="20"/>
          <w:lang w:val="cs-CZ" w:eastAsia="cs-CZ"/>
        </w:rPr>
      </w:pPr>
    </w:p>
    <w:p w14:paraId="2ACEC55F"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Financování projektu</w:t>
      </w:r>
    </w:p>
    <w:p w14:paraId="5976A879"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Dotace bude příjemci poskytnuta na účet uvedený v záhlaví této smlouvy následujícím způsobem: </w:t>
      </w:r>
    </w:p>
    <w:p w14:paraId="382A176E" w14:textId="3841C7FD" w:rsidR="005945A1" w:rsidRPr="005945A1" w:rsidRDefault="005945A1" w:rsidP="005945A1">
      <w:pPr>
        <w:widowControl/>
        <w:pBdr>
          <w:top w:val="nil"/>
          <w:left w:val="nil"/>
          <w:bottom w:val="nil"/>
          <w:right w:val="nil"/>
          <w:between w:val="nil"/>
        </w:pBdr>
        <w:autoSpaceDE/>
        <w:autoSpaceDN/>
        <w:spacing w:after="60"/>
        <w:ind w:left="1304" w:hanging="567"/>
        <w:jc w:val="both"/>
        <w:rPr>
          <w:color w:val="000000"/>
          <w:sz w:val="20"/>
          <w:szCs w:val="20"/>
          <w:lang w:val="cs-CZ" w:eastAsia="cs-CZ"/>
        </w:rPr>
      </w:pPr>
      <w:r w:rsidRPr="005945A1">
        <w:rPr>
          <w:b/>
          <w:color w:val="000000"/>
          <w:sz w:val="20"/>
          <w:szCs w:val="20"/>
          <w:lang w:val="cs-CZ" w:eastAsia="cs-CZ"/>
        </w:rPr>
        <w:t>do 30 pracovních dnů po nabytí účinnosti této smlouvy</w:t>
      </w:r>
      <w:r w:rsidRPr="005945A1">
        <w:rPr>
          <w:color w:val="000000"/>
          <w:sz w:val="20"/>
          <w:szCs w:val="20"/>
          <w:lang w:val="cs-CZ" w:eastAsia="cs-CZ"/>
        </w:rPr>
        <w:t xml:space="preserve"> bude vyplacena </w:t>
      </w:r>
      <w:r w:rsidRPr="005945A1">
        <w:rPr>
          <w:b/>
          <w:color w:val="000000"/>
          <w:sz w:val="20"/>
          <w:szCs w:val="20"/>
          <w:lang w:val="cs-CZ" w:eastAsia="cs-CZ"/>
        </w:rPr>
        <w:t>první část</w:t>
      </w:r>
      <w:r w:rsidRPr="005945A1">
        <w:rPr>
          <w:color w:val="000000"/>
          <w:sz w:val="20"/>
          <w:szCs w:val="20"/>
          <w:lang w:val="cs-CZ" w:eastAsia="cs-CZ"/>
        </w:rPr>
        <w:t xml:space="preserve"> dotace ve výši 2 750 000 Kč (slovy: </w:t>
      </w:r>
      <w:r w:rsidRPr="005945A1">
        <w:rPr>
          <w:i/>
          <w:color w:val="000000"/>
          <w:sz w:val="20"/>
          <w:szCs w:val="20"/>
          <w:lang w:val="cs-CZ" w:eastAsia="cs-CZ"/>
        </w:rPr>
        <w:t>dva miliony sedm set padesát tisíc korun českých</w:t>
      </w:r>
      <w:r w:rsidRPr="005945A1">
        <w:rPr>
          <w:color w:val="000000"/>
          <w:sz w:val="20"/>
          <w:szCs w:val="20"/>
          <w:lang w:val="cs-CZ" w:eastAsia="cs-CZ"/>
        </w:rPr>
        <w:t xml:space="preserve">), </w:t>
      </w:r>
      <w:r w:rsidRPr="005945A1">
        <w:rPr>
          <w:b/>
          <w:color w:val="000000"/>
          <w:sz w:val="20"/>
          <w:szCs w:val="20"/>
          <w:lang w:val="cs-CZ" w:eastAsia="cs-CZ"/>
        </w:rPr>
        <w:t>druhá část</w:t>
      </w:r>
      <w:r w:rsidRPr="005945A1">
        <w:rPr>
          <w:color w:val="000000"/>
          <w:sz w:val="20"/>
          <w:szCs w:val="20"/>
          <w:lang w:val="cs-CZ" w:eastAsia="cs-CZ"/>
        </w:rPr>
        <w:t xml:space="preserve"> dotace ve výši 2 750 000 Kč (slovy: </w:t>
      </w:r>
      <w:r w:rsidRPr="005945A1">
        <w:rPr>
          <w:i/>
          <w:color w:val="000000"/>
          <w:sz w:val="20"/>
          <w:szCs w:val="20"/>
          <w:lang w:val="cs-CZ" w:eastAsia="cs-CZ"/>
        </w:rPr>
        <w:t>dva miliony sedm set padesát tisíc korun českých</w:t>
      </w:r>
      <w:r w:rsidRPr="005945A1">
        <w:rPr>
          <w:color w:val="000000"/>
          <w:sz w:val="20"/>
          <w:szCs w:val="20"/>
          <w:lang w:val="cs-CZ" w:eastAsia="cs-CZ"/>
        </w:rPr>
        <w:t xml:space="preserve">) bude vyplacena </w:t>
      </w:r>
      <w:r w:rsidR="007209E3">
        <w:rPr>
          <w:b/>
          <w:color w:val="000000"/>
          <w:sz w:val="20"/>
          <w:szCs w:val="20"/>
          <w:lang w:val="cs-CZ" w:eastAsia="cs-CZ"/>
        </w:rPr>
        <w:t>v termínu do 31. 7. 202</w:t>
      </w:r>
      <w:r w:rsidR="005A0115">
        <w:rPr>
          <w:b/>
          <w:color w:val="000000"/>
          <w:sz w:val="20"/>
          <w:szCs w:val="20"/>
          <w:lang w:val="cs-CZ" w:eastAsia="cs-CZ"/>
        </w:rPr>
        <w:t>5</w:t>
      </w:r>
      <w:r w:rsidRPr="005945A1">
        <w:rPr>
          <w:b/>
          <w:color w:val="000000"/>
          <w:sz w:val="20"/>
          <w:szCs w:val="20"/>
          <w:lang w:val="cs-CZ" w:eastAsia="cs-CZ"/>
        </w:rPr>
        <w:t>.</w:t>
      </w:r>
    </w:p>
    <w:p w14:paraId="41D198E6"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i/>
          <w:color w:val="000000"/>
          <w:sz w:val="20"/>
          <w:szCs w:val="20"/>
          <w:lang w:val="cs-CZ" w:eastAsia="cs-CZ"/>
        </w:rPr>
      </w:pPr>
      <w:r w:rsidRPr="005945A1">
        <w:rPr>
          <w:color w:val="000000"/>
          <w:sz w:val="20"/>
          <w:szCs w:val="20"/>
          <w:lang w:val="cs-CZ" w:eastAsia="cs-CZ"/>
        </w:rPr>
        <w:t xml:space="preserve">Pokud </w:t>
      </w:r>
      <w:r w:rsidRPr="005945A1">
        <w:rPr>
          <w:b/>
          <w:color w:val="000000"/>
          <w:sz w:val="20"/>
          <w:szCs w:val="20"/>
          <w:lang w:val="cs-CZ" w:eastAsia="cs-CZ"/>
        </w:rPr>
        <w:t>součet skutečných paušálních nákladů za uskutečněný dopravní výkon a skutečných paušálních nákladů za uskutečněné ostatní výkony</w:t>
      </w:r>
      <w:r w:rsidRPr="005945A1">
        <w:rPr>
          <w:color w:val="000000"/>
          <w:sz w:val="20"/>
          <w:szCs w:val="20"/>
          <w:lang w:val="cs-CZ" w:eastAsia="cs-CZ"/>
        </w:rPr>
        <w:t xml:space="preserve"> (dále společně jen „</w:t>
      </w:r>
      <w:r w:rsidRPr="005945A1">
        <w:rPr>
          <w:b/>
          <w:color w:val="000000"/>
          <w:sz w:val="20"/>
          <w:szCs w:val="20"/>
          <w:lang w:val="cs-CZ" w:eastAsia="cs-CZ"/>
        </w:rPr>
        <w:t>skutečné paušální náklady</w:t>
      </w:r>
      <w:r w:rsidRPr="005945A1">
        <w:rPr>
          <w:color w:val="000000"/>
          <w:sz w:val="20"/>
          <w:szCs w:val="20"/>
          <w:lang w:val="cs-CZ" w:eastAsia="cs-CZ"/>
        </w:rPr>
        <w:t xml:space="preserve">“) překročí částku </w:t>
      </w:r>
      <w:r w:rsidRPr="005945A1">
        <w:rPr>
          <w:b/>
          <w:color w:val="000000"/>
          <w:sz w:val="20"/>
          <w:szCs w:val="20"/>
          <w:lang w:val="cs-CZ" w:eastAsia="cs-CZ"/>
        </w:rPr>
        <w:t>součtu předpokládaných paušálních nákladů za uskutečněný dopravní výkon a předpokládaných paušálních nákladů za uskutečněné ostatní výkony</w:t>
      </w:r>
      <w:r w:rsidRPr="005945A1">
        <w:rPr>
          <w:color w:val="000000"/>
          <w:sz w:val="20"/>
          <w:szCs w:val="20"/>
          <w:lang w:val="cs-CZ" w:eastAsia="cs-CZ"/>
        </w:rPr>
        <w:t xml:space="preserve"> (dále společně jen „</w:t>
      </w:r>
      <w:r w:rsidRPr="005945A1">
        <w:rPr>
          <w:b/>
          <w:color w:val="000000"/>
          <w:sz w:val="20"/>
          <w:szCs w:val="20"/>
          <w:lang w:val="cs-CZ" w:eastAsia="cs-CZ"/>
        </w:rPr>
        <w:t>předpokládané paušální náklady</w:t>
      </w:r>
      <w:r w:rsidRPr="005945A1">
        <w:rPr>
          <w:color w:val="000000"/>
          <w:sz w:val="20"/>
          <w:szCs w:val="20"/>
          <w:lang w:val="cs-CZ" w:eastAsia="cs-CZ"/>
        </w:rPr>
        <w:t xml:space="preserve">“), uvedenou v příloze č. 1 této smlouvy, uhradí příjemce částku tohoto překročení z vlastních zdrojů. Pokud budou skutečné paušální náklady nižší než předpokládané paušální náklady, nedojde při zachování předpokládaného počtu ujetých km, v souladu s odst. 3.1 a 3.2, ke snížení částky dotace uvedené v čl. 1.1. </w:t>
      </w:r>
    </w:p>
    <w:p w14:paraId="20E38367" w14:textId="36231B34"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Po ukončení doby realizace dle odst. 2.2 je příjemce povinen předložit Odboru strategického rozvoje kraje Krajského úřadu Zlínského kraje </w:t>
      </w:r>
      <w:r w:rsidRPr="005945A1">
        <w:rPr>
          <w:b/>
          <w:color w:val="000000"/>
          <w:sz w:val="20"/>
          <w:szCs w:val="20"/>
          <w:lang w:val="cs-CZ" w:eastAsia="cs-CZ"/>
        </w:rPr>
        <w:t>závěrečnou zprávu</w:t>
      </w:r>
      <w:r w:rsidR="007209E3">
        <w:rPr>
          <w:b/>
          <w:color w:val="000000"/>
          <w:sz w:val="20"/>
          <w:szCs w:val="20"/>
          <w:lang w:val="cs-CZ" w:eastAsia="cs-CZ"/>
        </w:rPr>
        <w:t>, a to nejpozději do 30. 4. 202</w:t>
      </w:r>
      <w:r w:rsidR="005A0115">
        <w:rPr>
          <w:b/>
          <w:color w:val="000000"/>
          <w:sz w:val="20"/>
          <w:szCs w:val="20"/>
          <w:lang w:val="cs-CZ" w:eastAsia="cs-CZ"/>
        </w:rPr>
        <w:t>6</w:t>
      </w:r>
      <w:r w:rsidRPr="005945A1">
        <w:rPr>
          <w:b/>
          <w:color w:val="000000"/>
          <w:sz w:val="20"/>
          <w:szCs w:val="20"/>
          <w:lang w:val="cs-CZ" w:eastAsia="cs-CZ"/>
        </w:rPr>
        <w:t xml:space="preserve">. </w:t>
      </w:r>
    </w:p>
    <w:p w14:paraId="5334C3B5" w14:textId="2AB424C9"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i/>
          <w:color w:val="7030A0"/>
          <w:sz w:val="16"/>
          <w:szCs w:val="16"/>
          <w:lang w:val="cs-CZ" w:eastAsia="cs-CZ"/>
        </w:rPr>
      </w:pPr>
      <w:r w:rsidRPr="005945A1">
        <w:rPr>
          <w:color w:val="000000"/>
          <w:sz w:val="20"/>
          <w:szCs w:val="20"/>
          <w:lang w:val="cs-CZ" w:eastAsia="cs-CZ"/>
        </w:rPr>
        <w:t>Závěrečnou zprávou s vyúčtováním dotace se rozumí předložení výkazu skutečn</w:t>
      </w:r>
      <w:r w:rsidR="007209E3">
        <w:rPr>
          <w:color w:val="000000"/>
          <w:sz w:val="20"/>
          <w:szCs w:val="20"/>
          <w:lang w:val="cs-CZ" w:eastAsia="cs-CZ"/>
        </w:rPr>
        <w:t>ých nákladů a výnosů za rok 202</w:t>
      </w:r>
      <w:r w:rsidR="005A0115">
        <w:rPr>
          <w:color w:val="000000"/>
          <w:sz w:val="20"/>
          <w:szCs w:val="20"/>
          <w:lang w:val="cs-CZ" w:eastAsia="cs-CZ"/>
        </w:rPr>
        <w:t>5</w:t>
      </w:r>
      <w:r w:rsidRPr="005945A1">
        <w:rPr>
          <w:color w:val="000000"/>
          <w:sz w:val="20"/>
          <w:szCs w:val="20"/>
          <w:lang w:val="cs-CZ" w:eastAsia="cs-CZ"/>
        </w:rPr>
        <w:t xml:space="preserve"> vytvořených konečným příjemcem na zá</w:t>
      </w:r>
      <w:r w:rsidR="007209E3">
        <w:rPr>
          <w:color w:val="000000"/>
          <w:sz w:val="20"/>
          <w:szCs w:val="20"/>
          <w:lang w:val="cs-CZ" w:eastAsia="cs-CZ"/>
        </w:rPr>
        <w:t>kladě účetní závěrky za rok 202</w:t>
      </w:r>
      <w:r w:rsidR="005A0115">
        <w:rPr>
          <w:color w:val="000000"/>
          <w:sz w:val="20"/>
          <w:szCs w:val="20"/>
          <w:lang w:val="cs-CZ" w:eastAsia="cs-CZ"/>
        </w:rPr>
        <w:t>5</w:t>
      </w:r>
      <w:r w:rsidRPr="005945A1">
        <w:rPr>
          <w:color w:val="000000"/>
          <w:sz w:val="20"/>
          <w:szCs w:val="20"/>
          <w:lang w:val="cs-CZ" w:eastAsia="cs-CZ"/>
        </w:rPr>
        <w:t xml:space="preserve"> a čestného prohlášení, obsahující</w:t>
      </w:r>
      <w:r w:rsidR="007209E3">
        <w:rPr>
          <w:color w:val="000000"/>
          <w:sz w:val="20"/>
          <w:szCs w:val="20"/>
          <w:lang w:val="cs-CZ" w:eastAsia="cs-CZ"/>
        </w:rPr>
        <w:t xml:space="preserve">ho trasy trolejbusových linek </w:t>
      </w:r>
      <w:r w:rsidRPr="005945A1">
        <w:rPr>
          <w:color w:val="000000"/>
          <w:sz w:val="20"/>
          <w:szCs w:val="20"/>
          <w:lang w:val="cs-CZ" w:eastAsia="cs-CZ"/>
        </w:rPr>
        <w:t xml:space="preserve">2 a 6 s počtem ujetým </w:t>
      </w:r>
      <w:r w:rsidR="007209E3">
        <w:rPr>
          <w:color w:val="000000"/>
          <w:sz w:val="20"/>
          <w:szCs w:val="20"/>
          <w:lang w:val="cs-CZ" w:eastAsia="cs-CZ"/>
        </w:rPr>
        <w:t>km na daných trasách za rok 202</w:t>
      </w:r>
      <w:r w:rsidR="005A0115">
        <w:rPr>
          <w:color w:val="000000"/>
          <w:sz w:val="20"/>
          <w:szCs w:val="20"/>
          <w:lang w:val="cs-CZ" w:eastAsia="cs-CZ"/>
        </w:rPr>
        <w:t>5</w:t>
      </w:r>
      <w:r w:rsidRPr="005945A1">
        <w:rPr>
          <w:color w:val="000000"/>
          <w:sz w:val="20"/>
          <w:szCs w:val="20"/>
          <w:lang w:val="cs-CZ" w:eastAsia="cs-CZ"/>
        </w:rPr>
        <w:t xml:space="preserve">, podepsané oprávněnou osobou konečného příjemce a oprávněnou osobou příjemce. Zároveň příjemce předloží doklady prokazující úhradu nákladů konečnému příjemci (tj. výpisy z bankovního účtu). </w:t>
      </w:r>
    </w:p>
    <w:p w14:paraId="2A44E6EC" w14:textId="77777777" w:rsidR="005945A1" w:rsidRPr="005945A1" w:rsidRDefault="005945A1" w:rsidP="005945A1">
      <w:pPr>
        <w:widowControl/>
        <w:pBdr>
          <w:top w:val="nil"/>
          <w:left w:val="nil"/>
          <w:bottom w:val="nil"/>
          <w:right w:val="nil"/>
          <w:between w:val="nil"/>
        </w:pBdr>
        <w:autoSpaceDE/>
        <w:autoSpaceDN/>
        <w:spacing w:before="60" w:after="60"/>
        <w:ind w:left="567" w:hanging="567"/>
        <w:jc w:val="both"/>
        <w:rPr>
          <w:color w:val="000000"/>
          <w:sz w:val="20"/>
          <w:szCs w:val="20"/>
          <w:lang w:val="cs-CZ" w:eastAsia="cs-CZ"/>
        </w:rPr>
      </w:pPr>
      <w:r w:rsidRPr="005945A1">
        <w:rPr>
          <w:b/>
          <w:color w:val="000000"/>
          <w:sz w:val="20"/>
          <w:szCs w:val="20"/>
          <w:lang w:val="cs-CZ" w:eastAsia="cs-CZ"/>
        </w:rPr>
        <w:t>Formulář závěrečné zprávy</w:t>
      </w:r>
      <w:r w:rsidRPr="005945A1">
        <w:rPr>
          <w:color w:val="000000"/>
          <w:sz w:val="20"/>
          <w:szCs w:val="20"/>
          <w:lang w:val="cs-CZ" w:eastAsia="cs-CZ"/>
        </w:rPr>
        <w:t xml:space="preserve"> bude příjemci zaslán kontaktní osobou poskytovatele na vyžádání.  </w:t>
      </w:r>
    </w:p>
    <w:p w14:paraId="305BC25A"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lastRenderedPageBreak/>
        <w:t xml:space="preserve">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do 20 pracovních dnů ode dne doručení výzvy příjemci. </w:t>
      </w:r>
    </w:p>
    <w:p w14:paraId="4B3BCFA3" w14:textId="15BF671B" w:rsidR="005945A1" w:rsidRPr="008E30CC"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V termínu pro předložení Závěrečné zprávy </w:t>
      </w:r>
      <w:r w:rsidRPr="005945A1">
        <w:rPr>
          <w:b/>
          <w:color w:val="000000"/>
          <w:sz w:val="20"/>
          <w:szCs w:val="20"/>
          <w:lang w:val="cs-CZ" w:eastAsia="cs-CZ"/>
        </w:rPr>
        <w:t>dle čl. 4.</w:t>
      </w:r>
      <w:r w:rsidR="0017458B">
        <w:rPr>
          <w:b/>
          <w:color w:val="000000"/>
          <w:sz w:val="20"/>
          <w:szCs w:val="20"/>
          <w:lang w:val="cs-CZ" w:eastAsia="cs-CZ"/>
        </w:rPr>
        <w:t>3</w:t>
      </w:r>
      <w:r w:rsidR="0017458B" w:rsidRPr="005945A1">
        <w:rPr>
          <w:b/>
          <w:color w:val="000000"/>
          <w:sz w:val="20"/>
          <w:szCs w:val="20"/>
          <w:lang w:val="cs-CZ" w:eastAsia="cs-CZ"/>
        </w:rPr>
        <w:t xml:space="preserve"> </w:t>
      </w:r>
      <w:r w:rsidRPr="005945A1">
        <w:rPr>
          <w:b/>
          <w:color w:val="000000"/>
          <w:sz w:val="20"/>
          <w:szCs w:val="20"/>
          <w:lang w:val="cs-CZ" w:eastAsia="cs-CZ"/>
        </w:rPr>
        <w:t>vrátí příjemce nevyčerpané finanční prostředky</w:t>
      </w:r>
      <w:r w:rsidRPr="005945A1">
        <w:rPr>
          <w:color w:val="000000"/>
          <w:sz w:val="20"/>
          <w:szCs w:val="20"/>
          <w:lang w:val="cs-CZ" w:eastAsia="cs-CZ"/>
        </w:rPr>
        <w:t xml:space="preserve"> na účet poskytovatele. </w:t>
      </w:r>
    </w:p>
    <w:p w14:paraId="6AE3269C" w14:textId="49488F70" w:rsidR="008B44F4" w:rsidRPr="008E30CC" w:rsidRDefault="00220F55" w:rsidP="008B44F4">
      <w:pPr>
        <w:pStyle w:val="Hlavntextlnksmlouvy"/>
        <w:pBdr>
          <w:top w:val="nil"/>
          <w:left w:val="nil"/>
          <w:bottom w:val="nil"/>
          <w:right w:val="nil"/>
          <w:between w:val="nil"/>
        </w:pBdr>
        <w:spacing w:before="60" w:after="60"/>
      </w:pPr>
      <w:r>
        <w:t xml:space="preserve">V případě, že bude příjemce poskytovateli vracet nevyčerpané finanční prostředky podle kteréhokoli ustanovení této smlouvy, provede platbu bezhotovostním převodem a </w:t>
      </w:r>
      <w:r w:rsidR="008E30CC">
        <w:t xml:space="preserve">platbu označí variabilním symbolem za použití číslic z čísla této smlouvy. </w:t>
      </w:r>
    </w:p>
    <w:p w14:paraId="50996AFE"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Podmínky použití dotace</w:t>
      </w:r>
    </w:p>
    <w:p w14:paraId="28AA76C1"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je oprávněn použít dotaci pouze k účelu uvedenému v čl. 1.</w:t>
      </w:r>
    </w:p>
    <w:p w14:paraId="2E9A93D8" w14:textId="77777777" w:rsidR="005945A1" w:rsidRPr="0017458B" w:rsidRDefault="005945A1" w:rsidP="00A15545">
      <w:pPr>
        <w:pStyle w:val="Hlavntextlnksmlouvy"/>
      </w:pPr>
      <w:r w:rsidRPr="0017458B">
        <w:rPr>
          <w:b/>
        </w:rPr>
        <w:t>Způsobilými výdaji</w:t>
      </w:r>
      <w:r w:rsidRPr="0017458B">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konečnému příjemci vzniknout v době realizace a být jím uhrazeny do 60 dnů po ukončení doby realizace dle čl. 2.2. </w:t>
      </w:r>
    </w:p>
    <w:p w14:paraId="7B26951D"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je povinen v době realizace vést o projektu oddělenou účetní evidenci a výkaznictví. Musí být jednoznačně prokazatelné, zda konkrétní výdaj nebo příjem je vykazován na podporovaný projekt a skutečně odpovídá charakteru projektu.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 K tomuto požadavku je povinen smluvně zavázat i konečného příjemce.</w:t>
      </w:r>
    </w:p>
    <w:p w14:paraId="12337CF6"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Příjemce je povinen do 15 dnů oznámit poskytovateli vstup právnické osoby do likvidace, zahájení insolvenčního řízení, exekučního řízení, či řízení o výkonu rozhodnutí. </w:t>
      </w:r>
    </w:p>
    <w:p w14:paraId="5C4DB3EB"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 Příjemce je dále povinen:</w:t>
      </w:r>
    </w:p>
    <w:p w14:paraId="2BFC344F"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zajistit, aby všechny údaje, které uvádí poskytovateli, byly vždy úplné a pravdivé,</w:t>
      </w:r>
    </w:p>
    <w:p w14:paraId="056F90CC"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zabezpečit archivaci veškeré dokumentace k projektu včetně účetnictví o projektu po dobu 10 let ode dne skončení realizace projektu,</w:t>
      </w:r>
    </w:p>
    <w:p w14:paraId="24128A46" w14:textId="77777777" w:rsidR="005945A1" w:rsidRPr="00363258"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 xml:space="preserve">smluvně zavázat konečného příjemce k umožnění provedení kontroly všech prvotních dokladů za účelem prověření předloženého vyúčtování. </w:t>
      </w:r>
    </w:p>
    <w:p w14:paraId="6175393F" w14:textId="2D95C2EF" w:rsidR="00332001" w:rsidRDefault="00332001" w:rsidP="00363258">
      <w:pPr>
        <w:pStyle w:val="Hlavntextlnksmlouvy"/>
      </w:pPr>
      <w:r w:rsidRPr="00332001">
        <w:t xml:space="preserve">Příjemce prohlašuje, že není účastníkem soudního řízení, jehož jedním z dalších účastníků je poskytovatel, případně právnická osoba zřízená nebo založená poskytovatelem (tyto osoby jsou uvedené na adrese: </w:t>
      </w:r>
      <w:hyperlink r:id="rId8" w:history="1">
        <w:r w:rsidR="008B44F4" w:rsidRPr="006B6147">
          <w:rPr>
            <w:rStyle w:val="Hypertextovodkaz"/>
          </w:rPr>
          <w:t>https://zlinskykraj.cz/seznam-zrizovanych-a-zalozenych-organizaci-zlinskym-krajem</w:t>
        </w:r>
      </w:hyperlink>
      <w:r w:rsidRPr="00332001">
        <w:t>)</w:t>
      </w:r>
      <w:r>
        <w:t>.</w:t>
      </w:r>
    </w:p>
    <w:p w14:paraId="1B0FC5D0" w14:textId="77777777" w:rsidR="008B44F4" w:rsidRPr="005945A1" w:rsidRDefault="008B44F4" w:rsidP="008B44F4">
      <w:pPr>
        <w:pStyle w:val="Hlavntextlnksmlouvy"/>
        <w:numPr>
          <w:ilvl w:val="0"/>
          <w:numId w:val="0"/>
        </w:numPr>
        <w:ind w:left="567"/>
      </w:pPr>
    </w:p>
    <w:p w14:paraId="764F60B0"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Povinnosti příjemce při zajišťování publicity poskytovatele</w:t>
      </w:r>
    </w:p>
    <w:p w14:paraId="5E3D4828"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006090F"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Přijetím finančních prostředků z rozpočtu Zlínského kraje dává příjemce souhlas se zveřejněním údajů o aktivitě financované z rozpočtu Zlínského kraje.</w:t>
      </w:r>
    </w:p>
    <w:p w14:paraId="32967F2F" w14:textId="77777777" w:rsidR="005945A1" w:rsidRPr="005945A1" w:rsidRDefault="005945A1" w:rsidP="00153004">
      <w:pPr>
        <w:pStyle w:val="Hlavntextlnksmlouvy"/>
      </w:pPr>
      <w:r w:rsidRPr="005945A1">
        <w:t xml:space="preserve">Přijetím finančních prostředků z rozpočtu Zlínského kraje získává příjemce souhlas s užitím loga Zlínského kraje, které je k dispozici na </w:t>
      </w:r>
      <w:r w:rsidR="009A1F1D" w:rsidRPr="009A1F1D">
        <w:rPr>
          <w:color w:val="000000"/>
        </w:rPr>
        <w:t xml:space="preserve">adrese </w:t>
      </w:r>
      <w:r w:rsidR="00153004" w:rsidRPr="00153004">
        <w:rPr>
          <w:color w:val="000000"/>
        </w:rPr>
        <w:t>https://zlinskykraj.cz/logo-zlinskeho-kraje</w:t>
      </w:r>
      <w:r w:rsidRPr="005945A1">
        <w:t xml:space="preserve">. Logo </w:t>
      </w:r>
      <w:r w:rsidRPr="005945A1">
        <w:lastRenderedPageBreak/>
        <w:t xml:space="preserve">bude umístěno na všech dokumentech souvisejících s realizací projektu, které budou propagovat aktivitu financovanou z rozpočtu Zlínského kraje. </w:t>
      </w:r>
    </w:p>
    <w:p w14:paraId="5299F5EE"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77C8CB7" w14:textId="77777777" w:rsidR="005945A1" w:rsidRPr="00153004" w:rsidRDefault="005945A1" w:rsidP="00153004">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je dále povinen prezentovat poskytovatele s</w:t>
      </w:r>
      <w:r w:rsidR="00153004">
        <w:rPr>
          <w:color w:val="000000"/>
          <w:sz w:val="20"/>
          <w:szCs w:val="20"/>
          <w:lang w:val="cs-CZ" w:eastAsia="cs-CZ"/>
        </w:rPr>
        <w:t> </w:t>
      </w:r>
      <w:r w:rsidRPr="005945A1">
        <w:rPr>
          <w:color w:val="000000"/>
          <w:sz w:val="20"/>
          <w:szCs w:val="20"/>
          <w:lang w:val="cs-CZ" w:eastAsia="cs-CZ"/>
        </w:rPr>
        <w:t>využitím</w:t>
      </w:r>
      <w:r w:rsidR="00153004">
        <w:rPr>
          <w:sz w:val="20"/>
          <w:szCs w:val="20"/>
          <w:lang w:val="cs-CZ" w:eastAsia="cs-CZ"/>
        </w:rPr>
        <w:t xml:space="preserve"> </w:t>
      </w:r>
      <w:r w:rsidRPr="00153004">
        <w:rPr>
          <w:color w:val="000000"/>
          <w:sz w:val="20"/>
          <w:szCs w:val="20"/>
          <w:lang w:val="cs-CZ" w:eastAsia="cs-CZ"/>
        </w:rPr>
        <w:t>alespoň 3 z těchto prostředků komunikace, které doloží v Závěrečné zprávě, přičemž jedním ze zvolených prostředků musí být zajištění zveřejnění na webových stránkách:</w:t>
      </w:r>
    </w:p>
    <w:p w14:paraId="002F3FD8"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informační tabule (nástěnky, apod.), (doloží se kopií informace, která byla uveřejněna s uvedením doby uveřejnění),</w:t>
      </w:r>
    </w:p>
    <w:p w14:paraId="2FB10295"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obecní zpravodaj (doloží se originálem nebo kopií příslušného článku a informací, kdy byl publikován),</w:t>
      </w:r>
    </w:p>
    <w:p w14:paraId="34BCE20D"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periodikum vydávané ve smyslu zákona č. 46/2000 Sb., tiskový zákon, ve znění pozdějších předpisů (doloží se originálem nebo kopií příslušného článku a informací, kdy byl publikován),</w:t>
      </w:r>
    </w:p>
    <w:p w14:paraId="4D38DF5E"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regionální tisk (doloží se originálem či kopií příslušného článku a informací, kdy byl publikován),</w:t>
      </w:r>
    </w:p>
    <w:p w14:paraId="19DE0067"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rozhlas – obecní či regionální/celoplošné vysílání (doloží se přepisem hlášeného textu a informací o datu, kdy byla informace hlášena),</w:t>
      </w:r>
    </w:p>
    <w:p w14:paraId="74C22E6E"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televizní informační kanál (doloží se písemnou informací o datu a čase, kdy byla informace v médiu uvedena a text této informace),</w:t>
      </w:r>
    </w:p>
    <w:p w14:paraId="587C28F2"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úřední deska (doloží se kopií informace, která byla uveřejněna, s uvedením doby uveřejnění),</w:t>
      </w:r>
    </w:p>
    <w:p w14:paraId="2E3BB6D7"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výroční zpráva (doloží se originálem nebo kopií této zprávy či její části obsahující prezentaci poskytovatele),</w:t>
      </w:r>
    </w:p>
    <w:p w14:paraId="43E2114D" w14:textId="7A8DF3F8" w:rsidR="005945A1" w:rsidRPr="008B44F4"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webové stránky (doloží se odkazem na příslušné stránky s uvedením,</w:t>
      </w:r>
      <w:r w:rsidR="008B44F4">
        <w:rPr>
          <w:color w:val="000000"/>
          <w:sz w:val="20"/>
          <w:szCs w:val="20"/>
          <w:lang w:val="cs-CZ" w:eastAsia="cs-CZ"/>
        </w:rPr>
        <w:t xml:space="preserve"> kdy byla informace uveřejněna).</w:t>
      </w:r>
    </w:p>
    <w:p w14:paraId="32D5786A" w14:textId="77777777" w:rsidR="008B44F4" w:rsidRPr="005945A1" w:rsidRDefault="008B44F4" w:rsidP="008B44F4">
      <w:pPr>
        <w:widowControl/>
        <w:pBdr>
          <w:top w:val="nil"/>
          <w:left w:val="nil"/>
          <w:bottom w:val="nil"/>
          <w:right w:val="nil"/>
          <w:between w:val="nil"/>
        </w:pBdr>
        <w:autoSpaceDE/>
        <w:autoSpaceDN/>
        <w:spacing w:after="60" w:line="259" w:lineRule="auto"/>
        <w:ind w:left="1304"/>
        <w:jc w:val="both"/>
        <w:rPr>
          <w:sz w:val="20"/>
          <w:szCs w:val="20"/>
          <w:lang w:val="cs-CZ" w:eastAsia="cs-CZ"/>
        </w:rPr>
      </w:pPr>
    </w:p>
    <w:p w14:paraId="52BE7D7B" w14:textId="77777777" w:rsidR="005945A1" w:rsidRPr="005945A1" w:rsidRDefault="001918E6" w:rsidP="005945A1">
      <w:pPr>
        <w:keepNext/>
        <w:widowControl/>
        <w:numPr>
          <w:ilvl w:val="0"/>
          <w:numId w:val="1"/>
        </w:numPr>
        <w:autoSpaceDE/>
        <w:autoSpaceDN/>
        <w:spacing w:before="360" w:after="160" w:line="259" w:lineRule="auto"/>
        <w:jc w:val="center"/>
        <w:outlineLvl w:val="0"/>
        <w:rPr>
          <w:b/>
          <w:sz w:val="20"/>
          <w:szCs w:val="20"/>
          <w:lang w:val="cs-CZ" w:eastAsia="cs-CZ"/>
        </w:rPr>
      </w:pPr>
      <w:sdt>
        <w:sdtPr>
          <w:rPr>
            <w:b/>
            <w:sz w:val="20"/>
            <w:szCs w:val="20"/>
            <w:lang w:val="cs-CZ" w:eastAsia="cs-CZ"/>
          </w:rPr>
          <w:tag w:val="goog_rdk_0"/>
          <w:id w:val="-1000267468"/>
        </w:sdtPr>
        <w:sdtEndPr/>
        <w:sdtContent/>
      </w:sdt>
      <w:sdt>
        <w:sdtPr>
          <w:rPr>
            <w:b/>
            <w:sz w:val="20"/>
            <w:szCs w:val="20"/>
            <w:lang w:val="cs-CZ" w:eastAsia="cs-CZ"/>
          </w:rPr>
          <w:tag w:val="goog_rdk_1"/>
          <w:id w:val="578645735"/>
        </w:sdtPr>
        <w:sdtEndPr/>
        <w:sdtContent/>
      </w:sdt>
      <w:sdt>
        <w:sdtPr>
          <w:rPr>
            <w:b/>
            <w:sz w:val="20"/>
            <w:szCs w:val="20"/>
            <w:lang w:val="cs-CZ" w:eastAsia="cs-CZ"/>
          </w:rPr>
          <w:tag w:val="goog_rdk_2"/>
          <w:id w:val="-159696204"/>
        </w:sdtPr>
        <w:sdtEndPr/>
        <w:sdtContent/>
      </w:sdt>
      <w:r w:rsidR="005945A1" w:rsidRPr="005945A1">
        <w:rPr>
          <w:b/>
          <w:sz w:val="20"/>
          <w:szCs w:val="20"/>
          <w:lang w:val="cs-CZ" w:eastAsia="cs-CZ"/>
        </w:rPr>
        <w:t>Sankce</w:t>
      </w:r>
    </w:p>
    <w:p w14:paraId="70E0AE99"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76971864"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Za </w:t>
      </w:r>
      <w:r w:rsidRPr="005945A1">
        <w:rPr>
          <w:b/>
          <w:color w:val="000000"/>
          <w:sz w:val="20"/>
          <w:szCs w:val="20"/>
          <w:lang w:val="cs-CZ" w:eastAsia="cs-CZ"/>
        </w:rPr>
        <w:t>porušení rozpočtové kázně</w:t>
      </w:r>
      <w:r w:rsidRPr="005945A1">
        <w:rPr>
          <w:color w:val="000000"/>
          <w:sz w:val="20"/>
          <w:szCs w:val="20"/>
          <w:lang w:val="cs-CZ" w:eastAsia="cs-CZ"/>
        </w:rPr>
        <w:t xml:space="preserve"> dle § 22 zákona o rozpočtových pravidlech územních rozpočtů, za který bude příjemci uložen </w:t>
      </w:r>
      <w:r w:rsidRPr="005945A1">
        <w:rPr>
          <w:b/>
          <w:color w:val="000000"/>
          <w:sz w:val="20"/>
          <w:szCs w:val="20"/>
          <w:lang w:val="cs-CZ" w:eastAsia="cs-CZ"/>
        </w:rPr>
        <w:t>odvod ve výši poskytnuté dotace</w:t>
      </w:r>
      <w:r w:rsidRPr="005945A1">
        <w:rPr>
          <w:color w:val="000000"/>
          <w:sz w:val="20"/>
          <w:szCs w:val="20"/>
          <w:lang w:val="cs-CZ" w:eastAsia="cs-CZ"/>
        </w:rPr>
        <w:t>, se považuje zejména pokud:</w:t>
      </w:r>
    </w:p>
    <w:p w14:paraId="1D8FBB6D"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nedodrží účel dotace,</w:t>
      </w:r>
    </w:p>
    <w:p w14:paraId="2E160B42"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vůbec nedoloží úhrady výdajů,</w:t>
      </w:r>
    </w:p>
    <w:p w14:paraId="1EBAA178"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dojde k podstatnému nenaplnění monitorovacího indikátoru dle čl. 3.</w:t>
      </w:r>
      <w:sdt>
        <w:sdtPr>
          <w:rPr>
            <w:sz w:val="20"/>
            <w:szCs w:val="20"/>
            <w:lang w:val="cs-CZ" w:eastAsia="cs-CZ"/>
          </w:rPr>
          <w:tag w:val="goog_rdk_3"/>
          <w:id w:val="1945113482"/>
        </w:sdtPr>
        <w:sdtEndPr/>
        <w:sdtContent/>
      </w:sdt>
      <w:sdt>
        <w:sdtPr>
          <w:rPr>
            <w:sz w:val="20"/>
            <w:szCs w:val="20"/>
            <w:lang w:val="cs-CZ" w:eastAsia="cs-CZ"/>
          </w:rPr>
          <w:tag w:val="goog_rdk_4"/>
          <w:id w:val="-265845424"/>
        </w:sdtPr>
        <w:sdtEndPr/>
        <w:sdtContent/>
      </w:sdt>
      <w:r w:rsidRPr="005945A1">
        <w:rPr>
          <w:color w:val="000000"/>
          <w:sz w:val="20"/>
          <w:szCs w:val="20"/>
          <w:lang w:val="cs-CZ" w:eastAsia="cs-CZ"/>
        </w:rPr>
        <w:t>2,</w:t>
      </w:r>
    </w:p>
    <w:p w14:paraId="78D13ECC"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nepředloží Závěrečnou zprávu ani ve lhůtě 30 pracovních dní po uplynutí lhůty dle čl. 4.</w:t>
      </w:r>
      <w:sdt>
        <w:sdtPr>
          <w:rPr>
            <w:sz w:val="20"/>
            <w:szCs w:val="20"/>
            <w:lang w:val="cs-CZ" w:eastAsia="cs-CZ"/>
          </w:rPr>
          <w:tag w:val="goog_rdk_5"/>
          <w:id w:val="172777744"/>
        </w:sdtPr>
        <w:sdtEndPr/>
        <w:sdtContent>
          <w:sdt>
            <w:sdtPr>
              <w:rPr>
                <w:sz w:val="20"/>
                <w:szCs w:val="20"/>
                <w:lang w:val="cs-CZ" w:eastAsia="cs-CZ"/>
              </w:rPr>
              <w:tag w:val="goog_rdk_6"/>
              <w:id w:val="-407772783"/>
            </w:sdtPr>
            <w:sdtEndPr/>
            <w:sdtContent/>
          </w:sdt>
        </w:sdtContent>
      </w:sdt>
      <w:sdt>
        <w:sdtPr>
          <w:rPr>
            <w:sz w:val="20"/>
            <w:szCs w:val="20"/>
            <w:lang w:val="cs-CZ" w:eastAsia="cs-CZ"/>
          </w:rPr>
          <w:tag w:val="goog_rdk_8"/>
          <w:id w:val="-1080905370"/>
        </w:sdtPr>
        <w:sdtEndPr/>
        <w:sdtContent>
          <w:r w:rsidRPr="005945A1">
            <w:rPr>
              <w:color w:val="000000"/>
              <w:sz w:val="20"/>
              <w:szCs w:val="20"/>
              <w:lang w:val="cs-CZ" w:eastAsia="cs-CZ"/>
            </w:rPr>
            <w:t>3</w:t>
          </w:r>
        </w:sdtContent>
      </w:sdt>
      <w:r w:rsidRPr="005945A1">
        <w:rPr>
          <w:color w:val="000000"/>
          <w:sz w:val="20"/>
          <w:szCs w:val="20"/>
          <w:lang w:val="cs-CZ" w:eastAsia="cs-CZ"/>
        </w:rPr>
        <w:t>,</w:t>
      </w:r>
    </w:p>
    <w:p w14:paraId="0E631FE2"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poruší povinnost dle čl. 5.4 nebo 5.</w:t>
      </w:r>
      <w:sdt>
        <w:sdtPr>
          <w:rPr>
            <w:sz w:val="20"/>
            <w:szCs w:val="20"/>
            <w:lang w:val="cs-CZ" w:eastAsia="cs-CZ"/>
          </w:rPr>
          <w:tag w:val="goog_rdk_9"/>
          <w:id w:val="-223213393"/>
        </w:sdtPr>
        <w:sdtEndPr/>
        <w:sdtContent/>
      </w:sdt>
      <w:sdt>
        <w:sdtPr>
          <w:rPr>
            <w:sz w:val="20"/>
            <w:szCs w:val="20"/>
            <w:lang w:val="cs-CZ" w:eastAsia="cs-CZ"/>
          </w:rPr>
          <w:tag w:val="goog_rdk_10"/>
          <w:id w:val="1541928439"/>
        </w:sdtPr>
        <w:sdtEndPr/>
        <w:sdtContent/>
      </w:sdt>
      <w:r w:rsidRPr="005945A1">
        <w:rPr>
          <w:color w:val="000000"/>
          <w:sz w:val="20"/>
          <w:szCs w:val="20"/>
          <w:lang w:val="cs-CZ" w:eastAsia="cs-CZ"/>
        </w:rPr>
        <w:t>5,</w:t>
      </w:r>
    </w:p>
    <w:p w14:paraId="0BCAD9AD"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Za </w:t>
      </w:r>
      <w:r w:rsidRPr="005945A1">
        <w:rPr>
          <w:b/>
          <w:color w:val="000000"/>
          <w:sz w:val="20"/>
          <w:szCs w:val="20"/>
          <w:lang w:val="cs-CZ" w:eastAsia="cs-CZ"/>
        </w:rPr>
        <w:t>porušení rozpočtové kázně</w:t>
      </w:r>
      <w:r w:rsidRPr="005945A1">
        <w:rPr>
          <w:color w:val="000000"/>
          <w:sz w:val="20"/>
          <w:szCs w:val="20"/>
          <w:lang w:val="cs-CZ" w:eastAsia="cs-CZ"/>
        </w:rPr>
        <w:t xml:space="preserve"> dle § 22 zákona o rozpočtových pravidlech územních rozpočtů, za který bude příjemci uložen </w:t>
      </w:r>
      <w:r w:rsidRPr="005945A1">
        <w:rPr>
          <w:b/>
          <w:color w:val="000000"/>
          <w:sz w:val="20"/>
          <w:szCs w:val="20"/>
          <w:lang w:val="cs-CZ" w:eastAsia="cs-CZ"/>
        </w:rPr>
        <w:t>odvod ve výši neoprávněně použitých nebo zadržených peněžních prostředků</w:t>
      </w:r>
      <w:r w:rsidRPr="005945A1">
        <w:rPr>
          <w:color w:val="000000"/>
          <w:sz w:val="20"/>
          <w:szCs w:val="20"/>
          <w:lang w:val="cs-CZ" w:eastAsia="cs-CZ"/>
        </w:rPr>
        <w:t>, se považuje zejména pokud:</w:t>
      </w:r>
    </w:p>
    <w:p w14:paraId="000D7AA6"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i/>
          <w:color w:val="000000"/>
          <w:sz w:val="20"/>
          <w:szCs w:val="20"/>
          <w:lang w:val="cs-CZ" w:eastAsia="cs-CZ"/>
        </w:rPr>
      </w:pPr>
      <w:r w:rsidRPr="005945A1">
        <w:rPr>
          <w:color w:val="000000"/>
          <w:sz w:val="20"/>
          <w:szCs w:val="20"/>
          <w:lang w:val="cs-CZ" w:eastAsia="cs-CZ"/>
        </w:rPr>
        <w:t>příjemce neodstraní nedostatky v předložené Závěrečné zprávě ani v náhradní lhůtě dle čl. 4.5, výše odvodu se v tomto případě rovná výši neoprávněně použitých nebo zadržených peněžních prostředků,</w:t>
      </w:r>
    </w:p>
    <w:p w14:paraId="2026D9A5"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lastRenderedPageBreak/>
        <w:t xml:space="preserve">příjemce v rozporu s čl. 5.2 uhradí výdaje později než ve lhůtě 60 dnů od uplynutí lhůty dle čl. 5.2. Za toto porušení bude příjemci uložen odvod ve výši takto opožděně uhrazené částky způsobilých výdajů. </w:t>
      </w:r>
    </w:p>
    <w:p w14:paraId="0D785049"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O </w:t>
      </w:r>
      <w:r w:rsidRPr="005945A1">
        <w:rPr>
          <w:b/>
          <w:color w:val="000000"/>
          <w:sz w:val="20"/>
          <w:szCs w:val="20"/>
          <w:lang w:val="cs-CZ" w:eastAsia="cs-CZ"/>
        </w:rPr>
        <w:t>méně závažné porušení</w:t>
      </w:r>
      <w:r w:rsidRPr="005945A1">
        <w:rPr>
          <w:color w:val="000000"/>
          <w:sz w:val="20"/>
          <w:szCs w:val="20"/>
          <w:lang w:val="cs-CZ" w:eastAsia="cs-CZ"/>
        </w:rPr>
        <w:t xml:space="preserve"> rozpočtové kázně dle § 22 zákona o rozpočtových pravidlech územních rozpočtů, za které bude příjemci uložen snížený </w:t>
      </w:r>
      <w:r w:rsidRPr="005945A1">
        <w:rPr>
          <w:b/>
          <w:color w:val="000000"/>
          <w:sz w:val="20"/>
          <w:szCs w:val="20"/>
          <w:lang w:val="cs-CZ" w:eastAsia="cs-CZ"/>
        </w:rPr>
        <w:t>odvod ve výši 5 %</w:t>
      </w:r>
      <w:r w:rsidRPr="005945A1">
        <w:rPr>
          <w:color w:val="000000"/>
          <w:sz w:val="20"/>
          <w:szCs w:val="20"/>
          <w:lang w:val="cs-CZ" w:eastAsia="cs-CZ"/>
        </w:rPr>
        <w:t xml:space="preserve"> z poskytnuté dotace, se jedná v případě, kdy:</w:t>
      </w:r>
    </w:p>
    <w:p w14:paraId="5BACAA41"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předloží Závěrečnou zprávu ve lhůtě do 30 pracovních dní po uplynutí lhůty dle čl. 4.</w:t>
      </w:r>
      <w:sdt>
        <w:sdtPr>
          <w:rPr>
            <w:sz w:val="20"/>
            <w:szCs w:val="20"/>
            <w:lang w:val="cs-CZ" w:eastAsia="cs-CZ"/>
          </w:rPr>
          <w:tag w:val="goog_rdk_11"/>
          <w:id w:val="-170259670"/>
        </w:sdtPr>
        <w:sdtEndPr/>
        <w:sdtContent>
          <w:sdt>
            <w:sdtPr>
              <w:rPr>
                <w:sz w:val="20"/>
                <w:szCs w:val="20"/>
                <w:lang w:val="cs-CZ" w:eastAsia="cs-CZ"/>
              </w:rPr>
              <w:tag w:val="goog_rdk_12"/>
              <w:id w:val="-1700078598"/>
            </w:sdtPr>
            <w:sdtEndPr/>
            <w:sdtContent/>
          </w:sdt>
        </w:sdtContent>
      </w:sdt>
      <w:sdt>
        <w:sdtPr>
          <w:rPr>
            <w:sz w:val="20"/>
            <w:szCs w:val="20"/>
            <w:lang w:val="cs-CZ" w:eastAsia="cs-CZ"/>
          </w:rPr>
          <w:tag w:val="goog_rdk_14"/>
          <w:id w:val="1972325277"/>
        </w:sdtPr>
        <w:sdtEndPr/>
        <w:sdtContent>
          <w:r w:rsidRPr="005945A1">
            <w:rPr>
              <w:color w:val="000000"/>
              <w:sz w:val="20"/>
              <w:szCs w:val="20"/>
              <w:lang w:val="cs-CZ" w:eastAsia="cs-CZ"/>
            </w:rPr>
            <w:t>3</w:t>
          </w:r>
        </w:sdtContent>
      </w:sdt>
      <w:r w:rsidRPr="005945A1">
        <w:rPr>
          <w:color w:val="000000"/>
          <w:sz w:val="20"/>
          <w:szCs w:val="20"/>
          <w:lang w:val="cs-CZ" w:eastAsia="cs-CZ"/>
        </w:rPr>
        <w:t>,</w:t>
      </w:r>
    </w:p>
    <w:p w14:paraId="0A0C6020"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poruší povinnosti dle čl. 6.</w:t>
      </w:r>
    </w:p>
    <w:p w14:paraId="17D05D4E"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O </w:t>
      </w:r>
      <w:r w:rsidRPr="005945A1">
        <w:rPr>
          <w:b/>
          <w:color w:val="000000"/>
          <w:sz w:val="20"/>
          <w:szCs w:val="20"/>
          <w:lang w:val="cs-CZ" w:eastAsia="cs-CZ"/>
        </w:rPr>
        <w:t>méně závažné porušení</w:t>
      </w:r>
      <w:r w:rsidRPr="005945A1">
        <w:rPr>
          <w:color w:val="000000"/>
          <w:sz w:val="20"/>
          <w:szCs w:val="20"/>
          <w:lang w:val="cs-CZ" w:eastAsia="cs-CZ"/>
        </w:rPr>
        <w:t xml:space="preserve"> </w:t>
      </w:r>
      <w:sdt>
        <w:sdtPr>
          <w:rPr>
            <w:sz w:val="20"/>
            <w:szCs w:val="20"/>
            <w:lang w:val="cs-CZ" w:eastAsia="cs-CZ"/>
          </w:rPr>
          <w:tag w:val="goog_rdk_15"/>
          <w:id w:val="355010670"/>
        </w:sdtPr>
        <w:sdtEndPr/>
        <w:sdtContent/>
      </w:sdt>
      <w:r w:rsidRPr="005945A1">
        <w:rPr>
          <w:color w:val="000000"/>
          <w:sz w:val="20"/>
          <w:szCs w:val="20"/>
          <w:lang w:val="cs-CZ" w:eastAsia="cs-CZ"/>
        </w:rPr>
        <w:t>rozpočtové kázně dle § 22 zákona o rozpočtových pravidlech územních rozpočtů, se dále jedná v případě, kdy:</w:t>
      </w:r>
    </w:p>
    <w:p w14:paraId="2F983D39" w14:textId="6ACE6D0E"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odstraní nedostatky či nesrovnalosti v závěrečné zprávě až v náhradní lhůtě dle čl. 4.5. Příjemci bude uložen snížený odvod ve výši 5 % z částky dotace, které se týkaly odstraněné nedostatky či nesrovnalosti; pokud takový rozsah nelze stanovit, bude mu uložen odvod ve výši 5</w:t>
      </w:r>
      <w:r w:rsidR="00186470">
        <w:rPr>
          <w:color w:val="000000"/>
          <w:sz w:val="20"/>
          <w:szCs w:val="20"/>
          <w:lang w:val="cs-CZ" w:eastAsia="cs-CZ"/>
        </w:rPr>
        <w:t xml:space="preserve"> </w:t>
      </w:r>
      <w:r w:rsidRPr="005945A1">
        <w:rPr>
          <w:color w:val="000000"/>
          <w:sz w:val="20"/>
          <w:szCs w:val="20"/>
          <w:lang w:val="cs-CZ" w:eastAsia="cs-CZ"/>
        </w:rPr>
        <w:t xml:space="preserve">% ze schválené dotace, </w:t>
      </w:r>
    </w:p>
    <w:p w14:paraId="7E717CE9" w14:textId="2151EA5F" w:rsidR="005945A1" w:rsidRPr="008B44F4"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i/>
          <w:color w:val="5B9BD5"/>
          <w:sz w:val="16"/>
          <w:szCs w:val="16"/>
          <w:lang w:val="cs-CZ" w:eastAsia="cs-CZ"/>
        </w:rPr>
        <w:t xml:space="preserve"> </w:t>
      </w:r>
      <w:r w:rsidRPr="005945A1">
        <w:rPr>
          <w:color w:val="000000"/>
          <w:sz w:val="20"/>
          <w:szCs w:val="20"/>
          <w:lang w:val="cs-CZ" w:eastAsia="cs-CZ"/>
        </w:rPr>
        <w:t xml:space="preserve">příjemce v rozporu s čl. 5.2 uhradí výdaje po uplynutí lhůty pro úhradu výdajů dle čl. 5.2, ale ne později než do lhůty pro předložení Závěrečné zprávy dle čl. 4.3. Příjemci bude uložen snížený odvod ve výši 10 % z takto opožděně uhrazené částky způsobilých výdajů. </w:t>
      </w:r>
    </w:p>
    <w:p w14:paraId="5E991401" w14:textId="77777777" w:rsidR="008B44F4" w:rsidRPr="005945A1" w:rsidRDefault="008B44F4" w:rsidP="008B44F4">
      <w:pPr>
        <w:widowControl/>
        <w:pBdr>
          <w:top w:val="nil"/>
          <w:left w:val="nil"/>
          <w:bottom w:val="nil"/>
          <w:right w:val="nil"/>
          <w:between w:val="nil"/>
        </w:pBdr>
        <w:autoSpaceDE/>
        <w:autoSpaceDN/>
        <w:spacing w:after="60" w:line="259" w:lineRule="auto"/>
        <w:ind w:left="1304"/>
        <w:jc w:val="both"/>
        <w:rPr>
          <w:sz w:val="20"/>
          <w:szCs w:val="20"/>
          <w:lang w:val="cs-CZ" w:eastAsia="cs-CZ"/>
        </w:rPr>
      </w:pPr>
    </w:p>
    <w:p w14:paraId="62D1E23D"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Změny podmínek smlouvy</w:t>
      </w:r>
    </w:p>
    <w:p w14:paraId="28E13812"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6330D252"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 xml:space="preserve">změna adresy nebo sídla příjemce, </w:t>
      </w:r>
    </w:p>
    <w:p w14:paraId="63016E13"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změna statutárního orgánu nebo kontaktní osoby,</w:t>
      </w:r>
    </w:p>
    <w:p w14:paraId="48E8CA62"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změna názvu příjemce,</w:t>
      </w:r>
    </w:p>
    <w:p w14:paraId="25A8F8A1"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částečné nenaplnění monitorovacího indikátoru</w:t>
      </w:r>
      <w:r w:rsidR="00407A89">
        <w:rPr>
          <w:color w:val="000000"/>
          <w:sz w:val="20"/>
          <w:szCs w:val="20"/>
          <w:lang w:val="cs-CZ" w:eastAsia="cs-CZ"/>
        </w:rPr>
        <w:t xml:space="preserve"> dle čl. 3.2</w:t>
      </w:r>
      <w:r w:rsidRPr="005945A1">
        <w:rPr>
          <w:color w:val="000000"/>
          <w:sz w:val="20"/>
          <w:szCs w:val="20"/>
          <w:lang w:val="cs-CZ" w:eastAsia="cs-CZ"/>
        </w:rPr>
        <w:t>,</w:t>
      </w:r>
    </w:p>
    <w:p w14:paraId="5E5708F6"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změna zdrojů nebo výše podílů těchto zdrojů na financování projektu (s výjimkou dotace od Zlínského kraje),</w:t>
      </w:r>
    </w:p>
    <w:p w14:paraId="4BFFA25A"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Změnu bankovního spojení oznámí příjemce poskytovateli písemně ve lhůtě do 15 dní ode dne, kdy ke změně došlo. Informace o změně účtu příjemce je pro poskytovatele závazná ode dne, kdy byla poskytovateli doručena. </w:t>
      </w:r>
    </w:p>
    <w:p w14:paraId="2904407F" w14:textId="6D3D9B1B" w:rsidR="005945A1" w:rsidRPr="008B44F4"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F743F5C" w14:textId="77777777" w:rsidR="008B44F4" w:rsidRPr="005945A1" w:rsidRDefault="008B44F4" w:rsidP="008B44F4">
      <w:pPr>
        <w:widowControl/>
        <w:pBdr>
          <w:top w:val="nil"/>
          <w:left w:val="nil"/>
          <w:bottom w:val="nil"/>
          <w:right w:val="nil"/>
          <w:between w:val="nil"/>
        </w:pBdr>
        <w:autoSpaceDE/>
        <w:autoSpaceDN/>
        <w:spacing w:before="60" w:after="60" w:line="259" w:lineRule="auto"/>
        <w:ind w:left="567"/>
        <w:jc w:val="both"/>
        <w:rPr>
          <w:sz w:val="20"/>
          <w:szCs w:val="20"/>
          <w:lang w:val="cs-CZ" w:eastAsia="cs-CZ"/>
        </w:rPr>
      </w:pPr>
    </w:p>
    <w:p w14:paraId="232B0DE6" w14:textId="77777777" w:rsidR="005945A1" w:rsidRPr="005945A1" w:rsidRDefault="005945A1" w:rsidP="005945A1">
      <w:pPr>
        <w:keepNext/>
        <w:widowControl/>
        <w:numPr>
          <w:ilvl w:val="0"/>
          <w:numId w:val="1"/>
        </w:numPr>
        <w:autoSpaceDE/>
        <w:autoSpaceDN/>
        <w:spacing w:before="360" w:after="160" w:line="276" w:lineRule="auto"/>
        <w:jc w:val="center"/>
        <w:outlineLvl w:val="0"/>
        <w:rPr>
          <w:b/>
          <w:sz w:val="20"/>
          <w:szCs w:val="20"/>
          <w:lang w:val="cs-CZ" w:eastAsia="cs-CZ"/>
        </w:rPr>
      </w:pPr>
      <w:r w:rsidRPr="005945A1">
        <w:rPr>
          <w:b/>
          <w:sz w:val="20"/>
          <w:szCs w:val="20"/>
          <w:lang w:val="cs-CZ" w:eastAsia="cs-CZ"/>
        </w:rPr>
        <w:t>Ukončení smlouvy</w:t>
      </w:r>
    </w:p>
    <w:p w14:paraId="45C0E827"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Smlouvu lze ukončit na základě písemné dohody obou smluvních stran nebo písemnou výpovědí smlouvy, a to za podmínek dále stanovených.</w:t>
      </w:r>
    </w:p>
    <w:p w14:paraId="1496F178"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Poskytovatel je oprávněn vypovědět smlouvu jak před proplacením, tak i po proplacení dotace.</w:t>
      </w:r>
    </w:p>
    <w:p w14:paraId="7DBA3F23"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lastRenderedPageBreak/>
        <w:t>Výpovědním důvodem je porušení povinností příjemcem stanovených touto smlouvou nebo obecně závaznými právními předpisy. Porušením se rozumí zejména, pokud příjemce:</w:t>
      </w:r>
    </w:p>
    <w:p w14:paraId="6D152AE8"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nedodrží účel dotace,</w:t>
      </w:r>
    </w:p>
    <w:p w14:paraId="601BF699"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svým jednáním poruší rozpočtovou kázeň zejména dle čl. 7.2, ve smyslu zákona o rozpočtových pravidlech územních rozpočtů,</w:t>
      </w:r>
    </w:p>
    <w:p w14:paraId="2BD03036" w14:textId="77777777" w:rsidR="005945A1" w:rsidRPr="00363258"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příjemce se opozdí s předložením závěrečné zprávy o více než 30 pracovních dnů oproti lhůtě dle čl. 4.3,</w:t>
      </w:r>
    </w:p>
    <w:p w14:paraId="209FB987" w14:textId="0EC5B80D" w:rsidR="00332001" w:rsidRDefault="00332001" w:rsidP="00332001">
      <w:pPr>
        <w:pStyle w:val="3rove-trval"/>
        <w:numPr>
          <w:ilvl w:val="3"/>
          <w:numId w:val="1"/>
        </w:numPr>
      </w:pPr>
      <w:r>
        <w:t>prohlášení příjemce dle čl. 5.6 se prokáže jako nepravdivé,</w:t>
      </w:r>
    </w:p>
    <w:p w14:paraId="6CD65F48"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7123AEC"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bylo vůči příjemci zahájeno insolvenční řízení podle zákona č. 182/2006 Sb., o úpadku a způsobech jeho řešení, ve znění pozdějších předpisů, exekuční řízení či řízení o výkonu rozhodnutí,</w:t>
      </w:r>
    </w:p>
    <w:p w14:paraId="116B73FC"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uvedl nepravdivé, neúplné nebo zkreslené údaje, na které se váže uzavření této smlouvy,</w:t>
      </w:r>
    </w:p>
    <w:p w14:paraId="624D54F3"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je v likvidaci,</w:t>
      </w:r>
    </w:p>
    <w:p w14:paraId="4BC0D647" w14:textId="77777777" w:rsidR="005945A1" w:rsidRPr="005945A1" w:rsidRDefault="005945A1" w:rsidP="005945A1">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5945A1">
        <w:rPr>
          <w:color w:val="000000"/>
          <w:sz w:val="20"/>
          <w:szCs w:val="20"/>
          <w:lang w:val="cs-CZ" w:eastAsia="cs-CZ"/>
        </w:rPr>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FE94021" w14:textId="77777777" w:rsidR="005945A1" w:rsidRPr="005945A1" w:rsidRDefault="00407A89" w:rsidP="00407A89">
      <w:pPr>
        <w:widowControl/>
        <w:numPr>
          <w:ilvl w:val="3"/>
          <w:numId w:val="1"/>
        </w:numPr>
        <w:pBdr>
          <w:top w:val="nil"/>
          <w:left w:val="nil"/>
          <w:bottom w:val="nil"/>
          <w:right w:val="nil"/>
          <w:between w:val="nil"/>
        </w:pBdr>
        <w:autoSpaceDE/>
        <w:autoSpaceDN/>
        <w:spacing w:after="60" w:line="259" w:lineRule="auto"/>
        <w:jc w:val="both"/>
        <w:rPr>
          <w:sz w:val="20"/>
          <w:szCs w:val="20"/>
          <w:lang w:val="cs-CZ" w:eastAsia="cs-CZ"/>
        </w:rPr>
      </w:pPr>
      <w:r w:rsidRPr="00407A89">
        <w:rPr>
          <w:color w:val="000000"/>
          <w:sz w:val="20"/>
          <w:szCs w:val="20"/>
          <w:lang w:val="cs-CZ" w:eastAsia="cs-CZ"/>
        </w:rPr>
        <w:t>podstatně nenaplní monitorovací indikátor dle čl. 3.2</w:t>
      </w:r>
      <w:r>
        <w:rPr>
          <w:color w:val="000000"/>
          <w:sz w:val="20"/>
          <w:szCs w:val="20"/>
          <w:lang w:val="cs-CZ" w:eastAsia="cs-CZ"/>
        </w:rPr>
        <w:t>.</w:t>
      </w:r>
      <w:r w:rsidR="005945A1" w:rsidRPr="005945A1">
        <w:rPr>
          <w:color w:val="000000"/>
          <w:sz w:val="20"/>
          <w:szCs w:val="20"/>
          <w:lang w:val="cs-CZ" w:eastAsia="cs-CZ"/>
        </w:rPr>
        <w:t xml:space="preserve"> </w:t>
      </w:r>
    </w:p>
    <w:p w14:paraId="724DFFC3"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559CA83"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0BAC201"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Výpověď smlouvy musí být učiněna písemně a musí v ní být uvedeny důvody jejího udělení.</w:t>
      </w:r>
    </w:p>
    <w:p w14:paraId="27B185F8"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606D3A42"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5960D489"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2C66E73"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41881415"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1C774F75"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lastRenderedPageBreak/>
        <w:t>Pokud příjemce ve stanovené lhůtě poskytnuté prostředky nevrátí v souladu s tímto článkem poskytovateli, považují se tyto prostředky za zadržené ve smyslu zákona o rozpočtových pravidlech územních rozpočtů.</w:t>
      </w:r>
    </w:p>
    <w:p w14:paraId="28300F93" w14:textId="77777777" w:rsidR="005945A1" w:rsidRPr="005945A1" w:rsidRDefault="005945A1" w:rsidP="005945A1">
      <w:pPr>
        <w:keepNext/>
        <w:widowControl/>
        <w:numPr>
          <w:ilvl w:val="0"/>
          <w:numId w:val="1"/>
        </w:numPr>
        <w:autoSpaceDE/>
        <w:autoSpaceDN/>
        <w:spacing w:before="360" w:after="160" w:line="259" w:lineRule="auto"/>
        <w:jc w:val="center"/>
        <w:outlineLvl w:val="0"/>
        <w:rPr>
          <w:b/>
          <w:sz w:val="20"/>
          <w:szCs w:val="20"/>
          <w:lang w:val="cs-CZ" w:eastAsia="cs-CZ"/>
        </w:rPr>
      </w:pPr>
      <w:r w:rsidRPr="005945A1">
        <w:rPr>
          <w:b/>
          <w:sz w:val="20"/>
          <w:szCs w:val="20"/>
          <w:lang w:val="cs-CZ" w:eastAsia="cs-CZ"/>
        </w:rPr>
        <w:t xml:space="preserve"> Závěrečná ustanovení</w:t>
      </w:r>
    </w:p>
    <w:p w14:paraId="56D24C99" w14:textId="30FDAC52"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Jako kontaktní místo poskytovatele se pro účely této smlouvy stanovuje: Krajský úřad Zlínského kraje, Odbor strategického rozvoje kraje,</w:t>
      </w:r>
      <w:r w:rsidR="00153004">
        <w:rPr>
          <w:color w:val="000000"/>
          <w:sz w:val="20"/>
          <w:szCs w:val="20"/>
          <w:lang w:val="cs-CZ" w:eastAsia="cs-CZ"/>
        </w:rPr>
        <w:t xml:space="preserve"> </w:t>
      </w:r>
      <w:r w:rsidR="00913796">
        <w:rPr>
          <w:color w:val="000000"/>
          <w:sz w:val="20"/>
          <w:szCs w:val="20"/>
          <w:lang w:val="cs-CZ" w:eastAsia="cs-CZ"/>
        </w:rPr>
        <w:t>xxx</w:t>
      </w:r>
      <w:r w:rsidR="00153004">
        <w:rPr>
          <w:color w:val="000000"/>
          <w:sz w:val="20"/>
          <w:szCs w:val="20"/>
          <w:lang w:val="cs-CZ" w:eastAsia="cs-CZ"/>
        </w:rPr>
        <w:t>,</w:t>
      </w:r>
      <w:r w:rsidRPr="005945A1">
        <w:rPr>
          <w:color w:val="000000"/>
          <w:sz w:val="20"/>
          <w:szCs w:val="20"/>
          <w:lang w:val="cs-CZ" w:eastAsia="cs-CZ"/>
        </w:rPr>
        <w:t xml:space="preserve"> tel.: </w:t>
      </w:r>
      <w:r w:rsidR="00913796">
        <w:rPr>
          <w:color w:val="000000"/>
          <w:sz w:val="20"/>
          <w:szCs w:val="20"/>
          <w:lang w:val="cs-CZ" w:eastAsia="cs-CZ"/>
        </w:rPr>
        <w:t>xxx</w:t>
      </w:r>
      <w:r w:rsidR="007209E3">
        <w:rPr>
          <w:color w:val="000000"/>
          <w:sz w:val="20"/>
          <w:szCs w:val="20"/>
          <w:lang w:val="cs-CZ" w:eastAsia="cs-CZ"/>
        </w:rPr>
        <w:t>, e-mail: </w:t>
      </w:r>
      <w:r w:rsidR="00913796">
        <w:rPr>
          <w:color w:val="000000"/>
          <w:sz w:val="20"/>
          <w:szCs w:val="20"/>
          <w:lang w:val="cs-CZ" w:eastAsia="cs-CZ"/>
        </w:rPr>
        <w:t>xxx</w:t>
      </w:r>
      <w:r w:rsidRPr="005945A1">
        <w:rPr>
          <w:color w:val="000000"/>
          <w:sz w:val="20"/>
          <w:szCs w:val="20"/>
          <w:lang w:val="cs-CZ" w:eastAsia="cs-CZ"/>
        </w:rPr>
        <w:t xml:space="preserve">. </w:t>
      </w:r>
    </w:p>
    <w:p w14:paraId="5CD16D63"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95E46B4"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Tato smlouva byla uzavřena na základě svobodné vůle, nebyla uzavřena v tísni za nápadně nevýhodných podmínek.</w:t>
      </w:r>
    </w:p>
    <w:p w14:paraId="60CB5C21" w14:textId="44E1E8D0" w:rsidR="005945A1" w:rsidRPr="005A0115" w:rsidRDefault="005945A1" w:rsidP="005945A1">
      <w:pPr>
        <w:widowControl/>
        <w:numPr>
          <w:ilvl w:val="1"/>
          <w:numId w:val="1"/>
        </w:numPr>
        <w:pBdr>
          <w:top w:val="nil"/>
          <w:left w:val="nil"/>
          <w:bottom w:val="nil"/>
          <w:right w:val="nil"/>
          <w:between w:val="nil"/>
        </w:pBdr>
        <w:autoSpaceDE/>
        <w:autoSpaceDN/>
        <w:spacing w:before="60" w:after="60" w:line="259" w:lineRule="auto"/>
        <w:jc w:val="both"/>
        <w:rPr>
          <w:color w:val="000000"/>
          <w:sz w:val="20"/>
          <w:szCs w:val="20"/>
          <w:lang w:val="cs-CZ" w:eastAsia="cs-CZ"/>
        </w:rPr>
      </w:pPr>
      <w:r w:rsidRPr="005945A1">
        <w:rPr>
          <w:color w:val="000000"/>
          <w:sz w:val="20"/>
          <w:szCs w:val="20"/>
          <w:lang w:val="cs-CZ" w:eastAsia="cs-CZ"/>
        </w:rPr>
        <w:t>Smlouva je</w:t>
      </w:r>
      <w:r w:rsidR="005A0115">
        <w:rPr>
          <w:color w:val="000000"/>
          <w:sz w:val="20"/>
          <w:szCs w:val="20"/>
          <w:lang w:val="cs-CZ" w:eastAsia="cs-CZ"/>
        </w:rPr>
        <w:t xml:space="preserve"> </w:t>
      </w:r>
      <w:r w:rsidR="004942F1">
        <w:rPr>
          <w:color w:val="000000"/>
          <w:sz w:val="20"/>
          <w:szCs w:val="20"/>
          <w:lang w:val="cs-CZ" w:eastAsia="cs-CZ"/>
        </w:rPr>
        <w:t>uzavírána elektronicky</w:t>
      </w:r>
      <w:r w:rsidR="005A0115" w:rsidRPr="005A0115">
        <w:rPr>
          <w:color w:val="000000"/>
          <w:sz w:val="20"/>
          <w:szCs w:val="20"/>
          <w:lang w:val="cs-CZ" w:eastAsia="cs-CZ"/>
        </w:rPr>
        <w:t>.</w:t>
      </w:r>
    </w:p>
    <w:p w14:paraId="749A37AD" w14:textId="77777777" w:rsidR="005945A1" w:rsidRPr="005945A1"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5B56D1F2" w14:textId="2BAD95D5" w:rsidR="005945A1" w:rsidRPr="008B44F4" w:rsidRDefault="005945A1" w:rsidP="005945A1">
      <w:pPr>
        <w:widowControl/>
        <w:numPr>
          <w:ilvl w:val="1"/>
          <w:numId w:val="1"/>
        </w:numPr>
        <w:pBdr>
          <w:top w:val="nil"/>
          <w:left w:val="nil"/>
          <w:bottom w:val="nil"/>
          <w:right w:val="nil"/>
          <w:between w:val="nil"/>
        </w:pBdr>
        <w:autoSpaceDE/>
        <w:autoSpaceDN/>
        <w:spacing w:before="60" w:after="60" w:line="259" w:lineRule="auto"/>
        <w:jc w:val="both"/>
        <w:rPr>
          <w:sz w:val="20"/>
          <w:szCs w:val="20"/>
          <w:lang w:val="cs-CZ" w:eastAsia="cs-CZ"/>
        </w:rPr>
      </w:pPr>
      <w:r w:rsidRPr="005945A1">
        <w:rPr>
          <w:color w:val="000000"/>
          <w:sz w:val="20"/>
          <w:szCs w:val="20"/>
          <w:lang w:val="cs-CZ" w:eastAsia="cs-CZ"/>
        </w:rPr>
        <w:t xml:space="preserve">Tato smlouva nabývá účinnosti dnem zveřejnění v registru smluv. </w:t>
      </w:r>
    </w:p>
    <w:p w14:paraId="3D59E8C4" w14:textId="77777777" w:rsidR="008B44F4" w:rsidRPr="005945A1" w:rsidRDefault="008B44F4" w:rsidP="008B44F4">
      <w:pPr>
        <w:widowControl/>
        <w:pBdr>
          <w:top w:val="nil"/>
          <w:left w:val="nil"/>
          <w:bottom w:val="nil"/>
          <w:right w:val="nil"/>
          <w:between w:val="nil"/>
        </w:pBdr>
        <w:autoSpaceDE/>
        <w:autoSpaceDN/>
        <w:spacing w:before="60" w:after="60" w:line="259" w:lineRule="auto"/>
        <w:ind w:left="567"/>
        <w:jc w:val="both"/>
        <w:rPr>
          <w:sz w:val="20"/>
          <w:szCs w:val="20"/>
          <w:lang w:val="cs-CZ" w:eastAsia="cs-CZ"/>
        </w:rPr>
      </w:pPr>
    </w:p>
    <w:p w14:paraId="2CC1128C" w14:textId="77777777" w:rsidR="005945A1" w:rsidRPr="005945A1" w:rsidRDefault="005945A1" w:rsidP="005945A1">
      <w:pPr>
        <w:pBdr>
          <w:top w:val="nil"/>
          <w:left w:val="nil"/>
          <w:bottom w:val="nil"/>
          <w:right w:val="nil"/>
          <w:between w:val="nil"/>
        </w:pBdr>
        <w:tabs>
          <w:tab w:val="left" w:pos="426"/>
          <w:tab w:val="left" w:pos="3168"/>
          <w:tab w:val="left" w:pos="4320"/>
          <w:tab w:val="left" w:pos="5472"/>
          <w:tab w:val="left" w:pos="6624"/>
          <w:tab w:val="left" w:pos="7776"/>
          <w:tab w:val="left" w:pos="8928"/>
        </w:tabs>
        <w:autoSpaceDE/>
        <w:autoSpaceDN/>
        <w:spacing w:after="60"/>
        <w:jc w:val="both"/>
        <w:rPr>
          <w:b/>
          <w:color w:val="000000"/>
          <w:sz w:val="20"/>
          <w:szCs w:val="20"/>
          <w:lang w:val="cs-CZ" w:eastAsia="cs-CZ"/>
        </w:rPr>
      </w:pPr>
      <w:r w:rsidRPr="005945A1">
        <w:rPr>
          <w:b/>
          <w:color w:val="000000"/>
          <w:sz w:val="20"/>
          <w:szCs w:val="20"/>
          <w:lang w:val="cs-CZ" w:eastAsia="cs-CZ"/>
        </w:rPr>
        <w:t>Příloha:</w:t>
      </w:r>
    </w:p>
    <w:p w14:paraId="05F15257" w14:textId="1FCAD8E3" w:rsidR="005945A1" w:rsidRPr="00D85AD0" w:rsidRDefault="005945A1" w:rsidP="005945A1">
      <w:pPr>
        <w:widowControl/>
        <w:numPr>
          <w:ilvl w:val="0"/>
          <w:numId w:val="2"/>
        </w:numPr>
        <w:pBdr>
          <w:top w:val="nil"/>
          <w:left w:val="nil"/>
          <w:bottom w:val="nil"/>
          <w:right w:val="nil"/>
          <w:between w:val="nil"/>
        </w:pBdr>
        <w:tabs>
          <w:tab w:val="left" w:pos="426"/>
          <w:tab w:val="left" w:pos="3168"/>
          <w:tab w:val="left" w:pos="4320"/>
          <w:tab w:val="left" w:pos="5472"/>
          <w:tab w:val="left" w:pos="6624"/>
          <w:tab w:val="left" w:pos="7776"/>
          <w:tab w:val="left" w:pos="8928"/>
        </w:tabs>
        <w:autoSpaceDE/>
        <w:autoSpaceDN/>
        <w:spacing w:after="60" w:line="259" w:lineRule="auto"/>
        <w:jc w:val="both"/>
        <w:rPr>
          <w:b/>
          <w:color w:val="000000"/>
          <w:sz w:val="20"/>
          <w:szCs w:val="20"/>
          <w:lang w:val="cs-CZ" w:eastAsia="cs-CZ"/>
        </w:rPr>
      </w:pPr>
      <w:r w:rsidRPr="005945A1">
        <w:rPr>
          <w:color w:val="000000"/>
          <w:sz w:val="20"/>
          <w:szCs w:val="20"/>
          <w:lang w:val="cs-CZ" w:eastAsia="cs-CZ"/>
        </w:rPr>
        <w:t>Výkaz předpokládaných nákladů a výnos</w:t>
      </w:r>
      <w:r w:rsidR="007209E3">
        <w:rPr>
          <w:color w:val="000000"/>
          <w:sz w:val="20"/>
          <w:szCs w:val="20"/>
          <w:lang w:val="cs-CZ" w:eastAsia="cs-CZ"/>
        </w:rPr>
        <w:t>ů konečného příjemce na rok 202</w:t>
      </w:r>
      <w:r w:rsidR="005A0115">
        <w:rPr>
          <w:color w:val="000000"/>
          <w:sz w:val="20"/>
          <w:szCs w:val="20"/>
          <w:lang w:val="cs-CZ" w:eastAsia="cs-CZ"/>
        </w:rPr>
        <w:t>5</w:t>
      </w:r>
    </w:p>
    <w:p w14:paraId="212F8E11" w14:textId="77777777" w:rsidR="00D85AD0" w:rsidRPr="005945A1" w:rsidRDefault="00D85AD0" w:rsidP="00D85AD0">
      <w:pPr>
        <w:widowControl/>
        <w:pBdr>
          <w:top w:val="nil"/>
          <w:left w:val="nil"/>
          <w:bottom w:val="nil"/>
          <w:right w:val="nil"/>
          <w:between w:val="nil"/>
        </w:pBdr>
        <w:tabs>
          <w:tab w:val="left" w:pos="426"/>
          <w:tab w:val="left" w:pos="3168"/>
          <w:tab w:val="left" w:pos="4320"/>
          <w:tab w:val="left" w:pos="5472"/>
          <w:tab w:val="left" w:pos="6624"/>
          <w:tab w:val="left" w:pos="7776"/>
          <w:tab w:val="left" w:pos="8928"/>
        </w:tabs>
        <w:autoSpaceDE/>
        <w:autoSpaceDN/>
        <w:spacing w:after="60" w:line="259" w:lineRule="auto"/>
        <w:jc w:val="both"/>
        <w:rPr>
          <w:b/>
          <w:color w:val="000000"/>
          <w:sz w:val="20"/>
          <w:szCs w:val="20"/>
          <w:lang w:val="cs-CZ" w:eastAsia="cs-CZ"/>
        </w:rPr>
      </w:pPr>
    </w:p>
    <w:p w14:paraId="4A9E7952" w14:textId="77777777" w:rsidR="00D85AD0" w:rsidRPr="005945A1" w:rsidRDefault="00D85AD0" w:rsidP="00D85AD0">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b/>
          <w:sz w:val="20"/>
          <w:szCs w:val="20"/>
          <w:lang w:val="cs-CZ" w:eastAsia="cs-CZ"/>
        </w:rPr>
      </w:pPr>
      <w:r w:rsidRPr="005945A1">
        <w:rPr>
          <w:b/>
          <w:sz w:val="20"/>
          <w:szCs w:val="20"/>
          <w:lang w:val="cs-CZ" w:eastAsia="cs-CZ"/>
        </w:rPr>
        <w:t>Doložka dle § 23 zákona č. 129/2000 Sb., o krajích, ve znění pozdějších předpisů</w:t>
      </w:r>
    </w:p>
    <w:p w14:paraId="3CA11D59" w14:textId="77777777" w:rsidR="00D85AD0" w:rsidRPr="005945A1" w:rsidRDefault="00D85AD0" w:rsidP="00D85AD0">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sz w:val="20"/>
          <w:szCs w:val="20"/>
          <w:lang w:val="cs-CZ" w:eastAsia="cs-CZ"/>
        </w:rPr>
      </w:pPr>
      <w:r w:rsidRPr="005945A1">
        <w:rPr>
          <w:sz w:val="20"/>
          <w:szCs w:val="20"/>
          <w:lang w:val="cs-CZ" w:eastAsia="cs-CZ"/>
        </w:rPr>
        <w:t>Schváleno orgánem kraje: Zastupitelstvo Zlínského kraje</w:t>
      </w:r>
    </w:p>
    <w:p w14:paraId="0BEFC204" w14:textId="77777777" w:rsidR="00D85AD0" w:rsidRPr="005945A1" w:rsidRDefault="00D85AD0" w:rsidP="00D85AD0">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sz w:val="20"/>
          <w:szCs w:val="20"/>
          <w:lang w:val="cs-CZ" w:eastAsia="cs-CZ"/>
        </w:rPr>
      </w:pPr>
      <w:r w:rsidRPr="005945A1">
        <w:rPr>
          <w:sz w:val="20"/>
          <w:szCs w:val="20"/>
          <w:lang w:val="cs-CZ" w:eastAsia="cs-CZ"/>
        </w:rPr>
        <w:t>Datum jednání a číslo usnesení: </w:t>
      </w:r>
      <w:r>
        <w:rPr>
          <w:sz w:val="20"/>
          <w:szCs w:val="20"/>
          <w:lang w:val="cs-CZ" w:eastAsia="cs-CZ"/>
        </w:rPr>
        <w:t>2. 12. 2024, 0028/Z02/24</w:t>
      </w:r>
    </w:p>
    <w:p w14:paraId="15F0800A" w14:textId="77777777" w:rsidR="005945A1" w:rsidRPr="005945A1" w:rsidRDefault="005945A1" w:rsidP="005945A1">
      <w:pPr>
        <w:widowControl/>
        <w:pBdr>
          <w:top w:val="nil"/>
          <w:left w:val="nil"/>
          <w:bottom w:val="nil"/>
          <w:right w:val="nil"/>
          <w:between w:val="nil"/>
        </w:pBdr>
        <w:autoSpaceDE/>
        <w:autoSpaceDN/>
        <w:spacing w:before="60" w:after="60"/>
        <w:ind w:left="567" w:hanging="567"/>
        <w:jc w:val="both"/>
        <w:rPr>
          <w:color w:val="000000"/>
          <w:sz w:val="20"/>
          <w:szCs w:val="20"/>
          <w:lang w:val="cs-CZ" w:eastAsia="cs-CZ"/>
        </w:rPr>
      </w:pPr>
    </w:p>
    <w:p w14:paraId="466CCE75" w14:textId="6A4DEC0D" w:rsidR="005945A1" w:rsidRPr="005945A1" w:rsidRDefault="005945A1" w:rsidP="005945A1">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b/>
          <w:sz w:val="20"/>
          <w:szCs w:val="20"/>
          <w:lang w:val="cs-CZ" w:eastAsia="cs-CZ"/>
        </w:rPr>
      </w:pPr>
      <w:r w:rsidRPr="005945A1">
        <w:rPr>
          <w:b/>
          <w:sz w:val="20"/>
          <w:szCs w:val="20"/>
          <w:lang w:val="cs-CZ" w:eastAsia="cs-CZ"/>
        </w:rPr>
        <w:t xml:space="preserve">Doložka dle § </w:t>
      </w:r>
      <w:r w:rsidR="00134423">
        <w:rPr>
          <w:b/>
          <w:sz w:val="20"/>
          <w:szCs w:val="20"/>
          <w:lang w:val="cs-CZ" w:eastAsia="cs-CZ"/>
        </w:rPr>
        <w:t>41</w:t>
      </w:r>
      <w:r w:rsidRPr="005945A1">
        <w:rPr>
          <w:b/>
          <w:sz w:val="20"/>
          <w:szCs w:val="20"/>
          <w:lang w:val="cs-CZ" w:eastAsia="cs-CZ"/>
        </w:rPr>
        <w:t xml:space="preserve"> zákona č. 12</w:t>
      </w:r>
      <w:r w:rsidR="00134423">
        <w:rPr>
          <w:b/>
          <w:sz w:val="20"/>
          <w:szCs w:val="20"/>
          <w:lang w:val="cs-CZ" w:eastAsia="cs-CZ"/>
        </w:rPr>
        <w:t>8</w:t>
      </w:r>
      <w:r w:rsidRPr="005945A1">
        <w:rPr>
          <w:b/>
          <w:sz w:val="20"/>
          <w:szCs w:val="20"/>
          <w:lang w:val="cs-CZ" w:eastAsia="cs-CZ"/>
        </w:rPr>
        <w:t xml:space="preserve">/2000 Sb., o </w:t>
      </w:r>
      <w:r w:rsidR="00134423">
        <w:rPr>
          <w:b/>
          <w:sz w:val="20"/>
          <w:szCs w:val="20"/>
          <w:lang w:val="cs-CZ" w:eastAsia="cs-CZ"/>
        </w:rPr>
        <w:t>obcích</w:t>
      </w:r>
      <w:r w:rsidRPr="005945A1">
        <w:rPr>
          <w:b/>
          <w:sz w:val="20"/>
          <w:szCs w:val="20"/>
          <w:lang w:val="cs-CZ" w:eastAsia="cs-CZ"/>
        </w:rPr>
        <w:t>, ve znění pozdějších předpisů</w:t>
      </w:r>
    </w:p>
    <w:p w14:paraId="57393BA4" w14:textId="461AD646" w:rsidR="005945A1" w:rsidRPr="005945A1" w:rsidRDefault="005945A1" w:rsidP="005945A1">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sz w:val="20"/>
          <w:szCs w:val="20"/>
          <w:lang w:val="cs-CZ" w:eastAsia="cs-CZ"/>
        </w:rPr>
      </w:pPr>
      <w:r w:rsidRPr="005945A1">
        <w:rPr>
          <w:sz w:val="20"/>
          <w:szCs w:val="20"/>
          <w:lang w:val="cs-CZ" w:eastAsia="cs-CZ"/>
        </w:rPr>
        <w:t xml:space="preserve">Schváleno orgánem </w:t>
      </w:r>
      <w:r w:rsidR="001918E6">
        <w:rPr>
          <w:sz w:val="20"/>
          <w:szCs w:val="20"/>
          <w:lang w:val="cs-CZ" w:eastAsia="cs-CZ"/>
        </w:rPr>
        <w:t>obce</w:t>
      </w:r>
      <w:r w:rsidRPr="005945A1">
        <w:rPr>
          <w:sz w:val="20"/>
          <w:szCs w:val="20"/>
          <w:lang w:val="cs-CZ" w:eastAsia="cs-CZ"/>
        </w:rPr>
        <w:t>: </w:t>
      </w:r>
      <w:r w:rsidR="00134423">
        <w:rPr>
          <w:sz w:val="20"/>
          <w:szCs w:val="20"/>
          <w:lang w:val="cs-CZ" w:eastAsia="cs-CZ"/>
        </w:rPr>
        <w:t>Rada města Zlína</w:t>
      </w:r>
    </w:p>
    <w:p w14:paraId="49B1D3F3" w14:textId="089EF62B" w:rsidR="005945A1" w:rsidRPr="005945A1" w:rsidRDefault="005945A1" w:rsidP="005945A1">
      <w:pPr>
        <w:pBdr>
          <w:top w:val="single" w:sz="6" w:space="1" w:color="000000"/>
          <w:left w:val="single" w:sz="6" w:space="1" w:color="000000"/>
          <w:bottom w:val="single" w:sz="6" w:space="1" w:color="000000"/>
          <w:right w:val="single" w:sz="6" w:space="1" w:color="000000"/>
        </w:pBdr>
        <w:tabs>
          <w:tab w:val="left" w:pos="8928"/>
        </w:tabs>
        <w:autoSpaceDE/>
        <w:autoSpaceDN/>
        <w:spacing w:line="276" w:lineRule="auto"/>
        <w:jc w:val="both"/>
        <w:rPr>
          <w:sz w:val="20"/>
          <w:szCs w:val="20"/>
          <w:lang w:val="cs-CZ" w:eastAsia="cs-CZ"/>
        </w:rPr>
      </w:pPr>
      <w:r w:rsidRPr="005945A1">
        <w:rPr>
          <w:sz w:val="20"/>
          <w:szCs w:val="20"/>
          <w:lang w:val="cs-CZ" w:eastAsia="cs-CZ"/>
        </w:rPr>
        <w:t>Datum jednání a číslo usnesení: </w:t>
      </w:r>
      <w:r w:rsidR="005A0115">
        <w:rPr>
          <w:sz w:val="20"/>
          <w:szCs w:val="20"/>
          <w:lang w:val="cs-CZ" w:eastAsia="cs-CZ"/>
        </w:rPr>
        <w:t>2</w:t>
      </w:r>
      <w:r w:rsidR="00134423">
        <w:rPr>
          <w:sz w:val="20"/>
          <w:szCs w:val="20"/>
          <w:lang w:val="cs-CZ" w:eastAsia="cs-CZ"/>
        </w:rPr>
        <w:t>0</w:t>
      </w:r>
      <w:r w:rsidR="007209E3">
        <w:rPr>
          <w:sz w:val="20"/>
          <w:szCs w:val="20"/>
          <w:lang w:val="cs-CZ" w:eastAsia="cs-CZ"/>
        </w:rPr>
        <w:t>.1.202</w:t>
      </w:r>
      <w:r w:rsidR="00134423">
        <w:rPr>
          <w:sz w:val="20"/>
          <w:szCs w:val="20"/>
          <w:lang w:val="cs-CZ" w:eastAsia="cs-CZ"/>
        </w:rPr>
        <w:t>5</w:t>
      </w:r>
      <w:r w:rsidR="00C52F3F">
        <w:rPr>
          <w:sz w:val="20"/>
          <w:szCs w:val="20"/>
          <w:lang w:val="cs-CZ" w:eastAsia="cs-CZ"/>
        </w:rPr>
        <w:t>,</w:t>
      </w:r>
      <w:r w:rsidR="00186470">
        <w:rPr>
          <w:sz w:val="20"/>
          <w:szCs w:val="20"/>
          <w:lang w:val="cs-CZ" w:eastAsia="cs-CZ"/>
        </w:rPr>
        <w:t xml:space="preserve"> </w:t>
      </w:r>
      <w:r w:rsidR="00134423">
        <w:rPr>
          <w:sz w:val="20"/>
          <w:szCs w:val="20"/>
          <w:lang w:val="cs-CZ" w:eastAsia="cs-CZ"/>
        </w:rPr>
        <w:t>č.j.51</w:t>
      </w:r>
      <w:r w:rsidR="00186470">
        <w:rPr>
          <w:sz w:val="20"/>
          <w:szCs w:val="20"/>
          <w:lang w:val="cs-CZ" w:eastAsia="cs-CZ"/>
        </w:rPr>
        <w:t>/</w:t>
      </w:r>
      <w:r w:rsidR="00134423">
        <w:rPr>
          <w:sz w:val="20"/>
          <w:szCs w:val="20"/>
          <w:lang w:val="cs-CZ" w:eastAsia="cs-CZ"/>
        </w:rPr>
        <w:t>2R/2025</w:t>
      </w:r>
    </w:p>
    <w:tbl>
      <w:tblPr>
        <w:tblW w:w="9062" w:type="dxa"/>
        <w:jc w:val="center"/>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5945A1" w:rsidRPr="005945A1" w14:paraId="34AADCF8" w14:textId="77777777" w:rsidTr="0069769B">
        <w:trPr>
          <w:trHeight w:val="567"/>
          <w:jc w:val="center"/>
        </w:trPr>
        <w:tc>
          <w:tcPr>
            <w:tcW w:w="4531" w:type="dxa"/>
            <w:vAlign w:val="center"/>
          </w:tcPr>
          <w:p w14:paraId="3ED41FA2" w14:textId="77777777" w:rsidR="00186470" w:rsidRDefault="00186470" w:rsidP="005945A1">
            <w:pPr>
              <w:widowControl/>
              <w:autoSpaceDE/>
              <w:autoSpaceDN/>
              <w:spacing w:after="160" w:line="276" w:lineRule="auto"/>
              <w:rPr>
                <w:sz w:val="20"/>
                <w:szCs w:val="20"/>
                <w:lang w:val="cs-CZ" w:eastAsia="cs-CZ"/>
              </w:rPr>
            </w:pPr>
          </w:p>
          <w:p w14:paraId="54BC6CFB" w14:textId="79FAA022" w:rsidR="005945A1" w:rsidRPr="005945A1" w:rsidRDefault="005A0115" w:rsidP="005945A1">
            <w:pPr>
              <w:widowControl/>
              <w:autoSpaceDE/>
              <w:autoSpaceDN/>
              <w:spacing w:after="160" w:line="276" w:lineRule="auto"/>
              <w:rPr>
                <w:sz w:val="20"/>
                <w:szCs w:val="20"/>
                <w:lang w:val="cs-CZ" w:eastAsia="cs-CZ"/>
              </w:rPr>
            </w:pPr>
            <w:r w:rsidRPr="004D3800">
              <w:rPr>
                <w:sz w:val="20"/>
                <w:szCs w:val="20"/>
                <w:lang w:val="cs-CZ" w:eastAsia="cs-CZ"/>
              </w:rPr>
              <w:t xml:space="preserve">Zkontroloval: </w:t>
            </w:r>
            <w:r w:rsidR="00134423">
              <w:rPr>
                <w:sz w:val="20"/>
                <w:szCs w:val="20"/>
                <w:lang w:val="cs-CZ" w:eastAsia="cs-CZ"/>
              </w:rPr>
              <w:t>xxx</w:t>
            </w:r>
          </w:p>
        </w:tc>
        <w:tc>
          <w:tcPr>
            <w:tcW w:w="4531" w:type="dxa"/>
            <w:vAlign w:val="center"/>
          </w:tcPr>
          <w:p w14:paraId="5BADC6A7" w14:textId="159C50E4" w:rsidR="005945A1" w:rsidRPr="005945A1" w:rsidRDefault="005945A1" w:rsidP="005945A1">
            <w:pPr>
              <w:widowControl/>
              <w:autoSpaceDE/>
              <w:autoSpaceDN/>
              <w:spacing w:after="160" w:line="276" w:lineRule="auto"/>
              <w:rPr>
                <w:sz w:val="20"/>
                <w:szCs w:val="20"/>
                <w:lang w:val="cs-CZ" w:eastAsia="cs-CZ"/>
              </w:rPr>
            </w:pPr>
          </w:p>
        </w:tc>
      </w:tr>
      <w:tr w:rsidR="005945A1" w:rsidRPr="005945A1" w14:paraId="18874B47" w14:textId="77777777" w:rsidTr="0069769B">
        <w:trPr>
          <w:trHeight w:val="567"/>
          <w:jc w:val="center"/>
        </w:trPr>
        <w:tc>
          <w:tcPr>
            <w:tcW w:w="4531" w:type="dxa"/>
            <w:vAlign w:val="center"/>
          </w:tcPr>
          <w:p w14:paraId="19EBE9F1" w14:textId="429BDA8C" w:rsidR="005945A1" w:rsidRPr="005945A1" w:rsidRDefault="005945A1" w:rsidP="005945A1">
            <w:pPr>
              <w:widowControl/>
              <w:autoSpaceDE/>
              <w:autoSpaceDN/>
              <w:spacing w:after="160" w:line="276" w:lineRule="auto"/>
              <w:rPr>
                <w:sz w:val="20"/>
                <w:szCs w:val="20"/>
                <w:lang w:val="cs-CZ" w:eastAsia="cs-CZ"/>
              </w:rPr>
            </w:pPr>
            <w:r w:rsidRPr="005945A1">
              <w:rPr>
                <w:sz w:val="20"/>
                <w:szCs w:val="20"/>
                <w:lang w:val="cs-CZ" w:eastAsia="cs-CZ"/>
              </w:rPr>
              <w:t>Za poskytovatele</w:t>
            </w:r>
            <w:r w:rsidR="00913796">
              <w:rPr>
                <w:sz w:val="20"/>
                <w:szCs w:val="20"/>
                <w:lang w:val="cs-CZ" w:eastAsia="cs-CZ"/>
              </w:rPr>
              <w:t xml:space="preserve"> dne 11. 4. 2025</w:t>
            </w:r>
          </w:p>
        </w:tc>
        <w:tc>
          <w:tcPr>
            <w:tcW w:w="4531" w:type="dxa"/>
            <w:vAlign w:val="center"/>
          </w:tcPr>
          <w:p w14:paraId="0A7A7FD9" w14:textId="27DA27D4" w:rsidR="005945A1" w:rsidRPr="005945A1" w:rsidRDefault="005945A1" w:rsidP="005945A1">
            <w:pPr>
              <w:widowControl/>
              <w:autoSpaceDE/>
              <w:autoSpaceDN/>
              <w:spacing w:after="160" w:line="276" w:lineRule="auto"/>
              <w:rPr>
                <w:sz w:val="20"/>
                <w:szCs w:val="20"/>
                <w:lang w:val="cs-CZ" w:eastAsia="cs-CZ"/>
              </w:rPr>
            </w:pPr>
            <w:r w:rsidRPr="005945A1">
              <w:rPr>
                <w:sz w:val="20"/>
                <w:szCs w:val="20"/>
                <w:lang w:val="cs-CZ" w:eastAsia="cs-CZ"/>
              </w:rPr>
              <w:t>Za příjemce</w:t>
            </w:r>
            <w:r w:rsidR="00913796">
              <w:rPr>
                <w:sz w:val="20"/>
                <w:szCs w:val="20"/>
                <w:lang w:val="cs-CZ" w:eastAsia="cs-CZ"/>
              </w:rPr>
              <w:t xml:space="preserve"> 5. 3. 2025</w:t>
            </w:r>
          </w:p>
        </w:tc>
      </w:tr>
      <w:tr w:rsidR="005945A1" w:rsidRPr="00913796" w14:paraId="700E7AC6" w14:textId="77777777" w:rsidTr="0069769B">
        <w:trPr>
          <w:trHeight w:val="567"/>
          <w:jc w:val="center"/>
        </w:trPr>
        <w:tc>
          <w:tcPr>
            <w:tcW w:w="4531" w:type="dxa"/>
            <w:vAlign w:val="center"/>
          </w:tcPr>
          <w:p w14:paraId="195F930D" w14:textId="77777777" w:rsidR="005945A1" w:rsidRPr="00913796" w:rsidRDefault="005945A1" w:rsidP="005945A1">
            <w:pPr>
              <w:widowControl/>
              <w:autoSpaceDE/>
              <w:autoSpaceDN/>
              <w:spacing w:after="160" w:line="276" w:lineRule="auto"/>
              <w:rPr>
                <w:sz w:val="20"/>
                <w:szCs w:val="20"/>
                <w:lang w:val="cs-CZ" w:eastAsia="cs-CZ"/>
              </w:rPr>
            </w:pPr>
          </w:p>
          <w:p w14:paraId="02990C4E" w14:textId="77777777" w:rsidR="005945A1" w:rsidRPr="00913796" w:rsidRDefault="005945A1" w:rsidP="005945A1">
            <w:pPr>
              <w:widowControl/>
              <w:autoSpaceDE/>
              <w:autoSpaceDN/>
              <w:spacing w:after="160" w:line="276" w:lineRule="auto"/>
              <w:rPr>
                <w:sz w:val="20"/>
                <w:szCs w:val="20"/>
                <w:lang w:val="cs-CZ" w:eastAsia="cs-CZ"/>
              </w:rPr>
            </w:pPr>
          </w:p>
          <w:p w14:paraId="4479B0C0" w14:textId="15AAEA1C" w:rsidR="005945A1" w:rsidRPr="00913796" w:rsidRDefault="005945A1" w:rsidP="00913796">
            <w:pPr>
              <w:widowControl/>
              <w:autoSpaceDE/>
              <w:autoSpaceDN/>
              <w:spacing w:after="160" w:line="276" w:lineRule="auto"/>
              <w:rPr>
                <w:sz w:val="20"/>
                <w:szCs w:val="20"/>
                <w:lang w:val="cs-CZ" w:eastAsia="cs-CZ"/>
              </w:rPr>
            </w:pPr>
          </w:p>
          <w:p w14:paraId="0B7E9A3C" w14:textId="77777777" w:rsidR="005945A1" w:rsidRPr="00913796" w:rsidRDefault="005945A1" w:rsidP="005945A1">
            <w:pPr>
              <w:widowControl/>
              <w:autoSpaceDE/>
              <w:autoSpaceDN/>
              <w:spacing w:after="160" w:line="276" w:lineRule="auto"/>
              <w:rPr>
                <w:sz w:val="20"/>
                <w:szCs w:val="20"/>
                <w:lang w:val="cs-CZ" w:eastAsia="cs-CZ"/>
              </w:rPr>
            </w:pPr>
          </w:p>
          <w:p w14:paraId="12EFAA2B" w14:textId="77777777" w:rsidR="005945A1" w:rsidRPr="00913796" w:rsidRDefault="005945A1" w:rsidP="005945A1">
            <w:pPr>
              <w:widowControl/>
              <w:autoSpaceDE/>
              <w:autoSpaceDN/>
              <w:spacing w:after="160" w:line="276" w:lineRule="auto"/>
              <w:rPr>
                <w:sz w:val="20"/>
                <w:szCs w:val="20"/>
                <w:lang w:val="cs-CZ" w:eastAsia="cs-CZ"/>
              </w:rPr>
            </w:pPr>
          </w:p>
        </w:tc>
        <w:tc>
          <w:tcPr>
            <w:tcW w:w="4531" w:type="dxa"/>
            <w:vAlign w:val="center"/>
          </w:tcPr>
          <w:p w14:paraId="0F5FFA35" w14:textId="6A2E4E25" w:rsidR="005945A1" w:rsidRPr="00913796" w:rsidRDefault="005945A1" w:rsidP="005945A1">
            <w:pPr>
              <w:widowControl/>
              <w:autoSpaceDE/>
              <w:autoSpaceDN/>
              <w:spacing w:after="160" w:line="276" w:lineRule="auto"/>
              <w:rPr>
                <w:sz w:val="20"/>
                <w:szCs w:val="20"/>
                <w:lang w:val="cs-CZ" w:eastAsia="cs-CZ"/>
              </w:rPr>
            </w:pPr>
          </w:p>
        </w:tc>
      </w:tr>
      <w:tr w:rsidR="005945A1" w:rsidRPr="005945A1" w14:paraId="1BE69AD6" w14:textId="77777777" w:rsidTr="0069769B">
        <w:trPr>
          <w:trHeight w:val="567"/>
          <w:jc w:val="center"/>
        </w:trPr>
        <w:tc>
          <w:tcPr>
            <w:tcW w:w="4531" w:type="dxa"/>
            <w:vAlign w:val="center"/>
          </w:tcPr>
          <w:p w14:paraId="7688EE9E" w14:textId="624DE055" w:rsidR="005945A1" w:rsidRPr="005945A1" w:rsidRDefault="00134423" w:rsidP="005945A1">
            <w:pPr>
              <w:widowControl/>
              <w:autoSpaceDE/>
              <w:autoSpaceDN/>
              <w:spacing w:after="160" w:line="276" w:lineRule="auto"/>
              <w:jc w:val="center"/>
              <w:rPr>
                <w:sz w:val="20"/>
                <w:szCs w:val="20"/>
                <w:lang w:val="cs-CZ" w:eastAsia="cs-CZ"/>
              </w:rPr>
            </w:pPr>
            <w:r>
              <w:rPr>
                <w:sz w:val="20"/>
                <w:szCs w:val="20"/>
                <w:lang w:val="cs-CZ" w:eastAsia="cs-CZ"/>
              </w:rPr>
              <w:t>xxxxxxx</w:t>
            </w:r>
          </w:p>
          <w:p w14:paraId="7E372ACA" w14:textId="77777777" w:rsidR="005945A1" w:rsidRPr="005945A1" w:rsidRDefault="005945A1" w:rsidP="005945A1">
            <w:pPr>
              <w:widowControl/>
              <w:autoSpaceDE/>
              <w:autoSpaceDN/>
              <w:spacing w:after="160" w:line="276" w:lineRule="auto"/>
              <w:jc w:val="center"/>
              <w:rPr>
                <w:sz w:val="20"/>
                <w:szCs w:val="20"/>
                <w:lang w:val="cs-CZ" w:eastAsia="cs-CZ"/>
              </w:rPr>
            </w:pPr>
            <w:r w:rsidRPr="005945A1">
              <w:rPr>
                <w:sz w:val="20"/>
                <w:szCs w:val="20"/>
                <w:lang w:val="cs-CZ" w:eastAsia="cs-CZ"/>
              </w:rPr>
              <w:t xml:space="preserve">Ing. Radim Holiš, hejtman </w:t>
            </w:r>
          </w:p>
        </w:tc>
        <w:tc>
          <w:tcPr>
            <w:tcW w:w="4531" w:type="dxa"/>
            <w:vAlign w:val="center"/>
          </w:tcPr>
          <w:p w14:paraId="25719047" w14:textId="6393EB0A" w:rsidR="005945A1" w:rsidRPr="005945A1" w:rsidRDefault="00134423" w:rsidP="005945A1">
            <w:pPr>
              <w:widowControl/>
              <w:pBdr>
                <w:top w:val="nil"/>
                <w:left w:val="nil"/>
                <w:bottom w:val="nil"/>
                <w:right w:val="nil"/>
                <w:between w:val="nil"/>
              </w:pBdr>
              <w:autoSpaceDE/>
              <w:autoSpaceDN/>
              <w:spacing w:after="160" w:line="276" w:lineRule="auto"/>
              <w:jc w:val="center"/>
              <w:rPr>
                <w:color w:val="000000"/>
                <w:sz w:val="20"/>
                <w:szCs w:val="20"/>
                <w:lang w:val="cs-CZ" w:eastAsia="cs-CZ"/>
              </w:rPr>
            </w:pPr>
            <w:r>
              <w:rPr>
                <w:color w:val="000000"/>
                <w:sz w:val="20"/>
                <w:szCs w:val="20"/>
                <w:lang w:val="cs-CZ" w:eastAsia="cs-CZ"/>
              </w:rPr>
              <w:t>xxxxxxx</w:t>
            </w:r>
          </w:p>
          <w:p w14:paraId="10B8C83E" w14:textId="23AE5AC2" w:rsidR="005945A1" w:rsidRPr="005945A1" w:rsidRDefault="005A0115" w:rsidP="005945A1">
            <w:pPr>
              <w:widowControl/>
              <w:autoSpaceDE/>
              <w:autoSpaceDN/>
              <w:spacing w:after="160" w:line="276" w:lineRule="auto"/>
              <w:jc w:val="center"/>
              <w:rPr>
                <w:sz w:val="20"/>
                <w:szCs w:val="20"/>
                <w:lang w:val="cs-CZ" w:eastAsia="cs-CZ"/>
              </w:rPr>
            </w:pPr>
            <w:r>
              <w:rPr>
                <w:sz w:val="20"/>
                <w:szCs w:val="20"/>
                <w:lang w:val="cs-CZ" w:eastAsia="cs-CZ"/>
              </w:rPr>
              <w:t>Michal Čížek, náměstek primátora</w:t>
            </w:r>
          </w:p>
        </w:tc>
      </w:tr>
    </w:tbl>
    <w:p w14:paraId="78CED2F0" w14:textId="77777777" w:rsidR="005945A1" w:rsidRDefault="005945A1">
      <w:pPr>
        <w:rPr>
          <w:rFonts w:ascii="Times New Roman"/>
          <w:b/>
          <w:sz w:val="15"/>
        </w:rPr>
      </w:pPr>
    </w:p>
    <w:p w14:paraId="317F412B" w14:textId="77777777" w:rsidR="005945A1" w:rsidRDefault="005945A1">
      <w:pPr>
        <w:rPr>
          <w:rFonts w:ascii="Times New Roman"/>
          <w:b/>
          <w:sz w:val="15"/>
        </w:rPr>
      </w:pPr>
    </w:p>
    <w:p w14:paraId="79F3CB62" w14:textId="77777777" w:rsidR="005945A1" w:rsidRDefault="005945A1">
      <w:pPr>
        <w:rPr>
          <w:rFonts w:ascii="Times New Roman"/>
          <w:b/>
          <w:sz w:val="15"/>
        </w:rPr>
      </w:pPr>
    </w:p>
    <w:p w14:paraId="18CE7AB8" w14:textId="77777777" w:rsidR="005945A1" w:rsidRDefault="005945A1">
      <w:pPr>
        <w:rPr>
          <w:rFonts w:ascii="Times New Roman"/>
          <w:b/>
          <w:sz w:val="15"/>
        </w:rPr>
      </w:pPr>
    </w:p>
    <w:p w14:paraId="4446B218" w14:textId="7AC8B365" w:rsidR="005945A1" w:rsidRDefault="005945A1">
      <w:pPr>
        <w:rPr>
          <w:rFonts w:ascii="Times New Roman"/>
          <w:bCs/>
          <w:sz w:val="15"/>
        </w:rPr>
        <w:sectPr w:rsidR="005945A1" w:rsidSect="00A263E7">
          <w:headerReference w:type="default" r:id="rId9"/>
          <w:footerReference w:type="default" r:id="rId10"/>
          <w:type w:val="continuous"/>
          <w:pgSz w:w="11910" w:h="16840"/>
          <w:pgMar w:top="1418" w:right="1420" w:bottom="1701" w:left="1418" w:header="708" w:footer="708" w:gutter="0"/>
          <w:cols w:space="708"/>
        </w:sectPr>
      </w:pPr>
    </w:p>
    <w:p w14:paraId="672B26F9" w14:textId="63B4B0C9" w:rsidR="009E34C7" w:rsidRDefault="00D124D6" w:rsidP="00D23990">
      <w:pPr>
        <w:pStyle w:val="Zkladntext"/>
        <w:spacing w:before="94" w:line="268" w:lineRule="auto"/>
        <w:ind w:left="3254" w:right="217" w:hanging="3041"/>
      </w:pPr>
      <w:r>
        <w:rPr>
          <w:noProof/>
        </w:rPr>
        <w:lastRenderedPageBreak/>
        <w:drawing>
          <wp:inline distT="0" distB="0" distL="0" distR="0" wp14:anchorId="25EEF36D" wp14:editId="0E9B0AB5">
            <wp:extent cx="6464300" cy="7357730"/>
            <wp:effectExtent l="0" t="0" r="0" b="0"/>
            <wp:docPr id="1727845808" name="Obrázek 2"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45808" name="Obrázek 2" descr="Obsah obrázku text, snímek obrazovky, Písmo, číslo&#10;&#10;Popis byl vytvořen automaticky"/>
                    <pic:cNvPicPr/>
                  </pic:nvPicPr>
                  <pic:blipFill rotWithShape="1">
                    <a:blip r:embed="rId11" cstate="print">
                      <a:extLst>
                        <a:ext uri="{28A0092B-C50C-407E-A947-70E740481C1C}">
                          <a14:useLocalDpi xmlns:a14="http://schemas.microsoft.com/office/drawing/2010/main" val="0"/>
                        </a:ext>
                      </a:extLst>
                    </a:blip>
                    <a:srcRect r="-697" b="18945"/>
                    <a:stretch/>
                  </pic:blipFill>
                  <pic:spPr bwMode="auto">
                    <a:xfrm>
                      <a:off x="0" y="0"/>
                      <a:ext cx="6464595" cy="7358066"/>
                    </a:xfrm>
                    <a:prstGeom prst="rect">
                      <a:avLst/>
                    </a:prstGeom>
                    <a:ln>
                      <a:noFill/>
                    </a:ln>
                    <a:extLst>
                      <a:ext uri="{53640926-AAD7-44D8-BBD7-CCE9431645EC}">
                        <a14:shadowObscured xmlns:a14="http://schemas.microsoft.com/office/drawing/2010/main"/>
                      </a:ext>
                    </a:extLst>
                  </pic:spPr>
                </pic:pic>
              </a:graphicData>
            </a:graphic>
          </wp:inline>
        </w:drawing>
      </w:r>
    </w:p>
    <w:sectPr w:rsidR="009E34C7" w:rsidSect="00A263E7">
      <w:headerReference w:type="default" r:id="rId12"/>
      <w:pgSz w:w="11910" w:h="16840"/>
      <w:pgMar w:top="1580" w:right="900" w:bottom="280"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ED735" w14:textId="77777777" w:rsidR="00A263E7" w:rsidRDefault="00A263E7" w:rsidP="005945A1">
      <w:r>
        <w:separator/>
      </w:r>
    </w:p>
  </w:endnote>
  <w:endnote w:type="continuationSeparator" w:id="0">
    <w:p w14:paraId="21FB3BA4" w14:textId="77777777" w:rsidR="00A263E7" w:rsidRDefault="00A263E7" w:rsidP="005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881F" w14:textId="239C206B" w:rsidR="005945A1" w:rsidRDefault="005945A1" w:rsidP="005945A1">
    <w:pPr>
      <w:pStyle w:val="Zpat"/>
    </w:pPr>
    <w:r w:rsidRPr="005945A1">
      <w:t xml:space="preserve">Stránka </w:t>
    </w:r>
    <w:r>
      <w:fldChar w:fldCharType="begin"/>
    </w:r>
    <w:r>
      <w:instrText xml:space="preserve"> PAGE   \* MERGEFORMAT </w:instrText>
    </w:r>
    <w:r>
      <w:fldChar w:fldCharType="separate"/>
    </w:r>
    <w:r w:rsidR="00D379CA">
      <w:rPr>
        <w:noProof/>
      </w:rPr>
      <w:t>7</w:t>
    </w:r>
    <w:r>
      <w:fldChar w:fldCharType="end"/>
    </w:r>
    <w:r w:rsidRPr="005945A1">
      <w:t xml:space="preserve"> z </w:t>
    </w:r>
    <w:fldSimple w:instr=" NUMPAGES   \* MERGEFORMAT ">
      <w:r w:rsidR="00D379CA">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09CC" w14:textId="77777777" w:rsidR="00A263E7" w:rsidRDefault="00A263E7" w:rsidP="005945A1">
      <w:r>
        <w:separator/>
      </w:r>
    </w:p>
  </w:footnote>
  <w:footnote w:type="continuationSeparator" w:id="0">
    <w:p w14:paraId="3374CC99" w14:textId="77777777" w:rsidR="00A263E7" w:rsidRDefault="00A263E7" w:rsidP="0059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3496" w14:textId="306DAA66" w:rsidR="005A7E3E" w:rsidRPr="00963A2C" w:rsidRDefault="005A7E3E">
    <w:pPr>
      <w:pStyle w:val="Zhlav"/>
      <w:rPr>
        <w:sz w:val="24"/>
        <w:szCs w:val="24"/>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E676" w14:textId="77777777" w:rsidR="00416A06" w:rsidRPr="00416A06" w:rsidRDefault="00416A06" w:rsidP="00416A06">
    <w:pPr>
      <w:pStyle w:val="Zhlav"/>
      <w:jc w:val="right"/>
      <w:rPr>
        <w:lang w:val="cs-CZ"/>
      </w:rPr>
    </w:pPr>
    <w:r>
      <w:rPr>
        <w:lang w:val="cs-CZ"/>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5B3D7"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0">
    <w:nsid w:val="5D501CF0"/>
    <w:multiLevelType w:val="multilevel"/>
    <w:tmpl w:val="7E74BBA6"/>
    <w:lvl w:ilvl="0">
      <w:start w:val="1"/>
      <w:numFmt w:val="decimal"/>
      <w:lvlText w:val="%1."/>
      <w:lvlJc w:val="center"/>
      <w:pPr>
        <w:ind w:left="431" w:hanging="142"/>
      </w:pPr>
      <w:rPr>
        <w:rFonts w:ascii="Arial" w:eastAsia="Arial" w:hAnsi="Arial" w:cs="Arial"/>
        <w:b/>
        <w:i w:val="0"/>
        <w:color w:val="000000"/>
        <w:sz w:val="20"/>
        <w:szCs w:val="20"/>
        <w:u w:val="none"/>
      </w:rPr>
    </w:lvl>
    <w:lvl w:ilvl="1">
      <w:start w:val="1"/>
      <w:numFmt w:val="decimal"/>
      <w:pStyle w:val="Hlavntextlnksmlouvy"/>
      <w:lvlText w:val="%1.%2"/>
      <w:lvlJc w:val="left"/>
      <w:pPr>
        <w:ind w:left="567" w:hanging="567"/>
      </w:pPr>
      <w:rPr>
        <w:rFonts w:ascii="Arial" w:eastAsia="Arial" w:hAnsi="Arial" w:cs="Arial"/>
        <w:b w:val="0"/>
        <w:i w:val="0"/>
        <w:color w:val="000000"/>
        <w:sz w:val="20"/>
        <w:szCs w:val="20"/>
      </w:rPr>
    </w:lvl>
    <w:lvl w:ilvl="2">
      <w:start w:val="1"/>
      <w:numFmt w:val="lowerLetter"/>
      <w:lvlText w:val="%1.%2.%3)"/>
      <w:lvlJc w:val="left"/>
      <w:pPr>
        <w:ind w:left="1304" w:hanging="737"/>
      </w:pPr>
      <w:rPr>
        <w:rFonts w:ascii="Arial" w:eastAsia="Arial" w:hAnsi="Arial" w:cs="Arial"/>
        <w:b w:val="0"/>
        <w:i/>
        <w:color w:val="5B9BD5"/>
        <w:sz w:val="20"/>
        <w:szCs w:val="20"/>
        <w:u w:val="none"/>
      </w:rPr>
    </w:lvl>
    <w:lvl w:ilvl="3">
      <w:start w:val="1"/>
      <w:numFmt w:val="lowerLetter"/>
      <w:lvlText w:val="%1.%2.%4)"/>
      <w:lvlJc w:val="left"/>
      <w:pPr>
        <w:ind w:left="1304" w:hanging="737"/>
      </w:pPr>
      <w:rPr>
        <w:rFonts w:ascii="Arial" w:eastAsia="Arial" w:hAnsi="Arial" w:cs="Arial"/>
        <w:b w:val="0"/>
        <w:i w:val="0"/>
        <w:color w:val="000000"/>
        <w:sz w:val="20"/>
        <w:szCs w:val="20"/>
      </w:rPr>
    </w:lvl>
    <w:lvl w:ilvl="4">
      <w:start w:val="1"/>
      <w:numFmt w:val="decimal"/>
      <w:lvlText w:val="-"/>
      <w:lvlJc w:val="left"/>
      <w:pPr>
        <w:ind w:left="709"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1"/>
      </w:pPr>
    </w:lvl>
    <w:lvl w:ilvl="8">
      <w:start w:val="1"/>
      <w:numFmt w:val="decimal"/>
      <w:lvlText w:val="%1.%2.%3.%4.%5.%6.%7.%8.%9"/>
      <w:lvlJc w:val="left"/>
      <w:pPr>
        <w:ind w:left="-1881" w:hanging="141"/>
      </w:pPr>
    </w:lvl>
  </w:abstractNum>
  <w:abstractNum w:abstractNumId="2" w15:restartNumberingAfterBreak="0">
    <w:nsid w:val="5E274BFF"/>
    <w:multiLevelType w:val="multilevel"/>
    <w:tmpl w:val="53265DEC"/>
    <w:lvl w:ilvl="0">
      <w:start w:val="1"/>
      <w:numFmt w:val="decimal"/>
      <w:lvlText w:val="%1."/>
      <w:lvlJc w:val="center"/>
      <w:pPr>
        <w:ind w:left="431" w:hanging="142"/>
      </w:pPr>
      <w:rPr>
        <w:rFonts w:ascii="Arial" w:eastAsia="Arial" w:hAnsi="Arial" w:cs="Arial"/>
        <w:b/>
        <w:i w:val="0"/>
        <w:color w:val="000000"/>
        <w:sz w:val="20"/>
        <w:szCs w:val="20"/>
        <w:u w:val="none"/>
      </w:rPr>
    </w:lvl>
    <w:lvl w:ilvl="1">
      <w:start w:val="1"/>
      <w:numFmt w:val="decimal"/>
      <w:lvlText w:val="%1.%2"/>
      <w:lvlJc w:val="left"/>
      <w:pPr>
        <w:ind w:left="567" w:hanging="567"/>
      </w:pPr>
      <w:rPr>
        <w:rFonts w:ascii="Arial" w:eastAsia="Arial" w:hAnsi="Arial" w:cs="Arial"/>
        <w:b w:val="0"/>
        <w:i w:val="0"/>
        <w:color w:val="000000"/>
        <w:sz w:val="20"/>
        <w:szCs w:val="20"/>
      </w:rPr>
    </w:lvl>
    <w:lvl w:ilvl="2">
      <w:start w:val="1"/>
      <w:numFmt w:val="lowerLetter"/>
      <w:lvlText w:val="%1.%2.%3)"/>
      <w:lvlJc w:val="left"/>
      <w:pPr>
        <w:ind w:left="709" w:hanging="142"/>
      </w:pPr>
      <w:rPr>
        <w:rFonts w:ascii="Arial" w:eastAsia="Arial" w:hAnsi="Arial" w:cs="Arial"/>
        <w:b w:val="0"/>
        <w:i w:val="0"/>
        <w:color w:val="000000"/>
        <w:sz w:val="20"/>
        <w:szCs w:val="20"/>
        <w:u w:val="none"/>
      </w:rPr>
    </w:lvl>
    <w:lvl w:ilvl="3">
      <w:start w:val="1"/>
      <w:numFmt w:val="lowerLetter"/>
      <w:lvlText w:val="%1.%2.%4)"/>
      <w:lvlJc w:val="left"/>
      <w:pPr>
        <w:ind w:left="1134" w:hanging="282"/>
      </w:pPr>
      <w:rPr>
        <w:rFonts w:ascii="Arial" w:eastAsia="Arial" w:hAnsi="Arial" w:cs="Arial"/>
        <w:b w:val="0"/>
        <w:i/>
        <w:color w:val="5B9BD5"/>
        <w:sz w:val="16"/>
        <w:szCs w:val="16"/>
      </w:rPr>
    </w:lvl>
    <w:lvl w:ilvl="4">
      <w:start w:val="1"/>
      <w:numFmt w:val="decimal"/>
      <w:lvlText w:val="-"/>
      <w:lvlJc w:val="left"/>
      <w:pPr>
        <w:ind w:left="709"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1"/>
      </w:pPr>
    </w:lvl>
    <w:lvl w:ilvl="8">
      <w:start w:val="1"/>
      <w:numFmt w:val="decimal"/>
      <w:lvlText w:val="%1.%2.%3.%4.%5.%6.%7.%8.%9"/>
      <w:lvlJc w:val="left"/>
      <w:pPr>
        <w:ind w:left="-1881" w:hanging="141"/>
      </w:pPr>
    </w:lvl>
  </w:abstractNum>
  <w:abstractNum w:abstractNumId="3" w15:restartNumberingAfterBreak="0">
    <w:nsid w:val="6E1F7BB5"/>
    <w:multiLevelType w:val="multilevel"/>
    <w:tmpl w:val="274AB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647675">
    <w:abstractNumId w:val="1"/>
  </w:num>
  <w:num w:numId="2" w16cid:durableId="1070614787">
    <w:abstractNumId w:val="3"/>
  </w:num>
  <w:num w:numId="3" w16cid:durableId="1945258790">
    <w:abstractNumId w:val="2"/>
  </w:num>
  <w:num w:numId="4" w16cid:durableId="31696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22"/>
    <w:rsid w:val="00012F51"/>
    <w:rsid w:val="00016491"/>
    <w:rsid w:val="00020143"/>
    <w:rsid w:val="00047F8C"/>
    <w:rsid w:val="00055D58"/>
    <w:rsid w:val="000805DD"/>
    <w:rsid w:val="00094275"/>
    <w:rsid w:val="000E3B09"/>
    <w:rsid w:val="00134423"/>
    <w:rsid w:val="00153004"/>
    <w:rsid w:val="00172442"/>
    <w:rsid w:val="0017458B"/>
    <w:rsid w:val="00186470"/>
    <w:rsid w:val="001918E6"/>
    <w:rsid w:val="00220F55"/>
    <w:rsid w:val="002305EE"/>
    <w:rsid w:val="002358F0"/>
    <w:rsid w:val="0023742B"/>
    <w:rsid w:val="00237522"/>
    <w:rsid w:val="002660B4"/>
    <w:rsid w:val="0028051E"/>
    <w:rsid w:val="00332001"/>
    <w:rsid w:val="00363258"/>
    <w:rsid w:val="00387C63"/>
    <w:rsid w:val="00407A89"/>
    <w:rsid w:val="00416A06"/>
    <w:rsid w:val="004461B8"/>
    <w:rsid w:val="004779E3"/>
    <w:rsid w:val="004942F1"/>
    <w:rsid w:val="004D3800"/>
    <w:rsid w:val="004E78E1"/>
    <w:rsid w:val="00516E12"/>
    <w:rsid w:val="00567058"/>
    <w:rsid w:val="005945A1"/>
    <w:rsid w:val="005A0115"/>
    <w:rsid w:val="005A7E3E"/>
    <w:rsid w:val="005C6720"/>
    <w:rsid w:val="005E4631"/>
    <w:rsid w:val="00601D9E"/>
    <w:rsid w:val="0060519A"/>
    <w:rsid w:val="00676E0C"/>
    <w:rsid w:val="006F75C2"/>
    <w:rsid w:val="007046F3"/>
    <w:rsid w:val="007209E3"/>
    <w:rsid w:val="007D0F47"/>
    <w:rsid w:val="008B0CEA"/>
    <w:rsid w:val="008B44F4"/>
    <w:rsid w:val="008E0433"/>
    <w:rsid w:val="008E30CC"/>
    <w:rsid w:val="00905F68"/>
    <w:rsid w:val="00913796"/>
    <w:rsid w:val="0094520F"/>
    <w:rsid w:val="00963A2C"/>
    <w:rsid w:val="009A1F1D"/>
    <w:rsid w:val="009E34C7"/>
    <w:rsid w:val="009E6512"/>
    <w:rsid w:val="00A15545"/>
    <w:rsid w:val="00A263E7"/>
    <w:rsid w:val="00A907D1"/>
    <w:rsid w:val="00B001C6"/>
    <w:rsid w:val="00B06858"/>
    <w:rsid w:val="00B74561"/>
    <w:rsid w:val="00B749C5"/>
    <w:rsid w:val="00BF35AF"/>
    <w:rsid w:val="00C52F3F"/>
    <w:rsid w:val="00C60B43"/>
    <w:rsid w:val="00C94D19"/>
    <w:rsid w:val="00CD4197"/>
    <w:rsid w:val="00D124D6"/>
    <w:rsid w:val="00D23990"/>
    <w:rsid w:val="00D379CA"/>
    <w:rsid w:val="00D85AD0"/>
    <w:rsid w:val="00DE7CB1"/>
    <w:rsid w:val="00EB15F8"/>
    <w:rsid w:val="00EC4BFF"/>
    <w:rsid w:val="00EF27BF"/>
    <w:rsid w:val="00F07272"/>
    <w:rsid w:val="00F42928"/>
    <w:rsid w:val="00FA2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8F5D"/>
  <w15:docId w15:val="{5D494366-E8F5-416F-85A1-2CCABF0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rPr>
  </w:style>
  <w:style w:type="paragraph" w:styleId="Nadpis1">
    <w:name w:val="heading 1"/>
    <w:aliases w:val="1. úroveň,Nadpis článku smlouvy"/>
    <w:basedOn w:val="Normln"/>
    <w:next w:val="2rove"/>
    <w:link w:val="Nadpis1Char"/>
    <w:qFormat/>
    <w:rsid w:val="00332001"/>
    <w:pPr>
      <w:keepNext/>
      <w:widowControl/>
      <w:numPr>
        <w:numId w:val="4"/>
      </w:numPr>
      <w:autoSpaceDE/>
      <w:autoSpaceDN/>
      <w:spacing w:before="360" w:after="160" w:line="259" w:lineRule="auto"/>
      <w:jc w:val="center"/>
      <w:outlineLvl w:val="0"/>
    </w:pPr>
    <w:rPr>
      <w:rFonts w:eastAsiaTheme="minorHAnsi" w:cstheme="minorBidi"/>
      <w:b/>
      <w:sz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b/>
      <w:bCs/>
    </w:rPr>
  </w:style>
  <w:style w:type="paragraph" w:styleId="Odstavecseseznamem">
    <w:name w:val="List Paragraph"/>
    <w:basedOn w:val="Normln"/>
    <w:uiPriority w:val="1"/>
    <w:qFormat/>
  </w:style>
  <w:style w:type="paragraph" w:customStyle="1" w:styleId="TableParagraph">
    <w:name w:val="Table Paragraph"/>
    <w:basedOn w:val="Normln"/>
    <w:uiPriority w:val="1"/>
    <w:qFormat/>
    <w:pPr>
      <w:spacing w:before="4" w:line="261" w:lineRule="exact"/>
    </w:pPr>
  </w:style>
  <w:style w:type="paragraph" w:customStyle="1" w:styleId="Hlavntextlnksmlouvy">
    <w:name w:val="Hlavní text článků smlouvy"/>
    <w:basedOn w:val="Normln"/>
    <w:uiPriority w:val="1"/>
    <w:qFormat/>
    <w:rsid w:val="005945A1"/>
    <w:pPr>
      <w:widowControl/>
      <w:numPr>
        <w:ilvl w:val="1"/>
        <w:numId w:val="1"/>
      </w:numPr>
      <w:autoSpaceDE/>
      <w:autoSpaceDN/>
      <w:spacing w:after="160" w:line="259" w:lineRule="auto"/>
      <w:jc w:val="both"/>
    </w:pPr>
    <w:rPr>
      <w:sz w:val="20"/>
      <w:szCs w:val="20"/>
      <w:lang w:val="cs-CZ" w:eastAsia="cs-CZ"/>
    </w:rPr>
  </w:style>
  <w:style w:type="paragraph" w:styleId="Zhlav">
    <w:name w:val="header"/>
    <w:basedOn w:val="Normln"/>
    <w:link w:val="ZhlavChar"/>
    <w:uiPriority w:val="99"/>
    <w:unhideWhenUsed/>
    <w:rsid w:val="005945A1"/>
    <w:pPr>
      <w:tabs>
        <w:tab w:val="center" w:pos="4536"/>
        <w:tab w:val="right" w:pos="9072"/>
      </w:tabs>
    </w:pPr>
  </w:style>
  <w:style w:type="character" w:customStyle="1" w:styleId="ZhlavChar">
    <w:name w:val="Záhlaví Char"/>
    <w:basedOn w:val="Standardnpsmoodstavce"/>
    <w:link w:val="Zhlav"/>
    <w:uiPriority w:val="99"/>
    <w:rsid w:val="005945A1"/>
    <w:rPr>
      <w:rFonts w:ascii="Arial" w:eastAsia="Arial" w:hAnsi="Arial" w:cs="Arial"/>
    </w:rPr>
  </w:style>
  <w:style w:type="paragraph" w:styleId="Zpat">
    <w:name w:val="footer"/>
    <w:basedOn w:val="Normln"/>
    <w:link w:val="ZpatChar"/>
    <w:uiPriority w:val="99"/>
    <w:unhideWhenUsed/>
    <w:rsid w:val="005945A1"/>
    <w:pPr>
      <w:tabs>
        <w:tab w:val="center" w:pos="4536"/>
        <w:tab w:val="right" w:pos="9072"/>
      </w:tabs>
    </w:pPr>
  </w:style>
  <w:style w:type="character" w:customStyle="1" w:styleId="ZpatChar">
    <w:name w:val="Zápatí Char"/>
    <w:basedOn w:val="Standardnpsmoodstavce"/>
    <w:link w:val="Zpat"/>
    <w:uiPriority w:val="99"/>
    <w:rsid w:val="005945A1"/>
    <w:rPr>
      <w:rFonts w:ascii="Arial" w:eastAsia="Arial" w:hAnsi="Arial" w:cs="Arial"/>
    </w:rPr>
  </w:style>
  <w:style w:type="paragraph" w:styleId="Textbubliny">
    <w:name w:val="Balloon Text"/>
    <w:basedOn w:val="Normln"/>
    <w:link w:val="TextbublinyChar"/>
    <w:uiPriority w:val="99"/>
    <w:semiHidden/>
    <w:unhideWhenUsed/>
    <w:rsid w:val="001745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58B"/>
    <w:rPr>
      <w:rFonts w:ascii="Segoe UI" w:eastAsia="Arial" w:hAnsi="Segoe UI" w:cs="Segoe UI"/>
      <w:sz w:val="18"/>
      <w:szCs w:val="18"/>
    </w:rPr>
  </w:style>
  <w:style w:type="paragraph" w:styleId="Revize">
    <w:name w:val="Revision"/>
    <w:hidden/>
    <w:uiPriority w:val="99"/>
    <w:semiHidden/>
    <w:rsid w:val="00332001"/>
    <w:pPr>
      <w:widowControl/>
      <w:autoSpaceDE/>
      <w:autoSpaceDN/>
    </w:pPr>
    <w:rPr>
      <w:rFonts w:ascii="Arial" w:eastAsia="Arial" w:hAnsi="Arial" w:cs="Arial"/>
    </w:rPr>
  </w:style>
  <w:style w:type="character" w:customStyle="1" w:styleId="Nadpis1Char">
    <w:name w:val="Nadpis 1 Char"/>
    <w:aliases w:val="1. úroveň Char,Nadpis článku smlouvy Char"/>
    <w:basedOn w:val="Standardnpsmoodstavce"/>
    <w:link w:val="Nadpis1"/>
    <w:rsid w:val="00332001"/>
    <w:rPr>
      <w:rFonts w:ascii="Arial" w:hAnsi="Arial"/>
      <w:b/>
      <w:sz w:val="20"/>
      <w:lang w:val="cs-CZ"/>
    </w:rPr>
  </w:style>
  <w:style w:type="paragraph" w:customStyle="1" w:styleId="2rove">
    <w:name w:val="2. úroveň"/>
    <w:basedOn w:val="Normln"/>
    <w:uiPriority w:val="1"/>
    <w:qFormat/>
    <w:rsid w:val="00332001"/>
    <w:pPr>
      <w:widowControl/>
      <w:numPr>
        <w:ilvl w:val="1"/>
        <w:numId w:val="4"/>
      </w:numPr>
      <w:autoSpaceDE/>
      <w:autoSpaceDN/>
      <w:spacing w:before="60" w:after="60"/>
      <w:jc w:val="both"/>
      <w:outlineLvl w:val="1"/>
    </w:pPr>
    <w:rPr>
      <w:rFonts w:eastAsiaTheme="minorHAnsi" w:cstheme="minorBidi"/>
      <w:sz w:val="20"/>
      <w:lang w:val="cs-CZ"/>
    </w:rPr>
  </w:style>
  <w:style w:type="paragraph" w:customStyle="1" w:styleId="3rove-kodstrann">
    <w:name w:val="3. úroveň - k odstranění"/>
    <w:basedOn w:val="2rove"/>
    <w:uiPriority w:val="2"/>
    <w:qFormat/>
    <w:rsid w:val="00332001"/>
    <w:pPr>
      <w:numPr>
        <w:ilvl w:val="2"/>
      </w:numPr>
      <w:spacing w:before="0"/>
      <w:outlineLvl w:val="2"/>
    </w:pPr>
  </w:style>
  <w:style w:type="paragraph" w:customStyle="1" w:styleId="3rove-trval">
    <w:name w:val="3. úroveň - trvalá"/>
    <w:basedOn w:val="3rove-kodstrann"/>
    <w:uiPriority w:val="3"/>
    <w:qFormat/>
    <w:rsid w:val="00332001"/>
    <w:pPr>
      <w:numPr>
        <w:ilvl w:val="3"/>
      </w:numPr>
    </w:pPr>
  </w:style>
  <w:style w:type="character" w:styleId="Hypertextovodkaz">
    <w:name w:val="Hyperlink"/>
    <w:basedOn w:val="Standardnpsmoodstavce"/>
    <w:uiPriority w:val="99"/>
    <w:unhideWhenUsed/>
    <w:rsid w:val="008B44F4"/>
    <w:rPr>
      <w:color w:val="0000FF" w:themeColor="hyperlink"/>
      <w:u w:val="single"/>
    </w:rPr>
  </w:style>
  <w:style w:type="character" w:customStyle="1" w:styleId="Kvbruaodstrann">
    <w:name w:val="K výběru a odstranění"/>
    <w:basedOn w:val="Standardnpsmoodstavce"/>
    <w:uiPriority w:val="1"/>
    <w:qFormat/>
    <w:rsid w:val="00220F55"/>
    <w:rPr>
      <w:i/>
      <w:color w:val="4F81BD"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seznam-zrizovanych-a-zalozenych-organizaci-zlinskym-kraj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96F6-1600-49BC-A83E-9832E32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2795</Words>
  <Characters>16496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odhad pro Zlínský kraj na r.2023.xlsx</vt:lpstr>
    </vt:vector>
  </TitlesOfParts>
  <Company>Krajský úřad Zlínského kraje</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odhad pro Zlínský kraj na r.2023.xlsx</dc:title>
  <dc:creator>vranova</dc:creator>
  <cp:lastModifiedBy>Zůbková Soňa</cp:lastModifiedBy>
  <cp:revision>6</cp:revision>
  <cp:lastPrinted>2024-02-26T11:06:00Z</cp:lastPrinted>
  <dcterms:created xsi:type="dcterms:W3CDTF">2024-11-11T13:21:00Z</dcterms:created>
  <dcterms:modified xsi:type="dcterms:W3CDTF">2025-04-16T09:13:00Z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LastSaved">
    <vt:filetime>2022-11-10T00:00:00Z</vt:filetime>
  </property>
</Properties>
</file>