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37D37AC7" w14:textId="77777777" w:rsidR="00775460" w:rsidRPr="00986208" w:rsidRDefault="00775460" w:rsidP="00940C94">
      <w:pPr>
        <w:spacing w:after="0" w:line="240" w:lineRule="auto"/>
        <w:jc w:val="center"/>
        <w:rPr>
          <w:rFonts w:ascii="Calibri" w:eastAsia="Times New Roman" w:hAnsi="Calibri" w:cs="Calibri"/>
          <w:i/>
          <w:sz w:val="12"/>
          <w:szCs w:val="12"/>
          <w:lang w:eastAsia="cs-CZ"/>
        </w:rPr>
      </w:pP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986208" w:rsidRDefault="00CC5982" w:rsidP="00940C94">
      <w:pPr>
        <w:spacing w:after="0" w:line="240" w:lineRule="auto"/>
        <w:jc w:val="both"/>
        <w:rPr>
          <w:rFonts w:ascii="Calibri" w:eastAsia="Times New Roman" w:hAnsi="Calibri" w:cs="Calibri"/>
          <w:sz w:val="12"/>
          <w:szCs w:val="1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31855040"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t>Mírové náměstí 3097/37, 400 01, Ústí nad Labem</w:t>
      </w:r>
    </w:p>
    <w:p w14:paraId="2E11C401" w14:textId="62646AE9"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25439022</w:t>
      </w:r>
    </w:p>
    <w:p w14:paraId="7A9928BC" w14:textId="4166474F"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CZ25439022</w:t>
      </w:r>
    </w:p>
    <w:p w14:paraId="60BCB459" w14:textId="0BCA734D"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t>B 1383 vedená u Krajského soudu v Ústí nad Labem</w:t>
      </w:r>
    </w:p>
    <w:p w14:paraId="425FA481" w14:textId="70B5FD0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t>5r4e67q</w:t>
      </w:r>
    </w:p>
    <w:p w14:paraId="6A36D176" w14:textId="10B8EE41"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247B6F">
      <w:pPr>
        <w:spacing w:after="0" w:line="240" w:lineRule="auto"/>
        <w:ind w:left="1416"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113173E9" w14:textId="042D5632" w:rsidR="00DD49F4" w:rsidRPr="00BF5475" w:rsidRDefault="00DD49F4" w:rsidP="00DD49F4">
      <w:pPr>
        <w:spacing w:after="0" w:line="240" w:lineRule="auto"/>
        <w:rPr>
          <w:rFonts w:ascii="Calibri" w:eastAsia="Times New Roman" w:hAnsi="Calibri" w:cs="Calibri"/>
          <w:sz w:val="22"/>
          <w:lang w:eastAsia="cs-CZ"/>
        </w:rPr>
      </w:pPr>
      <w:r w:rsidRPr="00BF5475">
        <w:rPr>
          <w:rFonts w:ascii="Calibri" w:eastAsia="Times New Roman" w:hAnsi="Calibri" w:cs="Calibri"/>
          <w:sz w:val="22"/>
          <w:lang w:eastAsia="cs-CZ"/>
        </w:rPr>
        <w:t>Kontaktní údaje:</w:t>
      </w:r>
      <w:r w:rsidRPr="00BF5475">
        <w:rPr>
          <w:rFonts w:ascii="Calibri" w:eastAsia="Times New Roman" w:hAnsi="Calibri" w:cs="Calibri"/>
          <w:sz w:val="22"/>
          <w:lang w:eastAsia="cs-CZ"/>
        </w:rPr>
        <w:tab/>
      </w:r>
      <w:bookmarkStart w:id="2" w:name="_Hlk189030191"/>
      <w:r w:rsidRPr="00BF5475">
        <w:rPr>
          <w:rFonts w:ascii="Calibri" w:eastAsia="Times New Roman" w:hAnsi="Calibri" w:cs="Calibri"/>
          <w:sz w:val="22"/>
          <w:lang w:eastAsia="cs-CZ"/>
        </w:rPr>
        <w:t>ve věcech smluvních:</w:t>
      </w:r>
    </w:p>
    <w:p w14:paraId="31386978" w14:textId="3878E02A" w:rsidR="00DD49F4" w:rsidRPr="00BF5475" w:rsidRDefault="006F1862" w:rsidP="00DD49F4">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6F936238"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5C32E06E" w14:textId="042BEFF0" w:rsidR="00DD49F4" w:rsidRPr="00BF5475" w:rsidRDefault="00DD49F4" w:rsidP="00DD49F4">
      <w:pPr>
        <w:spacing w:after="0" w:line="240" w:lineRule="auto"/>
        <w:ind w:left="2124" w:firstLine="708"/>
        <w:rPr>
          <w:rFonts w:ascii="Calibri" w:eastAsia="Times New Roman" w:hAnsi="Calibri" w:cs="Calibri"/>
          <w:sz w:val="22"/>
          <w:lang w:eastAsia="cs-CZ"/>
        </w:rPr>
      </w:pPr>
    </w:p>
    <w:p w14:paraId="3E1E1C1E"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24A08BC0"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1BDF2169" w14:textId="77777777" w:rsidR="00DD49F4" w:rsidRPr="00BF5475" w:rsidRDefault="00DD49F4" w:rsidP="00DD49F4">
      <w:pPr>
        <w:spacing w:after="0" w:line="240" w:lineRule="auto"/>
        <w:ind w:left="2124" w:firstLine="708"/>
        <w:rPr>
          <w:rFonts w:ascii="Calibri" w:eastAsia="Times New Roman" w:hAnsi="Calibri" w:cs="Calibri"/>
          <w:sz w:val="22"/>
          <w:lang w:eastAsia="cs-CZ"/>
        </w:rPr>
      </w:pPr>
    </w:p>
    <w:p w14:paraId="5A117F47" w14:textId="77777777" w:rsidR="00DD49F4" w:rsidRPr="00BF5475" w:rsidRDefault="00DD49F4" w:rsidP="00DD49F4">
      <w:pPr>
        <w:spacing w:after="0" w:line="240" w:lineRule="auto"/>
        <w:ind w:left="1416" w:firstLine="708"/>
        <w:rPr>
          <w:rFonts w:ascii="Calibri" w:eastAsia="Times New Roman" w:hAnsi="Calibri" w:cs="Calibri"/>
          <w:sz w:val="22"/>
          <w:lang w:eastAsia="cs-CZ"/>
        </w:rPr>
      </w:pPr>
      <w:r w:rsidRPr="00BF5475">
        <w:rPr>
          <w:rFonts w:ascii="Calibri" w:eastAsia="Times New Roman" w:hAnsi="Calibri" w:cs="Calibri"/>
          <w:sz w:val="22"/>
          <w:lang w:eastAsia="cs-CZ"/>
        </w:rPr>
        <w:t>ve věcech technických:</w:t>
      </w:r>
    </w:p>
    <w:p w14:paraId="24297CCC"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724875DB"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65A79558" w14:textId="77777777" w:rsidR="00DD49F4" w:rsidRPr="00BF5475" w:rsidRDefault="00DD49F4" w:rsidP="00DD49F4">
      <w:pPr>
        <w:spacing w:after="0" w:line="240" w:lineRule="auto"/>
        <w:ind w:left="2124" w:firstLine="708"/>
        <w:rPr>
          <w:rFonts w:ascii="Calibri" w:eastAsia="Times New Roman" w:hAnsi="Calibri" w:cs="Calibri"/>
          <w:sz w:val="22"/>
          <w:lang w:eastAsia="cs-CZ"/>
        </w:rPr>
      </w:pPr>
    </w:p>
    <w:p w14:paraId="60DE45CC"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bookmarkEnd w:id="2"/>
    <w:p w14:paraId="4A288B09" w14:textId="77777777" w:rsidR="006F1862" w:rsidRPr="00BF5475" w:rsidRDefault="006F1862" w:rsidP="006F1862">
      <w:pPr>
        <w:spacing w:after="0" w:line="240" w:lineRule="auto"/>
        <w:ind w:left="2124" w:firstLine="708"/>
        <w:rPr>
          <w:rFonts w:ascii="Calibri" w:eastAsia="Times New Roman" w:hAnsi="Calibri" w:cs="Calibri"/>
          <w:sz w:val="22"/>
          <w:lang w:eastAsia="cs-CZ"/>
        </w:rPr>
      </w:pPr>
      <w:r>
        <w:rPr>
          <w:rFonts w:ascii="Calibri" w:eastAsia="Times New Roman" w:hAnsi="Calibri" w:cs="Calibri"/>
          <w:sz w:val="22"/>
          <w:lang w:eastAsia="cs-CZ"/>
        </w:rPr>
        <w:t>XXXXXXXXXXXXXXXXXXXXXXXXXXXXXXXXXXXXXXXXXXXXX</w:t>
      </w:r>
    </w:p>
    <w:p w14:paraId="67E0D21C" w14:textId="77777777" w:rsidR="006F1862" w:rsidRDefault="006F1862" w:rsidP="00DD49F4">
      <w:pPr>
        <w:spacing w:after="0" w:line="240" w:lineRule="auto"/>
        <w:jc w:val="both"/>
        <w:rPr>
          <w:rFonts w:ascii="Calibri" w:eastAsia="Times New Roman" w:hAnsi="Calibri" w:cs="Calibri"/>
          <w:sz w:val="22"/>
          <w:lang w:eastAsia="cs-CZ"/>
        </w:rPr>
      </w:pPr>
    </w:p>
    <w:p w14:paraId="73E40809" w14:textId="106AAFA4" w:rsidR="00DD49F4" w:rsidRPr="00BF5475" w:rsidRDefault="00DD49F4" w:rsidP="00DD49F4">
      <w:pPr>
        <w:spacing w:after="0" w:line="240" w:lineRule="auto"/>
        <w:jc w:val="both"/>
        <w:rPr>
          <w:rFonts w:ascii="Calibri" w:eastAsia="Times New Roman" w:hAnsi="Calibri" w:cs="Calibri"/>
          <w:sz w:val="22"/>
          <w:lang w:eastAsia="cs-CZ"/>
        </w:rPr>
      </w:pPr>
      <w:r w:rsidRPr="00BF5475">
        <w:rPr>
          <w:rFonts w:ascii="Calibri" w:eastAsia="Times New Roman" w:hAnsi="Calibri" w:cs="Calibri"/>
          <w:sz w:val="22"/>
          <w:lang w:eastAsia="cs-CZ"/>
        </w:rPr>
        <w:t>Bankovní spojení:</w:t>
      </w:r>
      <w:r w:rsidRPr="00BF5475">
        <w:rPr>
          <w:rFonts w:ascii="Calibri" w:eastAsia="Times New Roman" w:hAnsi="Calibri" w:cs="Calibri"/>
          <w:sz w:val="22"/>
          <w:lang w:eastAsia="cs-CZ"/>
        </w:rPr>
        <w:tab/>
      </w:r>
      <w:r w:rsidRPr="00BF5475">
        <w:rPr>
          <w:rFonts w:ascii="Calibri" w:eastAsia="Times New Roman" w:hAnsi="Calibri" w:cs="Calibri"/>
          <w:sz w:val="22"/>
          <w:lang w:eastAsia="cs-CZ"/>
        </w:rPr>
        <w:tab/>
        <w:t>ČSOB, a. s. Ústí nad Labem</w:t>
      </w:r>
    </w:p>
    <w:p w14:paraId="0E1545E6" w14:textId="77777777" w:rsidR="00DD49F4" w:rsidRPr="00BF5475" w:rsidRDefault="00DD49F4" w:rsidP="00DD49F4">
      <w:pPr>
        <w:spacing w:after="0" w:line="240" w:lineRule="auto"/>
        <w:jc w:val="both"/>
        <w:rPr>
          <w:rFonts w:ascii="Calibri" w:eastAsia="Times New Roman" w:hAnsi="Calibri" w:cs="Calibri"/>
          <w:sz w:val="22"/>
          <w:lang w:eastAsia="cs-CZ"/>
        </w:rPr>
      </w:pPr>
      <w:r w:rsidRPr="00BF5475">
        <w:rPr>
          <w:rFonts w:ascii="Calibri" w:eastAsia="Times New Roman" w:hAnsi="Calibri" w:cs="Calibri"/>
          <w:sz w:val="22"/>
          <w:lang w:eastAsia="cs-CZ"/>
        </w:rPr>
        <w:t>Číslo účtu:</w:t>
      </w:r>
      <w:r w:rsidRPr="00BF5475">
        <w:rPr>
          <w:rFonts w:ascii="Calibri" w:eastAsia="Times New Roman" w:hAnsi="Calibri" w:cs="Calibri"/>
          <w:sz w:val="22"/>
          <w:lang w:eastAsia="cs-CZ"/>
        </w:rPr>
        <w:tab/>
      </w:r>
      <w:r w:rsidRPr="00BF5475">
        <w:rPr>
          <w:rFonts w:ascii="Calibri" w:eastAsia="Times New Roman" w:hAnsi="Calibri" w:cs="Calibri"/>
          <w:sz w:val="22"/>
          <w:lang w:eastAsia="cs-CZ"/>
        </w:rPr>
        <w:tab/>
      </w:r>
      <w:r w:rsidRPr="00BF5475">
        <w:rPr>
          <w:rFonts w:ascii="Calibri" w:eastAsia="Times New Roman" w:hAnsi="Calibri" w:cs="Calibri"/>
          <w:sz w:val="22"/>
          <w:lang w:eastAsia="cs-CZ"/>
        </w:rPr>
        <w:tab/>
        <w:t>252399628/0300</w:t>
      </w:r>
    </w:p>
    <w:p w14:paraId="40AFE3F3" w14:textId="0BB1C77D"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25-A0</w:t>
      </w:r>
      <w:r w:rsidR="009312C0">
        <w:rPr>
          <w:rFonts w:ascii="Calibri" w:eastAsia="Times New Roman" w:hAnsi="Calibri" w:cs="Calibri"/>
          <w:b/>
          <w:bCs/>
          <w:sz w:val="22"/>
          <w:lang w:eastAsia="cs-CZ"/>
        </w:rPr>
        <w:t>3</w:t>
      </w:r>
    </w:p>
    <w:bookmarkEnd w:id="1"/>
    <w:p w14:paraId="09A56B59" w14:textId="77777777" w:rsidR="00CC5982" w:rsidRPr="00245893" w:rsidRDefault="00CC5982" w:rsidP="00940C94">
      <w:pPr>
        <w:spacing w:after="0" w:line="240" w:lineRule="auto"/>
        <w:jc w:val="both"/>
        <w:rPr>
          <w:rFonts w:ascii="Calibri" w:eastAsia="Times New Roman" w:hAnsi="Calibri" w:cs="Calibri"/>
          <w:sz w:val="12"/>
          <w:szCs w:val="1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245893" w:rsidRDefault="00CC5982" w:rsidP="00940C94">
      <w:pPr>
        <w:spacing w:after="0" w:line="240" w:lineRule="auto"/>
        <w:jc w:val="both"/>
        <w:rPr>
          <w:rFonts w:ascii="Calibri" w:eastAsia="Times New Roman" w:hAnsi="Calibri" w:cs="Calibri"/>
          <w:sz w:val="12"/>
          <w:szCs w:val="1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01EF7DCC" w14:textId="77777777" w:rsidR="00935114" w:rsidRPr="001704FC" w:rsidRDefault="00935114" w:rsidP="00935114">
      <w:pPr>
        <w:spacing w:after="0" w:line="240" w:lineRule="auto"/>
        <w:jc w:val="both"/>
        <w:rPr>
          <w:rFonts w:ascii="Calibri" w:eastAsia="Times New Roman" w:hAnsi="Calibri" w:cs="Calibri"/>
          <w:b/>
          <w:sz w:val="22"/>
          <w:lang w:eastAsia="cs-CZ"/>
        </w:rPr>
      </w:pPr>
      <w:r>
        <w:rPr>
          <w:rFonts w:ascii="Calibri" w:eastAsia="Times New Roman" w:hAnsi="Calibri" w:cs="Calibri"/>
          <w:b/>
          <w:sz w:val="22"/>
          <w:lang w:eastAsia="cs-CZ"/>
        </w:rPr>
        <w:t>Mevra computers s.r.o.</w:t>
      </w:r>
    </w:p>
    <w:p w14:paraId="5BB9AFB5" w14:textId="77777777" w:rsidR="00935114" w:rsidRPr="001704FC" w:rsidRDefault="00935114" w:rsidP="0093511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Sídlem: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Pr>
          <w:rFonts w:ascii="Calibri" w:eastAsia="Times New Roman" w:hAnsi="Calibri" w:cs="Calibri"/>
          <w:sz w:val="22"/>
          <w:lang w:eastAsia="cs-CZ"/>
        </w:rPr>
        <w:t>Čujkovova 2775/46a, Zábřeh, 700 30  Ostrava</w:t>
      </w:r>
    </w:p>
    <w:p w14:paraId="7D96A039" w14:textId="77777777" w:rsidR="00935114" w:rsidRPr="001704FC" w:rsidRDefault="00935114" w:rsidP="0093511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Pr>
          <w:rFonts w:ascii="Calibri" w:eastAsia="Times New Roman" w:hAnsi="Calibri" w:cs="Calibri"/>
          <w:sz w:val="22"/>
          <w:lang w:eastAsia="cs-CZ"/>
        </w:rPr>
        <w:t>089 49 913</w:t>
      </w:r>
    </w:p>
    <w:p w14:paraId="168DAA03" w14:textId="77777777" w:rsidR="00935114" w:rsidRPr="001704FC" w:rsidRDefault="00935114" w:rsidP="0093511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Pr>
          <w:rFonts w:ascii="Calibri" w:eastAsia="Times New Roman" w:hAnsi="Calibri" w:cs="Calibri"/>
          <w:sz w:val="22"/>
          <w:lang w:eastAsia="cs-CZ"/>
        </w:rPr>
        <w:t>CZ08949913</w:t>
      </w:r>
    </w:p>
    <w:p w14:paraId="53BFFFF1" w14:textId="77777777" w:rsidR="00935114" w:rsidRPr="001704FC" w:rsidRDefault="00935114" w:rsidP="0093511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Zápis v OR:</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Pr>
          <w:rFonts w:ascii="Calibri" w:eastAsia="Times New Roman" w:hAnsi="Calibri" w:cs="Calibri"/>
          <w:sz w:val="22"/>
          <w:lang w:eastAsia="cs-CZ"/>
        </w:rPr>
        <w:t>Krajský soud v Ostravě, oddíl C, vložka 81414</w:t>
      </w:r>
    </w:p>
    <w:p w14:paraId="07CAAC00" w14:textId="77777777" w:rsidR="00935114" w:rsidRPr="001704FC" w:rsidRDefault="00935114" w:rsidP="0093511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Pr>
          <w:rFonts w:ascii="Calibri" w:eastAsia="Times New Roman" w:hAnsi="Calibri" w:cs="Calibri"/>
          <w:sz w:val="22"/>
          <w:lang w:eastAsia="cs-CZ"/>
        </w:rPr>
        <w:t xml:space="preserve">Ing. Petrem </w:t>
      </w:r>
      <w:proofErr w:type="spellStart"/>
      <w:r>
        <w:rPr>
          <w:rFonts w:ascii="Calibri" w:eastAsia="Times New Roman" w:hAnsi="Calibri" w:cs="Calibri"/>
          <w:sz w:val="22"/>
          <w:lang w:eastAsia="cs-CZ"/>
        </w:rPr>
        <w:t>Varechou</w:t>
      </w:r>
      <w:proofErr w:type="spellEnd"/>
      <w:r>
        <w:rPr>
          <w:rFonts w:ascii="Calibri" w:eastAsia="Times New Roman" w:hAnsi="Calibri" w:cs="Calibri"/>
          <w:sz w:val="22"/>
          <w:lang w:eastAsia="cs-CZ"/>
        </w:rPr>
        <w:t>, jednatelem</w:t>
      </w:r>
    </w:p>
    <w:p w14:paraId="5BB9E734" w14:textId="77777777" w:rsidR="006F1862" w:rsidRDefault="00935114" w:rsidP="006F1862">
      <w:pPr>
        <w:spacing w:after="0" w:line="240" w:lineRule="auto"/>
        <w:ind w:left="2124"/>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p>
    <w:p w14:paraId="1C9BFDA7" w14:textId="77777777" w:rsidR="006F1862" w:rsidRDefault="006F1862" w:rsidP="006F1862">
      <w:pPr>
        <w:spacing w:after="0" w:line="240" w:lineRule="auto"/>
        <w:ind w:left="2124"/>
        <w:rPr>
          <w:rFonts w:ascii="Calibri" w:eastAsia="Times New Roman" w:hAnsi="Calibri" w:cs="Calibri"/>
          <w:sz w:val="22"/>
          <w:lang w:eastAsia="cs-CZ"/>
        </w:rPr>
      </w:pPr>
      <w:r>
        <w:rPr>
          <w:rFonts w:ascii="Calibri" w:eastAsia="Times New Roman" w:hAnsi="Calibri" w:cs="Calibri"/>
          <w:sz w:val="22"/>
          <w:lang w:eastAsia="cs-CZ"/>
        </w:rPr>
        <w:t>XXXXXXXXXXXXXXXXXXXXXXXXXXXXXXXXXXXXX</w:t>
      </w:r>
    </w:p>
    <w:p w14:paraId="57DC37F9" w14:textId="77777777" w:rsidR="006F1862" w:rsidRDefault="006F1862" w:rsidP="006F1862">
      <w:pPr>
        <w:spacing w:after="0" w:line="240" w:lineRule="auto"/>
        <w:ind w:left="2124"/>
        <w:rPr>
          <w:rFonts w:ascii="Calibri" w:eastAsia="Times New Roman" w:hAnsi="Calibri" w:cs="Calibri"/>
          <w:sz w:val="22"/>
          <w:lang w:eastAsia="cs-CZ"/>
        </w:rPr>
      </w:pPr>
      <w:r>
        <w:rPr>
          <w:rFonts w:ascii="Calibri" w:eastAsia="Times New Roman" w:hAnsi="Calibri" w:cs="Calibri"/>
          <w:sz w:val="22"/>
          <w:lang w:eastAsia="cs-CZ"/>
        </w:rPr>
        <w:t>XXXXXXXXXXXXXXXXXXXXXXXXXXXXXXXXXXXXX</w:t>
      </w:r>
    </w:p>
    <w:p w14:paraId="04C1BCF5" w14:textId="0E1D2DBC" w:rsidR="006F1862" w:rsidRDefault="006F1862" w:rsidP="006F1862">
      <w:pPr>
        <w:spacing w:after="0" w:line="240" w:lineRule="auto"/>
        <w:ind w:left="2124"/>
        <w:rPr>
          <w:rFonts w:ascii="Calibri" w:eastAsia="Times New Roman" w:hAnsi="Calibri" w:cs="Calibri"/>
          <w:sz w:val="22"/>
          <w:lang w:eastAsia="cs-CZ"/>
        </w:rPr>
      </w:pPr>
      <w:r>
        <w:rPr>
          <w:rFonts w:ascii="Calibri" w:eastAsia="Times New Roman" w:hAnsi="Calibri" w:cs="Calibri"/>
          <w:sz w:val="22"/>
          <w:lang w:eastAsia="cs-CZ"/>
        </w:rPr>
        <w:t>XXXXXXXXXXXXXXXXXXXXXXXXXXXXXXXXXXXXX</w:t>
      </w:r>
    </w:p>
    <w:p w14:paraId="3CA0A835" w14:textId="1C954762" w:rsidR="006F1862" w:rsidRPr="00BF5475" w:rsidRDefault="006F1862" w:rsidP="006F1862">
      <w:pPr>
        <w:spacing w:after="0" w:line="240" w:lineRule="auto"/>
        <w:ind w:left="2124"/>
        <w:rPr>
          <w:rFonts w:ascii="Calibri" w:eastAsia="Times New Roman" w:hAnsi="Calibri" w:cs="Calibri"/>
          <w:sz w:val="22"/>
          <w:lang w:eastAsia="cs-CZ"/>
        </w:rPr>
      </w:pPr>
      <w:r>
        <w:rPr>
          <w:rFonts w:ascii="Calibri" w:eastAsia="Times New Roman" w:hAnsi="Calibri" w:cs="Calibri"/>
          <w:sz w:val="22"/>
          <w:lang w:eastAsia="cs-CZ"/>
        </w:rPr>
        <w:t>XXXXXXXXXXXXXXXXXXXXXXXXXXXXXXXXXXXXX</w:t>
      </w:r>
    </w:p>
    <w:p w14:paraId="096D15AB" w14:textId="7D093F3D" w:rsidR="00935114" w:rsidRPr="001704FC" w:rsidRDefault="00935114" w:rsidP="0093511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 xml:space="preserve">Bankovní spojení: </w:t>
      </w:r>
      <w:r w:rsidRPr="001704FC">
        <w:rPr>
          <w:rFonts w:ascii="Calibri" w:eastAsia="Times New Roman" w:hAnsi="Calibri" w:cs="Calibri"/>
          <w:sz w:val="22"/>
          <w:lang w:eastAsia="cs-CZ"/>
        </w:rPr>
        <w:tab/>
      </w:r>
      <w:r w:rsidR="00AD1160">
        <w:rPr>
          <w:rFonts w:ascii="Calibri" w:eastAsia="Times New Roman" w:hAnsi="Calibri" w:cs="Calibri"/>
          <w:sz w:val="22"/>
          <w:lang w:eastAsia="cs-CZ"/>
        </w:rPr>
        <w:t>XXXXXXXXXXXXXXXXXXXXXXXXXXXXXXX</w:t>
      </w:r>
    </w:p>
    <w:p w14:paraId="02D67726" w14:textId="3DB59104" w:rsidR="00744EFC" w:rsidRDefault="00935114"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Číslo účtu:</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AD1160">
        <w:rPr>
          <w:rFonts w:ascii="Calibri" w:eastAsia="Times New Roman" w:hAnsi="Calibri" w:cs="Calibri"/>
          <w:sz w:val="22"/>
          <w:lang w:eastAsia="cs-CZ"/>
        </w:rPr>
        <w:t>XXXXXXXXXXXXXXXXXXXXXXXXXXXXXXX</w:t>
      </w:r>
    </w:p>
    <w:p w14:paraId="5C8D64AD" w14:textId="77777777" w:rsidR="00515182" w:rsidRDefault="00515182" w:rsidP="00940C94">
      <w:pPr>
        <w:spacing w:after="0" w:line="240" w:lineRule="auto"/>
        <w:jc w:val="both"/>
        <w:rPr>
          <w:rFonts w:ascii="Calibri" w:eastAsia="Times New Roman" w:hAnsi="Calibri" w:cs="Calibri"/>
          <w:sz w:val="22"/>
          <w:lang w:eastAsia="cs-CZ"/>
        </w:rPr>
      </w:pPr>
    </w:p>
    <w:p w14:paraId="12B2DCE8" w14:textId="314FC6E1" w:rsidR="00CC5982"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dále společně jako „smluvní strany“</w:t>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4A586E35"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6A4ED4" w:rsidRPr="001704FC">
        <w:rPr>
          <w:rFonts w:ascii="Calibri" w:hAnsi="Calibri" w:cs="Calibri"/>
          <w:sz w:val="22"/>
        </w:rPr>
        <w:t>zadávacího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s názvem </w:t>
      </w:r>
      <w:r w:rsidR="00FA6E0B" w:rsidRPr="001704FC">
        <w:rPr>
          <w:rFonts w:ascii="Calibri" w:hAnsi="Calibri" w:cs="Calibri"/>
          <w:b/>
          <w:bCs/>
          <w:sz w:val="22"/>
        </w:rPr>
        <w:t xml:space="preserve">„Nákup monitorů a notebooků včetně příslušenství 2025“, Část </w:t>
      </w:r>
      <w:r w:rsidR="00E828FB">
        <w:rPr>
          <w:rFonts w:ascii="Calibri" w:hAnsi="Calibri" w:cs="Calibri"/>
          <w:b/>
          <w:bCs/>
          <w:sz w:val="22"/>
        </w:rPr>
        <w:t>B - Monitory</w:t>
      </w:r>
      <w:r w:rsidR="008C2A47" w:rsidRPr="001704FC">
        <w:rPr>
          <w:rFonts w:ascii="Calibri" w:hAnsi="Calibri" w:cs="Calibri"/>
          <w:b/>
          <w:bCs/>
          <w:sz w:val="22"/>
        </w:rPr>
        <w:t>,</w:t>
      </w:r>
      <w:r w:rsidR="008C2A47" w:rsidRPr="001704FC">
        <w:rPr>
          <w:rFonts w:ascii="Calibri" w:hAnsi="Calibri" w:cs="Calibri"/>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5833D20A"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IT vybavení – </w:t>
      </w:r>
      <w:r w:rsidR="00781A22">
        <w:rPr>
          <w:rFonts w:ascii="Calibri" w:hAnsi="Calibri" w:cs="Calibri"/>
          <w:b/>
          <w:bCs/>
          <w:sz w:val="22"/>
        </w:rPr>
        <w:t>monitorů</w:t>
      </w:r>
      <w:r w:rsidR="00A15362" w:rsidRPr="001704FC">
        <w:rPr>
          <w:rFonts w:ascii="Calibri" w:hAnsi="Calibri" w:cs="Calibri"/>
          <w:b/>
          <w:bCs/>
          <w:sz w:val="22"/>
        </w:rPr>
        <w:t>.</w:t>
      </w:r>
      <w:r w:rsidR="00922616" w:rsidRPr="001704FC">
        <w:rPr>
          <w:rFonts w:ascii="Calibri" w:hAnsi="Calibri" w:cs="Calibri"/>
          <w:b/>
          <w:bCs/>
          <w:sz w:val="22"/>
        </w:rPr>
        <w:t xml:space="preserve">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07D6541B" w:rsidR="00972E46"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155B4B" w:rsidRPr="001704FC">
        <w:rPr>
          <w:rFonts w:ascii="Calibri" w:hAnsi="Calibri" w:cs="Calibri"/>
          <w:sz w:val="22"/>
        </w:rPr>
        <w:t xml:space="preserve"> podlimitní 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F81428" w:rsidRPr="001704FC">
        <w:rPr>
          <w:rFonts w:ascii="Calibri" w:hAnsi="Calibri" w:cs="Calibri"/>
          <w:b/>
          <w:bCs/>
          <w:sz w:val="22"/>
        </w:rPr>
        <w:t>„Nákup monitorů a notebooků včetně příslušenství 2025“</w:t>
      </w:r>
      <w:r w:rsidR="007C1FB9" w:rsidRPr="001704FC">
        <w:rPr>
          <w:rFonts w:ascii="Calibri" w:hAnsi="Calibri" w:cs="Calibri"/>
          <w:b/>
          <w:bCs/>
          <w:sz w:val="22"/>
        </w:rPr>
        <w:t>,</w:t>
      </w:r>
      <w:r w:rsidR="00F81428" w:rsidRPr="001704FC">
        <w:rPr>
          <w:rFonts w:ascii="Calibri" w:hAnsi="Calibri" w:cs="Calibri"/>
          <w:b/>
          <w:bCs/>
          <w:sz w:val="22"/>
        </w:rPr>
        <w:t xml:space="preserve"> </w:t>
      </w:r>
      <w:r w:rsidR="00E828FB">
        <w:rPr>
          <w:rFonts w:ascii="Calibri" w:hAnsi="Calibri" w:cs="Calibri"/>
          <w:b/>
          <w:bCs/>
          <w:sz w:val="22"/>
        </w:rPr>
        <w:t>Část B - Monitory</w:t>
      </w:r>
      <w:r w:rsidR="008C2A47" w:rsidRPr="001704FC">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1864FF2B" w14:textId="77777777" w:rsidR="00161F7A" w:rsidRPr="001704FC" w:rsidRDefault="00161F7A" w:rsidP="00161F7A">
      <w:pPr>
        <w:pStyle w:val="Odstavecseseznamem"/>
        <w:numPr>
          <w:ilvl w:val="0"/>
          <w:numId w:val="0"/>
        </w:numPr>
        <w:spacing w:before="0"/>
        <w:ind w:left="1512"/>
        <w:jc w:val="both"/>
        <w:rPr>
          <w:rFonts w:ascii="Calibri" w:hAnsi="Calibri" w:cs="Calibri"/>
          <w:sz w:val="22"/>
        </w:rPr>
      </w:pPr>
    </w:p>
    <w:p w14:paraId="42D146E1" w14:textId="15F2D174"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 ze dne</w:t>
      </w:r>
      <w:r w:rsidR="00445CB1" w:rsidRPr="001704FC">
        <w:rPr>
          <w:rFonts w:ascii="Calibri" w:hAnsi="Calibri" w:cs="Calibri"/>
          <w:sz w:val="22"/>
        </w:rPr>
        <w:t xml:space="preserve"> </w:t>
      </w:r>
      <w:r w:rsidR="00335D96">
        <w:rPr>
          <w:rFonts w:ascii="Calibri" w:hAnsi="Calibri" w:cs="Calibri"/>
          <w:sz w:val="22"/>
        </w:rPr>
        <w:t xml:space="preserve">20. 2. 2025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Pr="001704FC">
        <w:rPr>
          <w:rFonts w:ascii="Calibri" w:hAnsi="Calibri" w:cs="Calibri"/>
          <w:sz w:val="22"/>
        </w:rPr>
        <w:t>za</w:t>
      </w:r>
      <w:r w:rsidR="0025577A" w:rsidRPr="001704FC">
        <w:rPr>
          <w:rFonts w:ascii="Calibri" w:hAnsi="Calibri" w:cs="Calibri"/>
          <w:sz w:val="22"/>
        </w:rPr>
        <w:t>dávacího řízení na veřejnou zakázku</w:t>
      </w:r>
      <w:r w:rsidR="008C2A47" w:rsidRPr="001704FC">
        <w:rPr>
          <w:rFonts w:ascii="Calibri" w:hAnsi="Calibri" w:cs="Calibri"/>
          <w:sz w:val="22"/>
        </w:rPr>
        <w:t xml:space="preserve"> </w:t>
      </w:r>
      <w:r w:rsidR="00D84365" w:rsidRPr="001704FC">
        <w:rPr>
          <w:rFonts w:ascii="Calibri" w:hAnsi="Calibri" w:cs="Calibri"/>
          <w:b/>
          <w:bCs/>
          <w:sz w:val="22"/>
        </w:rPr>
        <w:t xml:space="preserve">„Nákup monitorů a notebooků včetně příslušenství 2025“, Část </w:t>
      </w:r>
      <w:r w:rsidR="00C5408E">
        <w:rPr>
          <w:rFonts w:ascii="Calibri" w:hAnsi="Calibri" w:cs="Calibri"/>
          <w:b/>
          <w:bCs/>
          <w:sz w:val="22"/>
        </w:rPr>
        <w:t>B - Monitory</w:t>
      </w:r>
      <w:r w:rsidR="00445CB1" w:rsidRPr="001704FC">
        <w:rPr>
          <w:rFonts w:ascii="Calibri" w:hAnsi="Calibri" w:cs="Calibri"/>
          <w:b/>
          <w:bCs/>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4370BD77" w14:textId="77777777" w:rsidR="00161F7A" w:rsidRDefault="00161F7A" w:rsidP="00161F7A">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se zavazuje splnit svůj závazek prostřednictvím osob s potřebnou kvalifikací</w:t>
      </w:r>
      <w:r w:rsidR="00F7394F" w:rsidRPr="001704FC">
        <w:rPr>
          <w:rFonts w:ascii="Calibri" w:hAnsi="Calibri" w:cs="Calibri"/>
          <w:sz w:val="22"/>
        </w:rPr>
        <w:t xml:space="preserve"> a odborností.</w:t>
      </w:r>
    </w:p>
    <w:p w14:paraId="77298D9A"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7AA9D27B" w14:textId="1B256E6D" w:rsidR="001F27F5" w:rsidRPr="00470AD2" w:rsidRDefault="00A16FF0" w:rsidP="00940C94">
      <w:pPr>
        <w:pStyle w:val="Odstavecseseznamem"/>
        <w:numPr>
          <w:ilvl w:val="1"/>
          <w:numId w:val="12"/>
        </w:numPr>
        <w:spacing w:before="0"/>
        <w:jc w:val="both"/>
        <w:rPr>
          <w:rFonts w:ascii="Calibri" w:hAnsi="Calibri" w:cs="Calibri"/>
          <w:sz w:val="22"/>
        </w:rPr>
      </w:pPr>
      <w:r w:rsidRPr="00470AD2">
        <w:rPr>
          <w:rFonts w:ascii="Calibri" w:hAnsi="Calibri" w:cs="Calibri"/>
          <w:sz w:val="22"/>
        </w:rPr>
        <w:t xml:space="preserve">Prodávající se zavazuje odevzdat předmět koupě kupujícímu </w:t>
      </w:r>
      <w:bookmarkStart w:id="3" w:name="_Hlk188963850"/>
      <w:r w:rsidRPr="00470AD2">
        <w:rPr>
          <w:rFonts w:ascii="Calibri" w:hAnsi="Calibri" w:cs="Calibri"/>
          <w:b/>
          <w:bCs/>
          <w:sz w:val="22"/>
        </w:rPr>
        <w:t>nejpozději do</w:t>
      </w:r>
      <w:r w:rsidR="00824C5F" w:rsidRPr="00470AD2">
        <w:rPr>
          <w:rFonts w:ascii="Calibri" w:hAnsi="Calibri" w:cs="Calibri"/>
          <w:b/>
          <w:bCs/>
          <w:sz w:val="22"/>
        </w:rPr>
        <w:t xml:space="preserve"> 20 kalendářních dnů od nabytí účinnosti smlouvy dle odst. 7.9. této smlouvy</w:t>
      </w:r>
      <w:bookmarkEnd w:id="3"/>
      <w:r w:rsidRPr="00470AD2">
        <w:rPr>
          <w:rFonts w:ascii="Calibri" w:hAnsi="Calibri" w:cs="Calibri"/>
          <w:sz w:val="22"/>
        </w:rPr>
        <w:t xml:space="preserve">. </w:t>
      </w:r>
      <w:r w:rsidR="00491F80" w:rsidRPr="00470AD2">
        <w:rPr>
          <w:rFonts w:ascii="Calibri" w:hAnsi="Calibri" w:cs="Calibri"/>
          <w:sz w:val="22"/>
        </w:rPr>
        <w:t>Konkrétní d</w:t>
      </w:r>
      <w:r w:rsidRPr="00470AD2">
        <w:rPr>
          <w:rFonts w:ascii="Calibri" w:hAnsi="Calibri" w:cs="Calibri"/>
          <w:sz w:val="22"/>
        </w:rPr>
        <w:t>atum a čas odevzdání předmětu koupě oznámí prodávající kupujícímu nejpozději</w:t>
      </w:r>
      <w:r w:rsidR="00491F80" w:rsidRPr="00470AD2">
        <w:rPr>
          <w:rFonts w:ascii="Calibri" w:hAnsi="Calibri" w:cs="Calibri"/>
          <w:sz w:val="22"/>
        </w:rPr>
        <w:t xml:space="preserve"> </w:t>
      </w:r>
      <w:r w:rsidR="00491F80" w:rsidRPr="00470AD2">
        <w:rPr>
          <w:rFonts w:ascii="Calibri" w:hAnsi="Calibri" w:cs="Calibri"/>
          <w:b/>
          <w:bCs/>
          <w:sz w:val="22"/>
        </w:rPr>
        <w:t>3</w:t>
      </w:r>
      <w:r w:rsidRPr="00470AD2">
        <w:rPr>
          <w:rFonts w:ascii="Calibri" w:hAnsi="Calibri" w:cs="Calibri"/>
          <w:b/>
          <w:bCs/>
          <w:sz w:val="22"/>
        </w:rPr>
        <w:t xml:space="preserve"> pracovní dny předem</w:t>
      </w:r>
      <w:r w:rsidRPr="00470AD2">
        <w:rPr>
          <w:rFonts w:ascii="Calibri" w:hAnsi="Calibri" w:cs="Calibri"/>
          <w:sz w:val="22"/>
        </w:rPr>
        <w:t>.</w:t>
      </w:r>
      <w:r w:rsidR="00A9077D" w:rsidRPr="00470AD2">
        <w:rPr>
          <w:rFonts w:ascii="Calibri" w:hAnsi="Calibri" w:cs="Calibri"/>
          <w:sz w:val="22"/>
        </w:rPr>
        <w:t xml:space="preserve"> </w:t>
      </w:r>
      <w:bookmarkStart w:id="4" w:name="_Hlk188963946"/>
      <w:r w:rsidR="00203865" w:rsidRPr="00470AD2">
        <w:rPr>
          <w:rFonts w:ascii="Calibri" w:hAnsi="Calibri" w:cs="Calibri"/>
          <w:sz w:val="22"/>
        </w:rPr>
        <w:t xml:space="preserve">Toto oznámení prodávající učiní </w:t>
      </w:r>
      <w:r w:rsidR="005E561A" w:rsidRPr="00470AD2">
        <w:rPr>
          <w:rFonts w:ascii="Calibri" w:hAnsi="Calibri" w:cs="Calibri"/>
          <w:sz w:val="22"/>
        </w:rPr>
        <w:t xml:space="preserve">minimálně </w:t>
      </w:r>
      <w:r w:rsidR="00203865" w:rsidRPr="00470AD2">
        <w:rPr>
          <w:rFonts w:ascii="Calibri" w:hAnsi="Calibri" w:cs="Calibri"/>
          <w:b/>
          <w:bCs/>
          <w:sz w:val="22"/>
        </w:rPr>
        <w:t xml:space="preserve">písemnou formou na e-mailové adresy kontaktních osob </w:t>
      </w:r>
      <w:r w:rsidR="00470AD2" w:rsidRPr="00470AD2">
        <w:rPr>
          <w:rFonts w:ascii="Calibri" w:hAnsi="Calibri" w:cs="Calibri"/>
          <w:b/>
          <w:bCs/>
          <w:sz w:val="22"/>
        </w:rPr>
        <w:t xml:space="preserve">kupujícího </w:t>
      </w:r>
      <w:r w:rsidR="00203865" w:rsidRPr="00470AD2">
        <w:rPr>
          <w:rFonts w:ascii="Calibri" w:hAnsi="Calibri" w:cs="Calibri"/>
          <w:b/>
          <w:bCs/>
          <w:sz w:val="22"/>
        </w:rPr>
        <w:t>uvedených v úvodu této smlouvy</w:t>
      </w:r>
      <w:r w:rsidR="00203865" w:rsidRPr="00470AD2">
        <w:rPr>
          <w:rFonts w:ascii="Calibri" w:hAnsi="Calibri" w:cs="Calibri"/>
          <w:sz w:val="22"/>
        </w:rPr>
        <w:t>.</w:t>
      </w:r>
      <w:bookmarkEnd w:id="4"/>
    </w:p>
    <w:p w14:paraId="0B834594"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7F40882E" w14:textId="77777777" w:rsidR="005035AC" w:rsidRDefault="00884081" w:rsidP="00787AC4">
      <w:pPr>
        <w:pStyle w:val="Odstavecseseznamem"/>
        <w:numPr>
          <w:ilvl w:val="1"/>
          <w:numId w:val="12"/>
        </w:numPr>
        <w:jc w:val="both"/>
        <w:rPr>
          <w:rFonts w:ascii="Calibri" w:hAnsi="Calibri" w:cs="Calibri"/>
          <w:sz w:val="22"/>
        </w:rPr>
      </w:pPr>
      <w:r w:rsidRPr="001704FC">
        <w:rPr>
          <w:rFonts w:ascii="Calibri" w:hAnsi="Calibri" w:cs="Calibri"/>
          <w:sz w:val="22"/>
        </w:rPr>
        <w:t>Prodávající je povinen předmět smlouvy dodat do místa plnění</w:t>
      </w:r>
      <w:r w:rsidR="005035AC">
        <w:rPr>
          <w:rFonts w:ascii="Calibri" w:hAnsi="Calibri" w:cs="Calibri"/>
          <w:sz w:val="22"/>
        </w:rPr>
        <w:t>. Místa plnění jsou definována takto:</w:t>
      </w:r>
    </w:p>
    <w:p w14:paraId="068A82EA" w14:textId="77777777" w:rsidR="005035AC" w:rsidRDefault="005035AC" w:rsidP="005035AC">
      <w:pPr>
        <w:pStyle w:val="Odstavecseseznamem"/>
        <w:numPr>
          <w:ilvl w:val="0"/>
          <w:numId w:val="0"/>
        </w:numPr>
        <w:ind w:left="792"/>
        <w:jc w:val="both"/>
        <w:rPr>
          <w:rFonts w:ascii="Calibri" w:hAnsi="Calibri" w:cs="Calibri"/>
          <w:sz w:val="22"/>
        </w:rPr>
      </w:pPr>
    </w:p>
    <w:p w14:paraId="648F4883" w14:textId="77777777" w:rsidR="005035AC" w:rsidRPr="005035AC" w:rsidRDefault="005035AC" w:rsidP="005035AC">
      <w:pPr>
        <w:pStyle w:val="Odstavecseseznamem"/>
        <w:numPr>
          <w:ilvl w:val="0"/>
          <w:numId w:val="18"/>
        </w:numPr>
        <w:jc w:val="both"/>
        <w:rPr>
          <w:rFonts w:ascii="Calibri" w:hAnsi="Calibri" w:cs="Calibri"/>
          <w:b/>
          <w:bCs/>
          <w:sz w:val="22"/>
        </w:rPr>
      </w:pPr>
      <w:r w:rsidRPr="005035AC">
        <w:rPr>
          <w:rFonts w:ascii="Calibri" w:hAnsi="Calibri" w:cs="Calibri"/>
          <w:b/>
          <w:bCs/>
          <w:sz w:val="22"/>
        </w:rPr>
        <w:t>Dodávka zahrnující níže uvedené zboží bude dodána na adresu budovy Magistrátu města Ústí nad Labem na adrese Velká Hradební 2336/8, 401 00 Ústí nad Labem:</w:t>
      </w:r>
    </w:p>
    <w:p w14:paraId="5F906F12" w14:textId="20F7FC1A" w:rsidR="005035AC" w:rsidRDefault="005035AC" w:rsidP="005035AC">
      <w:pPr>
        <w:pStyle w:val="Odstavecseseznamem"/>
        <w:numPr>
          <w:ilvl w:val="0"/>
          <w:numId w:val="20"/>
        </w:numPr>
        <w:jc w:val="both"/>
        <w:rPr>
          <w:rFonts w:ascii="Calibri" w:hAnsi="Calibri" w:cs="Calibri"/>
          <w:b/>
          <w:bCs/>
          <w:sz w:val="22"/>
        </w:rPr>
      </w:pPr>
      <w:r w:rsidRPr="005035AC">
        <w:rPr>
          <w:rFonts w:ascii="Calibri" w:hAnsi="Calibri" w:cs="Calibri"/>
          <w:b/>
          <w:bCs/>
          <w:sz w:val="22"/>
        </w:rPr>
        <w:t>130 ks monitorů</w:t>
      </w:r>
    </w:p>
    <w:p w14:paraId="1DE59A67" w14:textId="77777777" w:rsidR="005035AC" w:rsidRPr="005035AC" w:rsidRDefault="005035AC" w:rsidP="005035AC">
      <w:pPr>
        <w:pStyle w:val="Odstavecseseznamem"/>
        <w:numPr>
          <w:ilvl w:val="0"/>
          <w:numId w:val="0"/>
        </w:numPr>
        <w:ind w:left="2232"/>
        <w:jc w:val="both"/>
        <w:rPr>
          <w:rFonts w:ascii="Calibri" w:hAnsi="Calibri" w:cs="Calibri"/>
          <w:b/>
          <w:bCs/>
          <w:sz w:val="22"/>
        </w:rPr>
      </w:pPr>
    </w:p>
    <w:p w14:paraId="58593573" w14:textId="77777777" w:rsidR="005035AC" w:rsidRPr="005035AC" w:rsidRDefault="005035AC" w:rsidP="005035AC">
      <w:pPr>
        <w:pStyle w:val="Odstavecseseznamem"/>
        <w:numPr>
          <w:ilvl w:val="0"/>
          <w:numId w:val="18"/>
        </w:numPr>
        <w:jc w:val="both"/>
        <w:rPr>
          <w:rFonts w:ascii="Calibri" w:hAnsi="Calibri" w:cs="Calibri"/>
          <w:b/>
          <w:bCs/>
          <w:sz w:val="22"/>
        </w:rPr>
      </w:pPr>
      <w:r w:rsidRPr="005035AC">
        <w:rPr>
          <w:rFonts w:ascii="Calibri" w:hAnsi="Calibri" w:cs="Calibri"/>
          <w:b/>
          <w:bCs/>
          <w:sz w:val="22"/>
        </w:rPr>
        <w:t>Zbývající dodávka zahrnující níže uvedené zboží bude dodána na adresu sídla zadavatele, tj. budova PB Centra, Mírové náměstí 3097/37, Ústí nad Labem-centrum, 400 01 Ústí nad Labem:</w:t>
      </w:r>
    </w:p>
    <w:p w14:paraId="71645890" w14:textId="77777777" w:rsidR="005035AC" w:rsidRPr="005035AC" w:rsidRDefault="005035AC" w:rsidP="005035AC">
      <w:pPr>
        <w:pStyle w:val="Odstavecseseznamem"/>
        <w:numPr>
          <w:ilvl w:val="0"/>
          <w:numId w:val="20"/>
        </w:numPr>
        <w:jc w:val="both"/>
        <w:rPr>
          <w:rFonts w:ascii="Calibri" w:hAnsi="Calibri" w:cs="Calibri"/>
          <w:b/>
          <w:bCs/>
          <w:sz w:val="22"/>
        </w:rPr>
      </w:pPr>
      <w:r w:rsidRPr="005035AC">
        <w:rPr>
          <w:rFonts w:ascii="Calibri" w:hAnsi="Calibri" w:cs="Calibri"/>
          <w:b/>
          <w:bCs/>
          <w:sz w:val="22"/>
        </w:rPr>
        <w:t>40 ks monitorů</w:t>
      </w:r>
    </w:p>
    <w:p w14:paraId="45C81ED3" w14:textId="77777777" w:rsidR="005035AC" w:rsidRDefault="005035AC" w:rsidP="005035AC">
      <w:pPr>
        <w:pStyle w:val="Odstavecseseznamem"/>
        <w:numPr>
          <w:ilvl w:val="0"/>
          <w:numId w:val="0"/>
        </w:numPr>
        <w:ind w:left="1512"/>
        <w:jc w:val="both"/>
        <w:rPr>
          <w:rFonts w:ascii="Calibri" w:hAnsi="Calibri" w:cs="Calibri"/>
          <w:sz w:val="22"/>
        </w:rPr>
      </w:pPr>
    </w:p>
    <w:p w14:paraId="38DBF2A1" w14:textId="4CF5A518" w:rsidR="001F27F5" w:rsidRPr="001704FC" w:rsidRDefault="00884081" w:rsidP="00787AC4">
      <w:pPr>
        <w:pStyle w:val="Odstavecseseznamem"/>
        <w:numPr>
          <w:ilvl w:val="1"/>
          <w:numId w:val="12"/>
        </w:numPr>
        <w:jc w:val="both"/>
        <w:rPr>
          <w:rFonts w:ascii="Calibri" w:hAnsi="Calibri" w:cs="Calibri"/>
          <w:sz w:val="22"/>
        </w:rPr>
      </w:pPr>
      <w:r w:rsidRPr="001704FC">
        <w:rPr>
          <w:rFonts w:ascii="Calibri" w:hAnsi="Calibri" w:cs="Calibri"/>
          <w:sz w:val="22"/>
        </w:rPr>
        <w:t>Předmět koupě bude protokolárně odevzdán a k</w:t>
      </w:r>
      <w:r w:rsidR="00A16FF0" w:rsidRPr="001704FC">
        <w:rPr>
          <w:rFonts w:ascii="Calibri" w:hAnsi="Calibri" w:cs="Calibri"/>
          <w:sz w:val="22"/>
        </w:rPr>
        <w:t>upující potvrdí svým podpisem protokol o převzetí věci (dodací list).</w:t>
      </w:r>
    </w:p>
    <w:p w14:paraId="01FD51BC" w14:textId="77777777" w:rsidR="00A902EF" w:rsidRPr="001704FC" w:rsidRDefault="00A902EF" w:rsidP="00A902EF">
      <w:pPr>
        <w:pStyle w:val="Odstavecseseznamem"/>
        <w:numPr>
          <w:ilvl w:val="0"/>
          <w:numId w:val="0"/>
        </w:numPr>
        <w:ind w:left="792"/>
        <w:jc w:val="both"/>
        <w:rPr>
          <w:rFonts w:ascii="Calibri" w:hAnsi="Calibri" w:cs="Calibri"/>
          <w:sz w:val="22"/>
        </w:rPr>
      </w:pPr>
    </w:p>
    <w:p w14:paraId="702D799B" w14:textId="16D4D192" w:rsidR="009D3BA3" w:rsidRPr="00FD2379" w:rsidRDefault="009D3BA3" w:rsidP="00787AC4">
      <w:pPr>
        <w:pStyle w:val="Odstavecseseznamem"/>
        <w:numPr>
          <w:ilvl w:val="1"/>
          <w:numId w:val="12"/>
        </w:numPr>
        <w:jc w:val="both"/>
        <w:rPr>
          <w:rFonts w:ascii="Calibri" w:hAnsi="Calibri" w:cs="Calibri"/>
          <w:sz w:val="22"/>
        </w:rPr>
      </w:pPr>
      <w:r w:rsidRPr="00FD2379">
        <w:rPr>
          <w:rFonts w:ascii="Calibri" w:hAnsi="Calibri" w:cs="Calibri"/>
          <w:sz w:val="22"/>
        </w:rPr>
        <w:t>Prodávající je povinen předat kupujícímu:</w:t>
      </w:r>
    </w:p>
    <w:p w14:paraId="14E7C14A" w14:textId="2AB6708F" w:rsidR="009D3BA3" w:rsidRPr="00FD2379" w:rsidRDefault="009D3BA3" w:rsidP="009D3BA3">
      <w:pPr>
        <w:pStyle w:val="Odstavecseseznamem"/>
        <w:numPr>
          <w:ilvl w:val="0"/>
          <w:numId w:val="17"/>
        </w:numPr>
        <w:jc w:val="both"/>
        <w:rPr>
          <w:rFonts w:ascii="Calibri" w:hAnsi="Calibri" w:cs="Calibri"/>
          <w:sz w:val="22"/>
        </w:rPr>
      </w:pPr>
      <w:r w:rsidRPr="00FD2379">
        <w:rPr>
          <w:rFonts w:ascii="Calibri" w:hAnsi="Calibri" w:cs="Calibri"/>
          <w:sz w:val="22"/>
        </w:rPr>
        <w:t xml:space="preserve">uživatelskou dokumentaci – návod k použití a údržbě v českém jazyce 1x v tištěné a 1x v elektronické podobě (na CD/DVD nebo USB </w:t>
      </w:r>
      <w:proofErr w:type="spellStart"/>
      <w:r w:rsidRPr="00FD2379">
        <w:rPr>
          <w:rFonts w:ascii="Calibri" w:hAnsi="Calibri" w:cs="Calibri"/>
          <w:sz w:val="22"/>
        </w:rPr>
        <w:t>flash</w:t>
      </w:r>
      <w:proofErr w:type="spellEnd"/>
      <w:r w:rsidRPr="00FD2379">
        <w:rPr>
          <w:rFonts w:ascii="Calibri" w:hAnsi="Calibri" w:cs="Calibri"/>
          <w:sz w:val="22"/>
        </w:rPr>
        <w:t xml:space="preserve"> disku),</w:t>
      </w:r>
    </w:p>
    <w:p w14:paraId="574D6F99" w14:textId="3DEBAB7A" w:rsidR="009D3BA3" w:rsidRPr="00FD2379" w:rsidRDefault="009D3BA3" w:rsidP="009D3BA3">
      <w:pPr>
        <w:pStyle w:val="Odstavecseseznamem"/>
        <w:numPr>
          <w:ilvl w:val="0"/>
          <w:numId w:val="17"/>
        </w:numPr>
        <w:jc w:val="both"/>
        <w:rPr>
          <w:rFonts w:ascii="Calibri" w:hAnsi="Calibri" w:cs="Calibri"/>
          <w:sz w:val="22"/>
        </w:rPr>
      </w:pPr>
      <w:r w:rsidRPr="00FD2379">
        <w:rPr>
          <w:rFonts w:ascii="Calibri" w:hAnsi="Calibri" w:cs="Calibri"/>
          <w:sz w:val="22"/>
        </w:rPr>
        <w:t xml:space="preserve">prohlášení o shodě v českém nebo anglickém jazyce 1x v tištěné a 1x v elektronické podobě (na CD/DVD nebo USB </w:t>
      </w:r>
      <w:proofErr w:type="spellStart"/>
      <w:r w:rsidRPr="00FD2379">
        <w:rPr>
          <w:rFonts w:ascii="Calibri" w:hAnsi="Calibri" w:cs="Calibri"/>
          <w:sz w:val="22"/>
        </w:rPr>
        <w:t>flash</w:t>
      </w:r>
      <w:proofErr w:type="spellEnd"/>
      <w:r w:rsidRPr="00FD2379">
        <w:rPr>
          <w:rFonts w:ascii="Calibri" w:hAnsi="Calibri" w:cs="Calibri"/>
          <w:sz w:val="22"/>
        </w:rPr>
        <w:t xml:space="preserve"> disku)</w:t>
      </w:r>
    </w:p>
    <w:p w14:paraId="6586FC49" w14:textId="29975230" w:rsidR="00956CD0" w:rsidRPr="00FD2379" w:rsidRDefault="00956CD0" w:rsidP="009D3BA3">
      <w:pPr>
        <w:pStyle w:val="Odstavecseseznamem"/>
        <w:numPr>
          <w:ilvl w:val="0"/>
          <w:numId w:val="17"/>
        </w:numPr>
        <w:jc w:val="both"/>
        <w:rPr>
          <w:rFonts w:ascii="Calibri" w:hAnsi="Calibri" w:cs="Calibri"/>
          <w:sz w:val="22"/>
        </w:rPr>
      </w:pPr>
      <w:r w:rsidRPr="00FD2379">
        <w:rPr>
          <w:rFonts w:ascii="Calibri" w:hAnsi="Calibri" w:cs="Calibri"/>
          <w:sz w:val="22"/>
        </w:rPr>
        <w:t>technickou dokumentaci,</w:t>
      </w:r>
    </w:p>
    <w:p w14:paraId="73393190" w14:textId="4502F39C" w:rsidR="00956CD0" w:rsidRPr="00FD2379" w:rsidRDefault="00956CD0" w:rsidP="009D3BA3">
      <w:pPr>
        <w:pStyle w:val="Odstavecseseznamem"/>
        <w:numPr>
          <w:ilvl w:val="0"/>
          <w:numId w:val="17"/>
        </w:numPr>
        <w:jc w:val="both"/>
        <w:rPr>
          <w:rFonts w:ascii="Calibri" w:hAnsi="Calibri" w:cs="Calibri"/>
          <w:sz w:val="22"/>
        </w:rPr>
      </w:pPr>
      <w:r w:rsidRPr="00FD2379">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Pr="001704FC"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Věc se považuje 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33C77ABE" w14:textId="77777777" w:rsidR="000C030D" w:rsidRPr="001704FC" w:rsidRDefault="000C030D" w:rsidP="000C030D">
      <w:pPr>
        <w:pStyle w:val="Odstavecseseznamem"/>
        <w:numPr>
          <w:ilvl w:val="0"/>
          <w:numId w:val="0"/>
        </w:numPr>
        <w:spacing w:before="0"/>
        <w:ind w:left="792"/>
        <w:jc w:val="both"/>
        <w:rPr>
          <w:rFonts w:ascii="Calibri" w:hAnsi="Calibri" w:cs="Calibri"/>
          <w:sz w:val="22"/>
        </w:rPr>
      </w:pPr>
    </w:p>
    <w:p w14:paraId="42C3CD80" w14:textId="77777777" w:rsidR="00407C90" w:rsidRDefault="00407C90" w:rsidP="000C030D">
      <w:pPr>
        <w:pStyle w:val="Odstavecseseznamem"/>
        <w:numPr>
          <w:ilvl w:val="0"/>
          <w:numId w:val="0"/>
        </w:numPr>
        <w:spacing w:before="0"/>
        <w:ind w:left="792"/>
        <w:jc w:val="both"/>
        <w:rPr>
          <w:rFonts w:ascii="Calibri" w:hAnsi="Calibri" w:cs="Calibri"/>
          <w:sz w:val="22"/>
        </w:rPr>
      </w:pPr>
    </w:p>
    <w:p w14:paraId="081A8A98" w14:textId="77777777" w:rsidR="00F77C1E" w:rsidRDefault="00F77C1E" w:rsidP="000C030D">
      <w:pPr>
        <w:pStyle w:val="Odstavecseseznamem"/>
        <w:numPr>
          <w:ilvl w:val="0"/>
          <w:numId w:val="0"/>
        </w:numPr>
        <w:spacing w:before="0"/>
        <w:ind w:left="792"/>
        <w:jc w:val="both"/>
        <w:rPr>
          <w:rFonts w:ascii="Calibri" w:hAnsi="Calibri" w:cs="Calibri"/>
          <w:sz w:val="22"/>
        </w:rPr>
      </w:pPr>
    </w:p>
    <w:p w14:paraId="243E5D17" w14:textId="77777777" w:rsidR="00F77C1E" w:rsidRDefault="00F77C1E" w:rsidP="000C030D">
      <w:pPr>
        <w:pStyle w:val="Odstavecseseznamem"/>
        <w:numPr>
          <w:ilvl w:val="0"/>
          <w:numId w:val="0"/>
        </w:numPr>
        <w:spacing w:before="0"/>
        <w:ind w:left="792"/>
        <w:jc w:val="both"/>
        <w:rPr>
          <w:rFonts w:ascii="Calibri" w:hAnsi="Calibri" w:cs="Calibri"/>
          <w:sz w:val="22"/>
        </w:rPr>
      </w:pPr>
    </w:p>
    <w:p w14:paraId="3B69CD8C" w14:textId="77777777" w:rsidR="00F77C1E" w:rsidRDefault="00F77C1E" w:rsidP="000C030D">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7A540A12"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DA76E4">
        <w:rPr>
          <w:rFonts w:ascii="Calibri" w:hAnsi="Calibri" w:cs="Calibri"/>
          <w:sz w:val="22"/>
        </w:rPr>
        <w:t xml:space="preserve"> </w:t>
      </w:r>
      <w:r w:rsidR="00DA76E4" w:rsidRPr="00DA76E4">
        <w:rPr>
          <w:rFonts w:ascii="Calibri" w:hAnsi="Calibri" w:cs="Calibri"/>
          <w:b/>
          <w:bCs/>
          <w:sz w:val="22"/>
        </w:rPr>
        <w:t>596 190,00 Kč</w:t>
      </w:r>
      <w:r w:rsidR="003E765C" w:rsidRPr="00DA76E4">
        <w:rPr>
          <w:rFonts w:ascii="Calibri" w:hAnsi="Calibri" w:cs="Calibri"/>
          <w:b/>
          <w:bCs/>
          <w:sz w:val="22"/>
        </w:rPr>
        <w:t>,</w:t>
      </w:r>
      <w:r w:rsidR="003E765C" w:rsidRPr="001704FC">
        <w:rPr>
          <w:rFonts w:ascii="Calibri" w:hAnsi="Calibri" w:cs="Calibri"/>
          <w:sz w:val="22"/>
        </w:rPr>
        <w:t xml:space="preserve"> </w:t>
      </w:r>
      <w:r w:rsidRPr="001704FC">
        <w:rPr>
          <w:rFonts w:ascii="Calibri" w:hAnsi="Calibri" w:cs="Calibri"/>
          <w:sz w:val="22"/>
        </w:rPr>
        <w:t>celková výše DPH je</w:t>
      </w:r>
      <w:r w:rsidR="00DA76E4">
        <w:rPr>
          <w:rFonts w:ascii="Calibri" w:hAnsi="Calibri" w:cs="Calibri"/>
          <w:sz w:val="22"/>
        </w:rPr>
        <w:t xml:space="preserve"> 125 199,90 Kč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DA76E4">
        <w:rPr>
          <w:rFonts w:ascii="Calibri" w:hAnsi="Calibri" w:cs="Calibri"/>
          <w:sz w:val="22"/>
        </w:rPr>
        <w:t xml:space="preserve"> </w:t>
      </w:r>
      <w:r w:rsidR="00DA76E4">
        <w:rPr>
          <w:rFonts w:ascii="Calibri" w:hAnsi="Calibri" w:cs="Calibri"/>
          <w:b/>
          <w:bCs/>
          <w:sz w:val="22"/>
        </w:rPr>
        <w:t>721 389,90 Kč</w:t>
      </w:r>
      <w:r w:rsidR="00C11B07" w:rsidRPr="001704FC">
        <w:rPr>
          <w:rFonts w:ascii="Calibri" w:hAnsi="Calibri" w:cs="Calibri"/>
          <w:sz w:val="22"/>
        </w:rPr>
        <w:t xml:space="preserve"> </w:t>
      </w:r>
      <w:r w:rsidR="00F640AE" w:rsidRPr="001704FC">
        <w:rPr>
          <w:rFonts w:ascii="Calibri" w:hAnsi="Calibri" w:cs="Calibri"/>
          <w:sz w:val="22"/>
        </w:rPr>
        <w:t>(slovy:</w:t>
      </w:r>
      <w:r w:rsidR="00DA76E4">
        <w:rPr>
          <w:rFonts w:ascii="Calibri" w:hAnsi="Calibri" w:cs="Calibri"/>
          <w:sz w:val="22"/>
        </w:rPr>
        <w:t xml:space="preserve"> Sedm set dvacet jedna tisíc tři sta osmdesát devět korun českých a devadesát haléřů</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4DC3ABBD" w14:textId="77777777"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má právo vystavit a předat kupujícímu daňový doklad (fakturu) až po převzetí věci kupujícím.</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28 zákona č. 235/2004 Sb., o dani z přidané hodnoty, ve znění pozdějších předpisů. V případě, že faktura nebude obsahovat předepsané náležitosti, je kupující oprávněn ji zaslat ve lhůtě splatnosti zpět 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36A92A1A"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3A73CF27" w14:textId="51C05505"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11721E29"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7B1149E3" w14:textId="278BD4EA"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se zavazuje provést úhradu kupní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1F5B8301" w14:textId="35EC0136" w:rsidR="00721EAB" w:rsidRPr="00935114" w:rsidRDefault="00721EAB" w:rsidP="0093511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631405">
        <w:rPr>
          <w:rFonts w:ascii="Calibri" w:hAnsi="Calibri" w:cs="Calibri"/>
          <w:b/>
          <w:bCs/>
          <w:color w:val="262626"/>
          <w:sz w:val="22"/>
        </w:rPr>
        <w:t>Dodavatel se zavazuje zajistit servisní služby na dodané zboží u kupujícího, tj. v místě fyzické přítomnosti zboží.</w:t>
      </w:r>
      <w:r w:rsidR="00920258" w:rsidRPr="00631405">
        <w:rPr>
          <w:rFonts w:ascii="Calibri" w:hAnsi="Calibri" w:cs="Calibri"/>
          <w:b/>
          <w:bCs/>
          <w:color w:val="262626"/>
          <w:sz w:val="22"/>
        </w:rPr>
        <w:t xml:space="preserve"> Servisní kontakt dodavatele:</w:t>
      </w:r>
      <w:r w:rsidR="00935114">
        <w:rPr>
          <w:rFonts w:ascii="Calibri" w:hAnsi="Calibri" w:cs="Calibri"/>
          <w:b/>
          <w:bCs/>
          <w:color w:val="262626"/>
          <w:sz w:val="22"/>
        </w:rPr>
        <w:t xml:space="preserve"> </w:t>
      </w:r>
      <w:proofErr w:type="spellStart"/>
      <w:r w:rsidR="00F35F83">
        <w:rPr>
          <w:rFonts w:ascii="Calibri" w:hAnsi="Calibri" w:cs="Calibri"/>
          <w:b/>
          <w:bCs/>
          <w:color w:val="262626"/>
          <w:sz w:val="22"/>
        </w:rPr>
        <w:t>xxxxxxxxxxxxxxxxxxxxxxxxxxxxxxxxxx</w:t>
      </w:r>
      <w:proofErr w:type="spellEnd"/>
      <w:r w:rsidR="00935114">
        <w:rPr>
          <w:rFonts w:ascii="Calibri" w:hAnsi="Calibri" w:cs="Calibri"/>
          <w:b/>
          <w:bCs/>
          <w:color w:val="262626"/>
          <w:sz w:val="22"/>
        </w:rPr>
        <w:t xml:space="preserve"> .</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13AB15A1" w:rsidR="001F27F5" w:rsidRPr="00182B03"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82B03">
        <w:rPr>
          <w:rFonts w:ascii="Calibri" w:hAnsi="Calibri" w:cs="Calibri"/>
          <w:color w:val="262626"/>
          <w:sz w:val="22"/>
        </w:rPr>
        <w:t xml:space="preserve">Prodávající poskytuje na věc </w:t>
      </w:r>
      <w:r w:rsidRPr="00182B03">
        <w:rPr>
          <w:rFonts w:ascii="Calibri" w:hAnsi="Calibri" w:cs="Calibri"/>
          <w:b/>
          <w:bCs/>
          <w:color w:val="262626"/>
          <w:sz w:val="22"/>
        </w:rPr>
        <w:t>záruku v</w:t>
      </w:r>
      <w:r w:rsidR="001F2600" w:rsidRPr="00182B03">
        <w:rPr>
          <w:rFonts w:ascii="Calibri" w:hAnsi="Calibri" w:cs="Calibri"/>
          <w:b/>
          <w:bCs/>
          <w:color w:val="262626"/>
          <w:sz w:val="22"/>
        </w:rPr>
        <w:t> </w:t>
      </w:r>
      <w:r w:rsidRPr="00182B03">
        <w:rPr>
          <w:rFonts w:ascii="Calibri" w:hAnsi="Calibri" w:cs="Calibri"/>
          <w:b/>
          <w:bCs/>
          <w:color w:val="262626"/>
          <w:sz w:val="22"/>
        </w:rPr>
        <w:t>délce</w:t>
      </w:r>
      <w:r w:rsidR="001F2600" w:rsidRPr="00182B03">
        <w:rPr>
          <w:rFonts w:ascii="Calibri" w:hAnsi="Calibri" w:cs="Calibri"/>
          <w:b/>
          <w:bCs/>
          <w:color w:val="262626"/>
          <w:sz w:val="22"/>
        </w:rPr>
        <w:t xml:space="preserve"> minimálně </w:t>
      </w:r>
      <w:r w:rsidR="007C299A" w:rsidRPr="00182B03">
        <w:rPr>
          <w:rFonts w:ascii="Calibri" w:hAnsi="Calibri" w:cs="Calibri"/>
          <w:b/>
          <w:bCs/>
          <w:color w:val="262626"/>
          <w:sz w:val="22"/>
        </w:rPr>
        <w:t>24</w:t>
      </w:r>
      <w:r w:rsidR="001F2600" w:rsidRPr="00182B03">
        <w:rPr>
          <w:rFonts w:ascii="Calibri" w:hAnsi="Calibri" w:cs="Calibri"/>
          <w:b/>
          <w:bCs/>
          <w:color w:val="262626"/>
          <w:sz w:val="22"/>
        </w:rPr>
        <w:t xml:space="preserve"> měsíců </w:t>
      </w:r>
      <w:r w:rsidRPr="00182B03">
        <w:rPr>
          <w:rFonts w:ascii="Calibri" w:hAnsi="Calibri" w:cs="Calibri"/>
          <w:b/>
          <w:bCs/>
          <w:color w:val="262626"/>
          <w:sz w:val="22"/>
        </w:rPr>
        <w:t>ode dne převzetí věci kupujícím</w:t>
      </w:r>
      <w:r w:rsidRPr="00182B03">
        <w:rPr>
          <w:rFonts w:ascii="Calibri" w:hAnsi="Calibri" w:cs="Calibri"/>
          <w:color w:val="262626"/>
          <w:sz w:val="22"/>
        </w:rPr>
        <w:t xml:space="preserve">, </w:t>
      </w:r>
      <w:r w:rsidRPr="00182B03">
        <w:rPr>
          <w:rFonts w:ascii="Calibri" w:hAnsi="Calibri" w:cs="Calibri"/>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3940E0D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72941E3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lastRenderedPageBreak/>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5B5C2F1" w14:textId="77777777" w:rsidR="00721EAB" w:rsidRPr="001704FC"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3E4151D0"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36 měsíců </w:t>
      </w:r>
      <w:r w:rsidRPr="001704FC">
        <w:rPr>
          <w:rFonts w:ascii="Calibri" w:hAnsi="Calibri" w:cs="Calibri"/>
          <w:color w:val="262626"/>
          <w:sz w:val="22"/>
        </w:rPr>
        <w:t>ode dne převzetí nové věci kupujícím, není-li v příloze č. 01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78A38177" w:rsidR="00EE2B71" w:rsidRPr="00631405"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631405">
        <w:rPr>
          <w:rFonts w:ascii="Calibri" w:hAnsi="Calibri" w:cs="Calibri"/>
          <w:b/>
          <w:bCs/>
          <w:color w:val="262626"/>
          <w:sz w:val="22"/>
        </w:rPr>
        <w:t>Prodávající se zavazuje zřídit a po celou záruční dob</w:t>
      </w:r>
      <w:r w:rsidR="00935114">
        <w:rPr>
          <w:rFonts w:ascii="Calibri" w:hAnsi="Calibri" w:cs="Calibri"/>
          <w:b/>
          <w:bCs/>
          <w:color w:val="262626"/>
          <w:sz w:val="22"/>
        </w:rPr>
        <w:t>u</w:t>
      </w:r>
      <w:r w:rsidRPr="00631405">
        <w:rPr>
          <w:rFonts w:ascii="Calibri" w:hAnsi="Calibri" w:cs="Calibri"/>
          <w:b/>
          <w:bCs/>
          <w:color w:val="262626"/>
          <w:sz w:val="22"/>
        </w:rPr>
        <w:t xml:space="preserve"> udržovat v provozu e-mailové kontaktní místo pro uplatnění práva z vady:</w:t>
      </w:r>
      <w:r w:rsidR="00935114">
        <w:rPr>
          <w:rFonts w:ascii="Calibri" w:hAnsi="Calibri" w:cs="Calibri"/>
          <w:b/>
          <w:bCs/>
          <w:color w:val="262626"/>
          <w:sz w:val="22"/>
        </w:rPr>
        <w:t xml:space="preserve"> </w:t>
      </w:r>
      <w:hyperlink r:id="rId12" w:history="1">
        <w:r w:rsidR="00935114" w:rsidRPr="000F1B79">
          <w:rPr>
            <w:rStyle w:val="Hypertextovodkaz"/>
            <w:rFonts w:ascii="Calibri" w:hAnsi="Calibri" w:cs="Calibri"/>
            <w:b/>
            <w:bCs/>
            <w:sz w:val="22"/>
          </w:rPr>
          <w:t>https://mevracomp.cz/reklamace/</w:t>
        </w:r>
      </w:hyperlink>
      <w:r w:rsidR="00935114">
        <w:rPr>
          <w:rFonts w:ascii="Calibri" w:hAnsi="Calibri" w:cs="Calibri"/>
          <w:b/>
          <w:bCs/>
          <w:color w:val="262626"/>
          <w:sz w:val="22"/>
        </w:rPr>
        <w:t xml:space="preserve"> ,</w:t>
      </w:r>
      <w:r w:rsidR="00B86784">
        <w:rPr>
          <w:rFonts w:ascii="Calibri" w:hAnsi="Calibri" w:cs="Calibri"/>
          <w:b/>
          <w:bCs/>
          <w:color w:val="262626"/>
          <w:sz w:val="22"/>
        </w:rPr>
        <w:t xml:space="preserve"> </w:t>
      </w:r>
      <w:proofErr w:type="spellStart"/>
      <w:r w:rsidR="004A21BD" w:rsidRPr="00D21259">
        <w:rPr>
          <w:b/>
          <w:bCs/>
        </w:rPr>
        <w:t>xxxxxxxxxxxxxxxxxxxx</w:t>
      </w:r>
      <w:proofErr w:type="spellEnd"/>
      <w:r w:rsidR="00935114" w:rsidRPr="00D21259">
        <w:rPr>
          <w:rFonts w:ascii="Calibri" w:hAnsi="Calibri" w:cs="Calibri"/>
          <w:b/>
          <w:bCs/>
          <w:color w:val="262626"/>
          <w:sz w:val="22"/>
        </w:rPr>
        <w:t>.</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56656BD9"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včetně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214FEE6A"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Nedodrží-li kupující lhůtu splatnosti faktury podle této smlouvy, je povinen uhradit prodávajícímu úrok z prodlení ve výši 0,1 % z celkové kupní ceny včetně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5B5BBBA8"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V případě neplnění povinností, vyplývajících z povinnosti prodávajícího dodržet požadovanou záruku a podporu dle ustanovení této smlouvy, je kupující oprávněn vyúčtovat prodávajícímu smluvní pokutu ve 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344EB825" w14:textId="77777777" w:rsidR="005950B2" w:rsidRP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4A1EAADD" w14:textId="44E33336"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 xml:space="preserve">Nedílnou součást smlouvy tvoří </w:t>
      </w:r>
      <w:r w:rsidR="001D16A8" w:rsidRPr="001704FC">
        <w:rPr>
          <w:rFonts w:ascii="Calibri" w:hAnsi="Calibri" w:cs="Calibri"/>
          <w:sz w:val="22"/>
        </w:rPr>
        <w:t>p</w:t>
      </w:r>
      <w:r w:rsidRPr="001704FC">
        <w:rPr>
          <w:rFonts w:ascii="Calibri" w:hAnsi="Calibri" w:cs="Calibri"/>
          <w:sz w:val="22"/>
        </w:rPr>
        <w:t>říloha č. 1 –</w:t>
      </w:r>
      <w:r w:rsidR="007855C6">
        <w:rPr>
          <w:rFonts w:ascii="Calibri" w:hAnsi="Calibri" w:cs="Calibri"/>
          <w:sz w:val="22"/>
        </w:rPr>
        <w:t xml:space="preserve"> S</w:t>
      </w:r>
      <w:r w:rsidRPr="001704FC">
        <w:rPr>
          <w:rFonts w:ascii="Calibri" w:hAnsi="Calibri" w:cs="Calibri"/>
          <w:sz w:val="22"/>
        </w:rPr>
        <w:t>pecifikace</w:t>
      </w:r>
      <w:r w:rsidR="00305A6C" w:rsidRPr="001704FC">
        <w:rPr>
          <w:rFonts w:ascii="Calibri" w:hAnsi="Calibri" w:cs="Calibri"/>
          <w:sz w:val="22"/>
        </w:rPr>
        <w:t xml:space="preserve"> </w:t>
      </w:r>
      <w:r w:rsidR="00904D1C" w:rsidRPr="001704FC">
        <w:rPr>
          <w:rFonts w:ascii="Calibri" w:hAnsi="Calibri" w:cs="Calibri"/>
          <w:sz w:val="22"/>
        </w:rPr>
        <w:t xml:space="preserve">- </w:t>
      </w:r>
      <w:r w:rsidR="001A568D">
        <w:rPr>
          <w:rFonts w:ascii="Calibri" w:hAnsi="Calibri" w:cs="Calibri"/>
          <w:sz w:val="22"/>
        </w:rPr>
        <w:t>monitory</w:t>
      </w:r>
      <w:r w:rsidRPr="001704FC">
        <w:rPr>
          <w:rFonts w:ascii="Calibri" w:hAnsi="Calibri" w:cs="Calibri"/>
          <w:sz w:val="22"/>
        </w:rPr>
        <w:t>.</w:t>
      </w:r>
    </w:p>
    <w:p w14:paraId="55BD9C93" w14:textId="77777777" w:rsidR="00EB1781" w:rsidRPr="001704FC" w:rsidRDefault="00EB1781" w:rsidP="00EB1781">
      <w:pPr>
        <w:pStyle w:val="Odstavecseseznamem"/>
        <w:numPr>
          <w:ilvl w:val="0"/>
          <w:numId w:val="0"/>
        </w:numPr>
        <w:ind w:left="792"/>
        <w:jc w:val="both"/>
        <w:rPr>
          <w:rFonts w:ascii="Calibri" w:hAnsi="Calibri" w:cs="Calibri"/>
          <w:sz w:val="22"/>
        </w:rPr>
      </w:pPr>
    </w:p>
    <w:p w14:paraId="6A077018" w14:textId="7F7E0BB3" w:rsidR="00F94A1B" w:rsidRDefault="00D02EBC" w:rsidP="00572C87">
      <w:pPr>
        <w:pStyle w:val="Odstavecseseznamem"/>
        <w:numPr>
          <w:ilvl w:val="1"/>
          <w:numId w:val="12"/>
        </w:numPr>
        <w:ind w:left="851" w:hanging="491"/>
        <w:jc w:val="both"/>
        <w:rPr>
          <w:rFonts w:ascii="Calibri" w:hAnsi="Calibri" w:cs="Calibri"/>
          <w:sz w:val="22"/>
        </w:rPr>
      </w:pPr>
      <w:r w:rsidRPr="001704FC">
        <w:rPr>
          <w:rFonts w:ascii="Calibri" w:hAnsi="Calibri" w:cs="Calibri"/>
          <w:sz w:val="22"/>
        </w:rPr>
        <w:t xml:space="preserve">Tato smlouva nabývá platnosti v den jejího podpisu oběma smluvními stranami a </w:t>
      </w:r>
      <w:r w:rsidRPr="00824C5F">
        <w:rPr>
          <w:rFonts w:ascii="Calibri" w:hAnsi="Calibri" w:cs="Calibri"/>
          <w:b/>
          <w:bCs/>
          <w:sz w:val="22"/>
        </w:rPr>
        <w:t xml:space="preserve">účinnosti dnem zveřejnění v </w:t>
      </w:r>
      <w:r w:rsidR="00363BE9" w:rsidRPr="00824C5F">
        <w:rPr>
          <w:rFonts w:ascii="Calibri" w:hAnsi="Calibri" w:cs="Calibri"/>
          <w:b/>
          <w:bCs/>
          <w:sz w:val="22"/>
        </w:rPr>
        <w:t>R</w:t>
      </w:r>
      <w:r w:rsidRPr="00824C5F">
        <w:rPr>
          <w:rFonts w:ascii="Calibri" w:hAnsi="Calibri" w:cs="Calibri"/>
          <w:b/>
          <w:bCs/>
          <w:sz w:val="22"/>
        </w:rPr>
        <w:t>egistru smluv</w:t>
      </w:r>
      <w:r w:rsidRPr="001704FC">
        <w:rPr>
          <w:rFonts w:ascii="Calibri" w:hAnsi="Calibri" w:cs="Calibri"/>
          <w:sz w:val="22"/>
        </w:rPr>
        <w:t>.</w:t>
      </w:r>
    </w:p>
    <w:p w14:paraId="3C3792BD" w14:textId="77777777" w:rsidR="00572C87" w:rsidRPr="00572C87" w:rsidRDefault="00572C87" w:rsidP="00572C87">
      <w:pPr>
        <w:pStyle w:val="Odstavecseseznamem"/>
        <w:numPr>
          <w:ilvl w:val="0"/>
          <w:numId w:val="0"/>
        </w:numPr>
        <w:ind w:left="851"/>
        <w:jc w:val="both"/>
        <w:rPr>
          <w:rFonts w:ascii="Calibri" w:hAnsi="Calibri" w:cs="Calibri"/>
          <w:sz w:val="22"/>
        </w:rPr>
      </w:pPr>
    </w:p>
    <w:p w14:paraId="587CF038" w14:textId="77777777" w:rsidR="00001569" w:rsidRPr="001704FC" w:rsidRDefault="00D02EBC" w:rsidP="00001569">
      <w:pPr>
        <w:pStyle w:val="Odstavecseseznamem"/>
        <w:numPr>
          <w:ilvl w:val="1"/>
          <w:numId w:val="12"/>
        </w:numPr>
        <w:ind w:left="851" w:hanging="491"/>
        <w:jc w:val="both"/>
        <w:rPr>
          <w:rFonts w:ascii="Calibri" w:hAnsi="Calibri" w:cs="Calibri"/>
          <w:sz w:val="22"/>
        </w:rPr>
      </w:pPr>
      <w:r w:rsidRPr="001704FC">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6A160153" w14:textId="6E8171B0" w:rsidR="00BE54D2" w:rsidRPr="001704FC" w:rsidRDefault="00D02EBC" w:rsidP="002B6574">
      <w:pPr>
        <w:pStyle w:val="Odstavecseseznamem"/>
        <w:numPr>
          <w:ilvl w:val="1"/>
          <w:numId w:val="12"/>
        </w:numPr>
        <w:ind w:left="851" w:hanging="491"/>
        <w:jc w:val="both"/>
        <w:rPr>
          <w:rFonts w:ascii="Calibri" w:hAnsi="Calibri" w:cs="Calibri"/>
          <w:sz w:val="22"/>
        </w:rPr>
      </w:pPr>
      <w:r w:rsidRPr="001704FC">
        <w:rPr>
          <w:rFonts w:ascii="Calibri" w:hAnsi="Calibri" w:cs="Calibri"/>
          <w:sz w:val="22"/>
        </w:rPr>
        <w:lastRenderedPageBreak/>
        <w:t>Smlouva bude zveřejněna v registru smluv dle zákona č. 340/2015 Sb., a že toto zveřejnění zajistí kupující.</w:t>
      </w:r>
    </w:p>
    <w:p w14:paraId="27604177" w14:textId="77777777" w:rsidR="00263114" w:rsidRPr="001704FC" w:rsidRDefault="00263114" w:rsidP="002B6574">
      <w:pPr>
        <w:spacing w:after="0" w:line="240" w:lineRule="auto"/>
        <w:jc w:val="both"/>
        <w:rPr>
          <w:rFonts w:ascii="Calibri" w:hAnsi="Calibri" w:cs="Calibri"/>
          <w:b/>
          <w:bCs/>
          <w:sz w:val="22"/>
        </w:rPr>
      </w:pPr>
    </w:p>
    <w:p w14:paraId="6C5AABA6" w14:textId="77777777" w:rsidR="00940440" w:rsidRDefault="00940440" w:rsidP="002B6574">
      <w:pPr>
        <w:spacing w:after="0" w:line="240" w:lineRule="auto"/>
        <w:jc w:val="both"/>
        <w:rPr>
          <w:rFonts w:ascii="Calibri" w:hAnsi="Calibri" w:cs="Calibri"/>
          <w:b/>
          <w:bCs/>
          <w:sz w:val="22"/>
        </w:rPr>
      </w:pPr>
    </w:p>
    <w:p w14:paraId="762098A8" w14:textId="391EC43A" w:rsidR="00557658" w:rsidRPr="001704FC" w:rsidRDefault="00557658" w:rsidP="002B6574">
      <w:pPr>
        <w:spacing w:after="0" w:line="240" w:lineRule="auto"/>
        <w:jc w:val="both"/>
        <w:rPr>
          <w:rFonts w:ascii="Calibri" w:hAnsi="Calibri" w:cs="Calibri"/>
          <w:b/>
          <w:bCs/>
          <w:sz w:val="22"/>
        </w:rPr>
      </w:pPr>
      <w:r w:rsidRPr="001704FC">
        <w:rPr>
          <w:rFonts w:ascii="Calibri" w:hAnsi="Calibri" w:cs="Calibri"/>
          <w:b/>
          <w:bCs/>
          <w:sz w:val="22"/>
        </w:rPr>
        <w:t>Přílohy smlouvy:</w:t>
      </w:r>
    </w:p>
    <w:p w14:paraId="1C689163" w14:textId="3942A175" w:rsidR="00557658" w:rsidRPr="001704FC" w:rsidRDefault="007A2B9C" w:rsidP="005D4347">
      <w:pPr>
        <w:spacing w:after="0" w:line="240" w:lineRule="auto"/>
        <w:ind w:firstLine="708"/>
        <w:jc w:val="both"/>
        <w:rPr>
          <w:rFonts w:ascii="Calibri" w:hAnsi="Calibri" w:cs="Calibri"/>
          <w:b/>
          <w:bCs/>
          <w:i/>
          <w:iCs/>
          <w:sz w:val="22"/>
        </w:rPr>
      </w:pPr>
      <w:r w:rsidRPr="001704FC">
        <w:rPr>
          <w:rFonts w:ascii="Calibri" w:hAnsi="Calibri" w:cs="Calibri"/>
          <w:b/>
          <w:bCs/>
          <w:i/>
          <w:iCs/>
          <w:sz w:val="22"/>
        </w:rPr>
        <w:t>Příloha č. 1</w:t>
      </w:r>
      <w:r w:rsidR="00904D1C" w:rsidRPr="001704FC">
        <w:rPr>
          <w:rFonts w:ascii="Calibri" w:hAnsi="Calibri" w:cs="Calibri"/>
          <w:b/>
          <w:bCs/>
          <w:i/>
          <w:iCs/>
          <w:sz w:val="22"/>
        </w:rPr>
        <w:t>:</w:t>
      </w:r>
      <w:r w:rsidR="00904D1C" w:rsidRPr="001704FC">
        <w:rPr>
          <w:rFonts w:ascii="Calibri" w:hAnsi="Calibri" w:cs="Calibri"/>
          <w:b/>
          <w:bCs/>
          <w:i/>
          <w:iCs/>
          <w:sz w:val="22"/>
        </w:rPr>
        <w:tab/>
      </w:r>
      <w:r w:rsidR="004A15ED">
        <w:rPr>
          <w:rFonts w:ascii="Calibri" w:hAnsi="Calibri" w:cs="Calibri"/>
          <w:b/>
          <w:bCs/>
          <w:i/>
          <w:iCs/>
          <w:sz w:val="22"/>
        </w:rPr>
        <w:t>S</w:t>
      </w:r>
      <w:r w:rsidR="004271DF" w:rsidRPr="001704FC">
        <w:rPr>
          <w:rFonts w:ascii="Calibri" w:hAnsi="Calibri" w:cs="Calibri"/>
          <w:b/>
          <w:bCs/>
          <w:i/>
          <w:iCs/>
          <w:sz w:val="22"/>
        </w:rPr>
        <w:t xml:space="preserve">pecifikace </w:t>
      </w:r>
      <w:r w:rsidR="00904D1C" w:rsidRPr="001704FC">
        <w:rPr>
          <w:rFonts w:ascii="Calibri" w:hAnsi="Calibri" w:cs="Calibri"/>
          <w:b/>
          <w:bCs/>
          <w:i/>
          <w:iCs/>
          <w:sz w:val="22"/>
        </w:rPr>
        <w:t xml:space="preserve">- </w:t>
      </w:r>
      <w:r w:rsidR="006525CD">
        <w:rPr>
          <w:rFonts w:ascii="Calibri" w:hAnsi="Calibri" w:cs="Calibri"/>
          <w:b/>
          <w:bCs/>
          <w:i/>
          <w:iCs/>
          <w:sz w:val="22"/>
        </w:rPr>
        <w:t>monitory</w:t>
      </w:r>
    </w:p>
    <w:p w14:paraId="73CFC30D" w14:textId="77777777" w:rsidR="005E4B4C" w:rsidRDefault="005E4B4C" w:rsidP="004C1231">
      <w:pPr>
        <w:rPr>
          <w:rFonts w:ascii="Calibri" w:hAnsi="Calibri" w:cs="Calibri"/>
          <w:sz w:val="22"/>
        </w:rPr>
      </w:pPr>
    </w:p>
    <w:p w14:paraId="724301A4" w14:textId="77777777" w:rsidR="005E4B4C" w:rsidRDefault="005E4B4C" w:rsidP="004C1231">
      <w:pPr>
        <w:rPr>
          <w:rFonts w:ascii="Calibri" w:hAnsi="Calibri" w:cs="Calibri"/>
          <w:sz w:val="22"/>
        </w:rPr>
      </w:pPr>
    </w:p>
    <w:p w14:paraId="00EC6711" w14:textId="351B65E9" w:rsidR="00557658" w:rsidRPr="001704FC" w:rsidRDefault="002345AC" w:rsidP="004C1231">
      <w:pPr>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Pr="001704FC">
        <w:rPr>
          <w:rFonts w:ascii="Calibri" w:hAnsi="Calibri" w:cs="Calibri"/>
          <w:sz w:val="22"/>
        </w:rPr>
        <w:t>:</w:t>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005E4B4C">
        <w:rPr>
          <w:rFonts w:ascii="Calibri" w:hAnsi="Calibri" w:cs="Calibri"/>
          <w:sz w:val="22"/>
        </w:rPr>
        <w:tab/>
      </w:r>
      <w:r w:rsidRPr="001704FC">
        <w:rPr>
          <w:rFonts w:ascii="Calibri" w:hAnsi="Calibri" w:cs="Calibri"/>
          <w:sz w:val="22"/>
        </w:rPr>
        <w:t>Za prodávajícího</w:t>
      </w:r>
      <w:r w:rsidR="005E4B4C">
        <w:rPr>
          <w:rFonts w:ascii="Calibri" w:hAnsi="Calibri" w:cs="Calibri"/>
          <w:sz w:val="22"/>
        </w:rPr>
        <w:t xml:space="preserve"> </w:t>
      </w:r>
      <w:r w:rsidR="00935114">
        <w:rPr>
          <w:rFonts w:ascii="Calibri" w:hAnsi="Calibri" w:cs="Calibri"/>
          <w:b/>
          <w:bCs/>
          <w:sz w:val="22"/>
        </w:rPr>
        <w:t>Mevra computers s.r.o.</w:t>
      </w:r>
    </w:p>
    <w:p w14:paraId="7583C270" w14:textId="77777777" w:rsidR="005E4B4C" w:rsidRDefault="005E4B4C" w:rsidP="004C1231">
      <w:pPr>
        <w:spacing w:after="0" w:line="240" w:lineRule="auto"/>
        <w:contextualSpacing/>
        <w:rPr>
          <w:rFonts w:ascii="Calibri" w:hAnsi="Calibri" w:cs="Calibri"/>
          <w:sz w:val="22"/>
        </w:rPr>
      </w:pPr>
    </w:p>
    <w:p w14:paraId="4B479625" w14:textId="6F0B7E27" w:rsidR="00557658" w:rsidRPr="001704FC" w:rsidRDefault="00557658" w:rsidP="004C1231">
      <w:pPr>
        <w:spacing w:after="0" w:line="240" w:lineRule="auto"/>
        <w:contextualSpacing/>
        <w:rPr>
          <w:rFonts w:ascii="Calibri" w:hAnsi="Calibri" w:cs="Calibri"/>
          <w:sz w:val="22"/>
        </w:rPr>
      </w:pPr>
      <w:r w:rsidRPr="001704FC">
        <w:rPr>
          <w:rFonts w:ascii="Calibri" w:hAnsi="Calibri" w:cs="Calibri"/>
          <w:sz w:val="22"/>
        </w:rPr>
        <w:t>V Ústí nad Labem</w:t>
      </w:r>
      <w:r w:rsidR="000657E2" w:rsidRPr="001704FC">
        <w:rPr>
          <w:rFonts w:ascii="Calibri" w:hAnsi="Calibri" w:cs="Calibri"/>
          <w:sz w:val="22"/>
        </w:rPr>
        <w:t xml:space="preserve"> dne</w:t>
      </w:r>
      <w:r w:rsidR="00AC581E" w:rsidRPr="001704FC">
        <w:rPr>
          <w:rFonts w:ascii="Calibri" w:hAnsi="Calibri" w:cs="Calibri"/>
          <w:sz w:val="22"/>
        </w:rPr>
        <w:tab/>
      </w:r>
      <w:r w:rsidR="009C7BA4" w:rsidRPr="001704FC">
        <w:rPr>
          <w:rFonts w:ascii="Calibri" w:hAnsi="Calibri" w:cs="Calibri"/>
          <w:sz w:val="22"/>
        </w:rPr>
        <w:tab/>
      </w:r>
      <w:r w:rsidR="009C7BA4" w:rsidRPr="001704FC">
        <w:rPr>
          <w:rFonts w:ascii="Calibri" w:hAnsi="Calibri" w:cs="Calibri"/>
          <w:sz w:val="22"/>
        </w:rPr>
        <w:tab/>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Pr="001704FC">
        <w:rPr>
          <w:rFonts w:ascii="Calibri" w:hAnsi="Calibri" w:cs="Calibri"/>
          <w:sz w:val="22"/>
        </w:rPr>
        <w:t>V</w:t>
      </w:r>
      <w:r w:rsidR="00935114">
        <w:rPr>
          <w:rFonts w:ascii="Calibri" w:hAnsi="Calibri" w:cs="Calibri"/>
          <w:sz w:val="22"/>
        </w:rPr>
        <w:t> Ostravě dne</w:t>
      </w:r>
    </w:p>
    <w:p w14:paraId="12E031C5" w14:textId="77777777" w:rsidR="00557658" w:rsidRPr="001704FC" w:rsidRDefault="00557658" w:rsidP="004C1231">
      <w:pPr>
        <w:spacing w:after="0" w:line="240" w:lineRule="auto"/>
        <w:contextualSpacing/>
        <w:rPr>
          <w:rFonts w:ascii="Calibri" w:hAnsi="Calibri" w:cs="Calibri"/>
          <w:sz w:val="22"/>
        </w:rPr>
      </w:pPr>
    </w:p>
    <w:p w14:paraId="5C49B149" w14:textId="77777777" w:rsidR="002B6574" w:rsidRPr="001704FC" w:rsidRDefault="002B6574" w:rsidP="004C1231">
      <w:pPr>
        <w:spacing w:after="0" w:line="240" w:lineRule="auto"/>
        <w:contextualSpacing/>
        <w:rPr>
          <w:rFonts w:ascii="Calibri" w:hAnsi="Calibri" w:cs="Calibri"/>
          <w:sz w:val="22"/>
        </w:rPr>
      </w:pPr>
    </w:p>
    <w:p w14:paraId="23FD3AF0" w14:textId="77777777" w:rsidR="00557658" w:rsidRPr="001704FC" w:rsidRDefault="00557658" w:rsidP="004C1231">
      <w:pPr>
        <w:spacing w:after="0" w:line="240" w:lineRule="auto"/>
        <w:contextualSpacing/>
        <w:rPr>
          <w:rFonts w:ascii="Calibri" w:hAnsi="Calibri" w:cs="Calibri"/>
          <w:sz w:val="22"/>
        </w:rPr>
      </w:pPr>
    </w:p>
    <w:p w14:paraId="0080AA51" w14:textId="77777777" w:rsidR="00BE54D2" w:rsidRPr="001704FC" w:rsidRDefault="00BE54D2" w:rsidP="004C1231">
      <w:pPr>
        <w:spacing w:after="0" w:line="240" w:lineRule="auto"/>
        <w:contextualSpacing/>
        <w:rPr>
          <w:rFonts w:ascii="Calibri" w:hAnsi="Calibri" w:cs="Calibri"/>
          <w:sz w:val="22"/>
        </w:rPr>
      </w:pPr>
    </w:p>
    <w:p w14:paraId="72FE9ECE" w14:textId="68BE2A62" w:rsidR="00557658" w:rsidRPr="001704FC" w:rsidRDefault="00F80407" w:rsidP="004C1231">
      <w:pPr>
        <w:spacing w:after="0" w:line="240" w:lineRule="auto"/>
        <w:contextualSpacing/>
        <w:rPr>
          <w:rFonts w:ascii="Calibri" w:hAnsi="Calibri" w:cs="Calibri"/>
          <w:sz w:val="22"/>
        </w:rPr>
      </w:pPr>
      <w:r w:rsidRPr="001704FC">
        <w:rPr>
          <w:rFonts w:ascii="Calibri" w:hAnsi="Calibri" w:cs="Calibri"/>
          <w:sz w:val="22"/>
        </w:rPr>
        <w:t>...............................................................................</w:t>
      </w:r>
      <w:r w:rsidR="00557658" w:rsidRPr="001704FC">
        <w:rPr>
          <w:rFonts w:ascii="Calibri" w:hAnsi="Calibri" w:cs="Calibri"/>
          <w:sz w:val="22"/>
        </w:rPr>
        <w:tab/>
      </w:r>
      <w:r w:rsidR="00557658" w:rsidRPr="001704FC">
        <w:rPr>
          <w:rFonts w:ascii="Calibri" w:hAnsi="Calibri" w:cs="Calibri"/>
          <w:sz w:val="22"/>
        </w:rPr>
        <w:tab/>
        <w:t>.........................................................</w:t>
      </w:r>
      <w:r w:rsidRPr="001704FC">
        <w:rPr>
          <w:rFonts w:ascii="Calibri" w:hAnsi="Calibri" w:cs="Calibri"/>
          <w:sz w:val="22"/>
        </w:rPr>
        <w:t>......</w:t>
      </w:r>
      <w:r w:rsidR="00557658" w:rsidRPr="001704FC">
        <w:rPr>
          <w:rFonts w:ascii="Calibri" w:hAnsi="Calibri" w:cs="Calibri"/>
          <w:sz w:val="22"/>
        </w:rPr>
        <w:tab/>
      </w:r>
    </w:p>
    <w:p w14:paraId="1A2E35EB" w14:textId="47889969" w:rsidR="002345AC" w:rsidRPr="001704FC" w:rsidRDefault="00A010B4" w:rsidP="004C1231">
      <w:pPr>
        <w:spacing w:after="0" w:line="240" w:lineRule="auto"/>
        <w:ind w:left="5664" w:hanging="5664"/>
        <w:contextualSpacing/>
        <w:rPr>
          <w:rFonts w:ascii="Calibri" w:hAnsi="Calibri" w:cs="Calibri"/>
          <w:sz w:val="22"/>
        </w:rPr>
      </w:pPr>
      <w:r w:rsidRPr="001704FC">
        <w:rPr>
          <w:rFonts w:ascii="Calibri" w:hAnsi="Calibri" w:cs="Calibri"/>
          <w:sz w:val="22"/>
        </w:rPr>
        <w:t xml:space="preserve">Martin Konečný, </w:t>
      </w:r>
      <w:r w:rsidR="002345AC" w:rsidRPr="001704FC">
        <w:rPr>
          <w:rFonts w:ascii="Calibri" w:hAnsi="Calibri" w:cs="Calibri"/>
          <w:sz w:val="22"/>
        </w:rPr>
        <w:t>předseda představenstva</w:t>
      </w:r>
      <w:r w:rsidR="002345AC" w:rsidRPr="001704FC">
        <w:rPr>
          <w:rFonts w:ascii="Calibri" w:hAnsi="Calibri" w:cs="Calibri"/>
          <w:sz w:val="22"/>
        </w:rPr>
        <w:tab/>
      </w:r>
      <w:r w:rsidR="00935114">
        <w:rPr>
          <w:rFonts w:ascii="Calibri" w:hAnsi="Calibri" w:cs="Calibri"/>
          <w:sz w:val="22"/>
        </w:rPr>
        <w:t>Ing. Petr Varecha, jednatel</w:t>
      </w:r>
    </w:p>
    <w:p w14:paraId="678EB2BB" w14:textId="77777777" w:rsidR="002B6574" w:rsidRPr="001704FC" w:rsidRDefault="002B6574" w:rsidP="004C1231">
      <w:pPr>
        <w:spacing w:after="0" w:line="240" w:lineRule="auto"/>
        <w:contextualSpacing/>
        <w:rPr>
          <w:rFonts w:ascii="Calibri" w:hAnsi="Calibri" w:cs="Calibri"/>
          <w:sz w:val="22"/>
        </w:rPr>
      </w:pPr>
    </w:p>
    <w:p w14:paraId="5209EF5A" w14:textId="77777777" w:rsidR="002345AC" w:rsidRPr="001704FC" w:rsidRDefault="002345AC" w:rsidP="004C1231">
      <w:pPr>
        <w:spacing w:after="0" w:line="240" w:lineRule="auto"/>
        <w:contextualSpacing/>
        <w:rPr>
          <w:rFonts w:ascii="Calibri" w:hAnsi="Calibri" w:cs="Calibri"/>
          <w:sz w:val="22"/>
        </w:rPr>
      </w:pPr>
    </w:p>
    <w:p w14:paraId="1739ED87" w14:textId="77777777" w:rsidR="00C83F83" w:rsidRPr="001704FC" w:rsidRDefault="00C83F83" w:rsidP="004C1231">
      <w:pPr>
        <w:spacing w:after="0" w:line="240" w:lineRule="auto"/>
        <w:contextualSpacing/>
        <w:rPr>
          <w:rFonts w:ascii="Calibri" w:hAnsi="Calibri" w:cs="Calibri"/>
          <w:sz w:val="22"/>
        </w:rPr>
      </w:pPr>
    </w:p>
    <w:p w14:paraId="59F11991" w14:textId="77777777" w:rsidR="00BE54D2" w:rsidRPr="001704FC" w:rsidRDefault="00BE54D2" w:rsidP="004C1231">
      <w:pPr>
        <w:spacing w:after="0" w:line="240" w:lineRule="auto"/>
        <w:contextualSpacing/>
        <w:rPr>
          <w:rFonts w:ascii="Calibri" w:hAnsi="Calibri" w:cs="Calibri"/>
          <w:sz w:val="22"/>
        </w:rPr>
      </w:pPr>
    </w:p>
    <w:p w14:paraId="6E70EA86" w14:textId="37037844" w:rsidR="002345AC" w:rsidRPr="001704FC" w:rsidRDefault="002345AC" w:rsidP="004C1231">
      <w:pPr>
        <w:spacing w:after="0" w:line="240" w:lineRule="auto"/>
        <w:contextualSpacing/>
        <w:rPr>
          <w:rFonts w:ascii="Calibri" w:hAnsi="Calibri" w:cs="Calibri"/>
          <w:sz w:val="22"/>
        </w:rPr>
      </w:pPr>
      <w:r w:rsidRPr="001704FC">
        <w:rPr>
          <w:rFonts w:ascii="Calibri" w:hAnsi="Calibri" w:cs="Calibri"/>
          <w:sz w:val="22"/>
        </w:rPr>
        <w:t>...........................................................</w:t>
      </w:r>
      <w:r w:rsidR="00F80407" w:rsidRPr="001704FC">
        <w:rPr>
          <w:rFonts w:ascii="Calibri" w:hAnsi="Calibri" w:cs="Calibri"/>
          <w:sz w:val="22"/>
        </w:rPr>
        <w:t>....................</w:t>
      </w:r>
    </w:p>
    <w:p w14:paraId="7B95F849" w14:textId="7C7BD873" w:rsidR="002345AC" w:rsidRPr="001704FC" w:rsidRDefault="00A010B4" w:rsidP="004C1231">
      <w:pPr>
        <w:spacing w:after="0" w:line="240" w:lineRule="auto"/>
        <w:contextualSpacing/>
        <w:rPr>
          <w:rFonts w:ascii="Calibri" w:hAnsi="Calibri" w:cs="Calibri"/>
          <w:sz w:val="22"/>
        </w:rPr>
      </w:pPr>
      <w:r w:rsidRPr="001704FC">
        <w:rPr>
          <w:rFonts w:ascii="Calibri" w:hAnsi="Calibri" w:cs="Calibri"/>
          <w:sz w:val="22"/>
        </w:rPr>
        <w:t>Ing. Jaroslav Novák, místopředseda</w:t>
      </w:r>
      <w:r w:rsidR="002345AC" w:rsidRPr="001704FC">
        <w:rPr>
          <w:rFonts w:ascii="Calibri" w:hAnsi="Calibri" w:cs="Calibri"/>
          <w:sz w:val="22"/>
        </w:rPr>
        <w:t xml:space="preserve"> představenstva</w:t>
      </w:r>
    </w:p>
    <w:p w14:paraId="3989BD8C" w14:textId="77777777" w:rsidR="001411C1" w:rsidRPr="001704FC" w:rsidRDefault="001411C1" w:rsidP="002345AC">
      <w:pPr>
        <w:spacing w:after="0" w:line="240" w:lineRule="auto"/>
        <w:contextualSpacing/>
        <w:jc w:val="both"/>
        <w:rPr>
          <w:rFonts w:ascii="Calibri" w:hAnsi="Calibri" w:cs="Calibri"/>
          <w:sz w:val="22"/>
        </w:rPr>
      </w:pPr>
    </w:p>
    <w:p w14:paraId="09CF98F6" w14:textId="77777777" w:rsidR="00CF45B6" w:rsidRPr="001704FC" w:rsidRDefault="00CF45B6" w:rsidP="002345AC">
      <w:pPr>
        <w:spacing w:after="0" w:line="240" w:lineRule="auto"/>
        <w:contextualSpacing/>
        <w:jc w:val="both"/>
        <w:rPr>
          <w:rFonts w:ascii="Calibri" w:hAnsi="Calibri" w:cs="Calibri"/>
          <w:sz w:val="22"/>
        </w:rPr>
        <w:sectPr w:rsidR="00CF45B6" w:rsidRPr="001704FC" w:rsidSect="00450705">
          <w:headerReference w:type="default" r:id="rId13"/>
          <w:footerReference w:type="default" r:id="rId14"/>
          <w:headerReference w:type="first" r:id="rId15"/>
          <w:footerReference w:type="first" r:id="rId16"/>
          <w:pgSz w:w="11906" w:h="16838"/>
          <w:pgMar w:top="1418" w:right="1134" w:bottom="1616" w:left="1134" w:header="709" w:footer="709" w:gutter="0"/>
          <w:pgNumType w:start="1"/>
          <w:cols w:space="708"/>
          <w:titlePg/>
          <w:docGrid w:linePitch="360"/>
        </w:sectPr>
      </w:pPr>
    </w:p>
    <w:p w14:paraId="238B3434" w14:textId="1D618E59" w:rsidR="00625D2D" w:rsidRPr="00625D2D" w:rsidRDefault="00E054E1" w:rsidP="00625D2D">
      <w:pPr>
        <w:pStyle w:val="MNETNadpis1"/>
        <w:rPr>
          <w:rFonts w:ascii="Calibri" w:hAnsi="Calibri" w:cs="Calibri"/>
        </w:rPr>
      </w:pPr>
      <w:r w:rsidRPr="001704FC">
        <w:rPr>
          <w:rFonts w:ascii="Calibri" w:hAnsi="Calibri" w:cs="Calibri"/>
        </w:rPr>
        <w:lastRenderedPageBreak/>
        <w:t xml:space="preserve">Příloha č. 1: Specifikace - </w:t>
      </w:r>
      <w:r w:rsidR="0048248F">
        <w:rPr>
          <w:rFonts w:ascii="Calibri" w:hAnsi="Calibri" w:cs="Calibri"/>
        </w:rPr>
        <w:t>monitory</w:t>
      </w:r>
    </w:p>
    <w:p w14:paraId="2E5E6D9B" w14:textId="77777777" w:rsidR="00625D2D" w:rsidRPr="003C6A11" w:rsidRDefault="00625D2D" w:rsidP="00625D2D">
      <w:pPr>
        <w:spacing w:after="0" w:line="240" w:lineRule="auto"/>
        <w:jc w:val="center"/>
        <w:rPr>
          <w:rFonts w:cs="Arial"/>
          <w:b/>
          <w:sz w:val="28"/>
          <w:szCs w:val="28"/>
        </w:rPr>
      </w:pPr>
      <w:r w:rsidRPr="003C6A11">
        <w:rPr>
          <w:rFonts w:cs="Arial"/>
          <w:b/>
          <w:bCs/>
          <w:sz w:val="28"/>
          <w:szCs w:val="28"/>
        </w:rPr>
        <w:t>SPECIFIKACE PRO ČÁST B – MONITORY</w:t>
      </w:r>
    </w:p>
    <w:p w14:paraId="779FAE6B" w14:textId="77777777" w:rsidR="00625D2D" w:rsidRPr="003C6A11" w:rsidRDefault="00625D2D" w:rsidP="00625D2D">
      <w:pPr>
        <w:spacing w:after="0" w:line="240" w:lineRule="auto"/>
        <w:rPr>
          <w:rFonts w:cs="Arial"/>
          <w:szCs w:val="20"/>
        </w:rPr>
      </w:pPr>
    </w:p>
    <w:p w14:paraId="43F33A47" w14:textId="77777777" w:rsidR="00625D2D" w:rsidRPr="00D8244B" w:rsidRDefault="00625D2D" w:rsidP="00625D2D">
      <w:pPr>
        <w:shd w:val="clear" w:color="auto" w:fill="DAEEF3" w:themeFill="accent5" w:themeFillTint="33"/>
        <w:spacing w:after="0" w:line="240" w:lineRule="auto"/>
        <w:rPr>
          <w:rFonts w:cs="Arial"/>
          <w:b/>
          <w:bCs/>
          <w:sz w:val="22"/>
        </w:rPr>
      </w:pPr>
      <w:r w:rsidRPr="00D8244B">
        <w:rPr>
          <w:rFonts w:cs="Arial"/>
          <w:b/>
          <w:bCs/>
          <w:sz w:val="22"/>
        </w:rPr>
        <w:t>MONITORY – 170 ks</w:t>
      </w:r>
    </w:p>
    <w:p w14:paraId="650F95ED" w14:textId="77777777" w:rsidR="00625D2D" w:rsidRPr="003C6A11" w:rsidRDefault="00625D2D" w:rsidP="00625D2D">
      <w:pPr>
        <w:shd w:val="clear" w:color="auto" w:fill="DAEEF3" w:themeFill="accent5" w:themeFillTint="33"/>
        <w:spacing w:after="0" w:line="240" w:lineRule="auto"/>
        <w:rPr>
          <w:rFonts w:cs="Arial"/>
          <w:b/>
          <w:bCs/>
          <w:szCs w:val="20"/>
        </w:rPr>
      </w:pPr>
      <w:r w:rsidRPr="00C911D1">
        <w:rPr>
          <w:rFonts w:cs="Arial"/>
          <w:b/>
          <w:bCs/>
          <w:szCs w:val="20"/>
        </w:rPr>
        <w:t>Obchodní název nabízeného zbo</w:t>
      </w:r>
      <w:r>
        <w:rPr>
          <w:rFonts w:cs="Arial"/>
          <w:b/>
          <w:bCs/>
          <w:szCs w:val="20"/>
        </w:rPr>
        <w:t>ž</w:t>
      </w:r>
      <w:r w:rsidRPr="00C911D1">
        <w:rPr>
          <w:rFonts w:cs="Arial"/>
          <w:b/>
          <w:bCs/>
          <w:szCs w:val="20"/>
        </w:rPr>
        <w:t xml:space="preserve">í: </w:t>
      </w:r>
      <w:proofErr w:type="spellStart"/>
      <w:r>
        <w:rPr>
          <w:rFonts w:cs="Arial"/>
          <w:b/>
          <w:bCs/>
          <w:szCs w:val="20"/>
        </w:rPr>
        <w:t>Iiyama</w:t>
      </w:r>
      <w:proofErr w:type="spellEnd"/>
      <w:r>
        <w:rPr>
          <w:rFonts w:cs="Arial"/>
          <w:b/>
          <w:bCs/>
          <w:szCs w:val="20"/>
        </w:rPr>
        <w:t xml:space="preserve"> </w:t>
      </w:r>
      <w:proofErr w:type="spellStart"/>
      <w:r>
        <w:rPr>
          <w:rFonts w:cs="Arial"/>
          <w:b/>
          <w:bCs/>
          <w:szCs w:val="20"/>
        </w:rPr>
        <w:t>ProLite</w:t>
      </w:r>
      <w:proofErr w:type="spellEnd"/>
      <w:r>
        <w:rPr>
          <w:rFonts w:cs="Arial"/>
          <w:b/>
          <w:bCs/>
          <w:szCs w:val="20"/>
        </w:rPr>
        <w:t xml:space="preserve"> XUB2793QS</w:t>
      </w:r>
    </w:p>
    <w:tbl>
      <w:tblPr>
        <w:tblStyle w:val="Mkatabulky"/>
        <w:tblW w:w="0" w:type="auto"/>
        <w:jc w:val="center"/>
        <w:tblLook w:val="04A0" w:firstRow="1" w:lastRow="0" w:firstColumn="1" w:lastColumn="0" w:noHBand="0" w:noVBand="1"/>
      </w:tblPr>
      <w:tblGrid>
        <w:gridCol w:w="7792"/>
        <w:gridCol w:w="2976"/>
        <w:gridCol w:w="3026"/>
      </w:tblGrid>
      <w:tr w:rsidR="00625D2D" w:rsidRPr="003C6A11" w14:paraId="06D96AF5" w14:textId="77777777" w:rsidTr="00084AEB">
        <w:trPr>
          <w:trHeight w:val="425"/>
          <w:jc w:val="center"/>
        </w:trPr>
        <w:tc>
          <w:tcPr>
            <w:tcW w:w="7792" w:type="dxa"/>
            <w:shd w:val="clear" w:color="auto" w:fill="DAEEF3" w:themeFill="accent5" w:themeFillTint="33"/>
            <w:vAlign w:val="center"/>
          </w:tcPr>
          <w:p w14:paraId="21F780AA" w14:textId="77777777" w:rsidR="00625D2D" w:rsidRPr="003C6A11" w:rsidRDefault="00625D2D" w:rsidP="00084AEB">
            <w:pPr>
              <w:shd w:val="clear" w:color="auto" w:fill="DAEEF3" w:themeFill="accent5" w:themeFillTint="33"/>
              <w:jc w:val="center"/>
              <w:rPr>
                <w:rFonts w:cs="Arial"/>
                <w:szCs w:val="20"/>
              </w:rPr>
            </w:pPr>
            <w:r w:rsidRPr="003C6A11">
              <w:rPr>
                <w:rFonts w:cs="Arial"/>
                <w:b/>
                <w:bCs/>
                <w:szCs w:val="20"/>
              </w:rPr>
              <w:t>Požadované parametry a jejich hodnoty</w:t>
            </w:r>
          </w:p>
        </w:tc>
        <w:tc>
          <w:tcPr>
            <w:tcW w:w="2976" w:type="dxa"/>
            <w:shd w:val="clear" w:color="auto" w:fill="DAEEF3" w:themeFill="accent5" w:themeFillTint="33"/>
            <w:vAlign w:val="center"/>
          </w:tcPr>
          <w:p w14:paraId="2F0FABE3" w14:textId="77777777" w:rsidR="00625D2D" w:rsidRPr="003C6A11" w:rsidRDefault="00625D2D" w:rsidP="00084AEB">
            <w:pPr>
              <w:shd w:val="clear" w:color="auto" w:fill="DAEEF3" w:themeFill="accent5" w:themeFillTint="33"/>
              <w:jc w:val="center"/>
              <w:rPr>
                <w:rFonts w:cs="Arial"/>
                <w:szCs w:val="20"/>
              </w:rPr>
            </w:pPr>
            <w:r w:rsidRPr="003C6A11">
              <w:rPr>
                <w:rFonts w:cs="Arial"/>
                <w:b/>
                <w:bCs/>
                <w:szCs w:val="20"/>
              </w:rPr>
              <w:t>Dodavatelem nabízené řešení požadavek splňuje</w:t>
            </w:r>
          </w:p>
        </w:tc>
        <w:tc>
          <w:tcPr>
            <w:tcW w:w="3026" w:type="dxa"/>
            <w:shd w:val="clear" w:color="auto" w:fill="DAEEF3" w:themeFill="accent5" w:themeFillTint="33"/>
            <w:vAlign w:val="center"/>
          </w:tcPr>
          <w:p w14:paraId="0741EACD" w14:textId="77777777" w:rsidR="00625D2D" w:rsidRPr="003C6A11" w:rsidRDefault="00625D2D" w:rsidP="00084AEB">
            <w:pPr>
              <w:shd w:val="clear" w:color="auto" w:fill="DAEEF3" w:themeFill="accent5" w:themeFillTint="33"/>
              <w:jc w:val="center"/>
              <w:rPr>
                <w:rFonts w:cs="Arial"/>
                <w:szCs w:val="20"/>
              </w:rPr>
            </w:pPr>
            <w:r w:rsidRPr="003C6A11">
              <w:rPr>
                <w:rFonts w:cs="Arial"/>
                <w:b/>
                <w:bCs/>
                <w:szCs w:val="20"/>
              </w:rPr>
              <w:t>Konkrétní hodnota parametru nabízeného zboží vč. obchodního názvu</w:t>
            </w:r>
          </w:p>
        </w:tc>
      </w:tr>
      <w:tr w:rsidR="00625D2D" w:rsidRPr="003C6A11" w14:paraId="4904BC0A" w14:textId="77777777" w:rsidTr="00084AEB">
        <w:trPr>
          <w:trHeight w:val="425"/>
          <w:jc w:val="center"/>
        </w:trPr>
        <w:tc>
          <w:tcPr>
            <w:tcW w:w="13794" w:type="dxa"/>
            <w:gridSpan w:val="3"/>
            <w:shd w:val="clear" w:color="auto" w:fill="DAEEF3" w:themeFill="accent5" w:themeFillTint="33"/>
            <w:vAlign w:val="center"/>
          </w:tcPr>
          <w:p w14:paraId="5DE8DA1F" w14:textId="77777777" w:rsidR="00625D2D" w:rsidRPr="003C6A11" w:rsidRDefault="00625D2D" w:rsidP="00084AEB">
            <w:pPr>
              <w:shd w:val="clear" w:color="auto" w:fill="DAEEF3" w:themeFill="accent5" w:themeFillTint="33"/>
              <w:rPr>
                <w:rFonts w:cs="Arial"/>
                <w:szCs w:val="20"/>
              </w:rPr>
            </w:pPr>
            <w:r w:rsidRPr="003C6A11">
              <w:rPr>
                <w:rFonts w:cs="Arial"/>
                <w:b/>
                <w:bCs/>
                <w:szCs w:val="20"/>
              </w:rPr>
              <w:t>Monitory s úhlopříčkou panelu 26,9” až 27,1“</w:t>
            </w:r>
          </w:p>
        </w:tc>
      </w:tr>
      <w:tr w:rsidR="00625D2D" w:rsidRPr="003C6A11" w14:paraId="08652ECD" w14:textId="77777777" w:rsidTr="00084AEB">
        <w:trPr>
          <w:trHeight w:val="425"/>
          <w:jc w:val="center"/>
        </w:trPr>
        <w:tc>
          <w:tcPr>
            <w:tcW w:w="7792" w:type="dxa"/>
            <w:vAlign w:val="center"/>
          </w:tcPr>
          <w:p w14:paraId="55AEB13C" w14:textId="77777777" w:rsidR="00625D2D" w:rsidRPr="003C6A11" w:rsidRDefault="00625D2D" w:rsidP="00084AEB">
            <w:pPr>
              <w:rPr>
                <w:rFonts w:cs="Arial"/>
                <w:szCs w:val="20"/>
              </w:rPr>
            </w:pPr>
            <w:r w:rsidRPr="003C6A11">
              <w:rPr>
                <w:rFonts w:cs="Arial"/>
                <w:szCs w:val="20"/>
              </w:rPr>
              <w:t>Rozlišení minimálně QHD tj. 2560*1440</w:t>
            </w:r>
          </w:p>
        </w:tc>
        <w:tc>
          <w:tcPr>
            <w:tcW w:w="2976" w:type="dxa"/>
            <w:vAlign w:val="center"/>
          </w:tcPr>
          <w:p w14:paraId="29D23054"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7F94BEB5" w14:textId="77777777" w:rsidR="00625D2D" w:rsidRPr="00C415F5" w:rsidRDefault="00625D2D" w:rsidP="00084AEB">
            <w:pPr>
              <w:jc w:val="center"/>
              <w:rPr>
                <w:rFonts w:cs="Arial"/>
                <w:i/>
                <w:iCs/>
                <w:szCs w:val="20"/>
              </w:rPr>
            </w:pPr>
            <w:r w:rsidRPr="00C415F5">
              <w:rPr>
                <w:rFonts w:cs="Arial"/>
                <w:i/>
                <w:iCs/>
                <w:szCs w:val="20"/>
              </w:rPr>
              <w:t>2560 x1440</w:t>
            </w:r>
          </w:p>
        </w:tc>
      </w:tr>
      <w:tr w:rsidR="00625D2D" w:rsidRPr="003C6A11" w14:paraId="6FBD7476" w14:textId="77777777" w:rsidTr="00084AEB">
        <w:trPr>
          <w:trHeight w:val="425"/>
          <w:jc w:val="center"/>
        </w:trPr>
        <w:tc>
          <w:tcPr>
            <w:tcW w:w="7792" w:type="dxa"/>
            <w:vAlign w:val="center"/>
          </w:tcPr>
          <w:p w14:paraId="2CC12A7E" w14:textId="77777777" w:rsidR="00625D2D" w:rsidRPr="003C6A11" w:rsidRDefault="00625D2D" w:rsidP="00084AEB">
            <w:pPr>
              <w:rPr>
                <w:rFonts w:cs="Arial"/>
                <w:szCs w:val="20"/>
              </w:rPr>
            </w:pPr>
            <w:r w:rsidRPr="003C6A11">
              <w:rPr>
                <w:rFonts w:cs="Arial"/>
                <w:szCs w:val="20"/>
              </w:rPr>
              <w:t>Konstrukce panelu – rovná</w:t>
            </w:r>
          </w:p>
        </w:tc>
        <w:tc>
          <w:tcPr>
            <w:tcW w:w="2976" w:type="dxa"/>
            <w:vAlign w:val="center"/>
          </w:tcPr>
          <w:p w14:paraId="0987EA36"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3E30C334" w14:textId="77777777" w:rsidR="00625D2D" w:rsidRPr="00C415F5" w:rsidRDefault="00625D2D" w:rsidP="00084AEB">
            <w:pPr>
              <w:jc w:val="center"/>
              <w:rPr>
                <w:rFonts w:cs="Arial"/>
                <w:i/>
                <w:iCs/>
                <w:szCs w:val="20"/>
              </w:rPr>
            </w:pPr>
            <w:r w:rsidRPr="00C415F5">
              <w:rPr>
                <w:rFonts w:cs="Arial"/>
                <w:i/>
                <w:iCs/>
                <w:szCs w:val="20"/>
              </w:rPr>
              <w:t>rovná</w:t>
            </w:r>
          </w:p>
        </w:tc>
      </w:tr>
      <w:tr w:rsidR="00625D2D" w:rsidRPr="003C6A11" w14:paraId="5F035E76" w14:textId="77777777" w:rsidTr="00084AEB">
        <w:trPr>
          <w:trHeight w:val="425"/>
          <w:jc w:val="center"/>
        </w:trPr>
        <w:tc>
          <w:tcPr>
            <w:tcW w:w="7792" w:type="dxa"/>
            <w:vAlign w:val="center"/>
          </w:tcPr>
          <w:p w14:paraId="5229B326" w14:textId="77777777" w:rsidR="00625D2D" w:rsidRPr="003C6A11" w:rsidRDefault="00625D2D" w:rsidP="00084AEB">
            <w:pPr>
              <w:rPr>
                <w:rFonts w:cs="Arial"/>
                <w:szCs w:val="20"/>
              </w:rPr>
            </w:pPr>
            <w:r w:rsidRPr="003C6A11">
              <w:rPr>
                <w:rFonts w:cs="Arial"/>
                <w:szCs w:val="20"/>
              </w:rPr>
              <w:t>Bezrámečkové provedení (rámeček pouze na jedné straně panelu)</w:t>
            </w:r>
          </w:p>
        </w:tc>
        <w:tc>
          <w:tcPr>
            <w:tcW w:w="2976" w:type="dxa"/>
            <w:vAlign w:val="center"/>
          </w:tcPr>
          <w:p w14:paraId="24CAA261"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0CC43A75" w14:textId="77777777" w:rsidR="00625D2D" w:rsidRPr="00C415F5" w:rsidRDefault="00625D2D" w:rsidP="00084AEB">
            <w:pPr>
              <w:jc w:val="center"/>
              <w:rPr>
                <w:rFonts w:cs="Arial"/>
                <w:i/>
                <w:iCs/>
                <w:szCs w:val="20"/>
              </w:rPr>
            </w:pPr>
            <w:r w:rsidRPr="00C415F5">
              <w:rPr>
                <w:rFonts w:cs="Arial"/>
                <w:i/>
                <w:iCs/>
                <w:szCs w:val="20"/>
              </w:rPr>
              <w:t>Rámeček pouze na jedné straně</w:t>
            </w:r>
          </w:p>
        </w:tc>
      </w:tr>
      <w:tr w:rsidR="00625D2D" w:rsidRPr="003C6A11" w14:paraId="7D800ACB" w14:textId="77777777" w:rsidTr="00084AEB">
        <w:trPr>
          <w:trHeight w:val="425"/>
          <w:jc w:val="center"/>
        </w:trPr>
        <w:tc>
          <w:tcPr>
            <w:tcW w:w="7792" w:type="dxa"/>
            <w:vAlign w:val="center"/>
          </w:tcPr>
          <w:p w14:paraId="1F4BCB68" w14:textId="77777777" w:rsidR="00625D2D" w:rsidRPr="003C6A11" w:rsidRDefault="00625D2D" w:rsidP="00084AEB">
            <w:pPr>
              <w:rPr>
                <w:rFonts w:cs="Arial"/>
                <w:szCs w:val="20"/>
              </w:rPr>
            </w:pPr>
            <w:r w:rsidRPr="003C6A11">
              <w:rPr>
                <w:rFonts w:cs="Arial"/>
                <w:szCs w:val="20"/>
              </w:rPr>
              <w:t>Ovládání monitoru dostupné zepředu (ne na zadní straně)</w:t>
            </w:r>
          </w:p>
        </w:tc>
        <w:tc>
          <w:tcPr>
            <w:tcW w:w="2976" w:type="dxa"/>
            <w:vAlign w:val="center"/>
          </w:tcPr>
          <w:p w14:paraId="39C715E5"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259FC61D" w14:textId="77777777" w:rsidR="00625D2D" w:rsidRPr="00C415F5" w:rsidRDefault="00625D2D" w:rsidP="00084AEB">
            <w:pPr>
              <w:jc w:val="center"/>
              <w:rPr>
                <w:rFonts w:cs="Arial"/>
                <w:i/>
                <w:iCs/>
                <w:szCs w:val="20"/>
              </w:rPr>
            </w:pPr>
            <w:r w:rsidRPr="00C415F5">
              <w:rPr>
                <w:rFonts w:cs="Arial"/>
                <w:i/>
                <w:iCs/>
                <w:szCs w:val="20"/>
              </w:rPr>
              <w:t>Ovládání dostupné zepředu</w:t>
            </w:r>
          </w:p>
        </w:tc>
      </w:tr>
      <w:tr w:rsidR="00625D2D" w:rsidRPr="003C6A11" w14:paraId="468FE6BC" w14:textId="77777777" w:rsidTr="00084AEB">
        <w:trPr>
          <w:trHeight w:val="425"/>
          <w:jc w:val="center"/>
        </w:trPr>
        <w:tc>
          <w:tcPr>
            <w:tcW w:w="7792" w:type="dxa"/>
            <w:vAlign w:val="center"/>
          </w:tcPr>
          <w:p w14:paraId="342AF9CB" w14:textId="77777777" w:rsidR="00625D2D" w:rsidRPr="003C6A11" w:rsidRDefault="00625D2D" w:rsidP="00084AEB">
            <w:pPr>
              <w:rPr>
                <w:rFonts w:cs="Arial"/>
                <w:szCs w:val="20"/>
              </w:rPr>
            </w:pPr>
            <w:r w:rsidRPr="003C6A11">
              <w:rPr>
                <w:rFonts w:cs="Arial"/>
                <w:szCs w:val="20"/>
              </w:rPr>
              <w:t>Matný (antireflexní) displej</w:t>
            </w:r>
          </w:p>
        </w:tc>
        <w:tc>
          <w:tcPr>
            <w:tcW w:w="2976" w:type="dxa"/>
            <w:vAlign w:val="center"/>
          </w:tcPr>
          <w:p w14:paraId="6FBDB7E3" w14:textId="77777777" w:rsidR="00625D2D" w:rsidRPr="003C6A11" w:rsidRDefault="00625D2D" w:rsidP="00084AEB">
            <w:pPr>
              <w:jc w:val="center"/>
              <w:rPr>
                <w:rFonts w:cs="Arial"/>
                <w:szCs w:val="20"/>
              </w:rPr>
            </w:pPr>
            <w:r>
              <w:rPr>
                <w:rFonts w:cs="Arial"/>
                <w:b/>
                <w:bCs/>
                <w:szCs w:val="20"/>
              </w:rPr>
              <w:t>ANO</w:t>
            </w:r>
          </w:p>
        </w:tc>
        <w:tc>
          <w:tcPr>
            <w:tcW w:w="3026" w:type="dxa"/>
            <w:vAlign w:val="center"/>
          </w:tcPr>
          <w:p w14:paraId="5C4462D2" w14:textId="77777777" w:rsidR="00625D2D" w:rsidRPr="00C415F5" w:rsidRDefault="00625D2D" w:rsidP="00084AEB">
            <w:pPr>
              <w:jc w:val="center"/>
              <w:rPr>
                <w:rFonts w:cs="Arial"/>
                <w:szCs w:val="20"/>
              </w:rPr>
            </w:pPr>
            <w:r>
              <w:rPr>
                <w:rFonts w:cs="Arial"/>
                <w:i/>
                <w:iCs/>
                <w:szCs w:val="20"/>
              </w:rPr>
              <w:t>matný</w:t>
            </w:r>
          </w:p>
        </w:tc>
      </w:tr>
      <w:tr w:rsidR="00625D2D" w:rsidRPr="003C6A11" w14:paraId="7338CA12" w14:textId="77777777" w:rsidTr="00084AEB">
        <w:trPr>
          <w:trHeight w:val="425"/>
          <w:jc w:val="center"/>
        </w:trPr>
        <w:tc>
          <w:tcPr>
            <w:tcW w:w="7792" w:type="dxa"/>
            <w:vAlign w:val="center"/>
          </w:tcPr>
          <w:p w14:paraId="199388F9" w14:textId="77777777" w:rsidR="00625D2D" w:rsidRPr="003C6A11" w:rsidRDefault="00625D2D" w:rsidP="00084AEB">
            <w:pPr>
              <w:rPr>
                <w:rFonts w:cs="Arial"/>
                <w:szCs w:val="20"/>
              </w:rPr>
            </w:pPr>
            <w:r w:rsidRPr="003C6A11">
              <w:rPr>
                <w:rFonts w:cs="Arial"/>
                <w:szCs w:val="20"/>
              </w:rPr>
              <w:t>Typ panelu IPS</w:t>
            </w:r>
          </w:p>
        </w:tc>
        <w:tc>
          <w:tcPr>
            <w:tcW w:w="2976" w:type="dxa"/>
            <w:vAlign w:val="center"/>
          </w:tcPr>
          <w:p w14:paraId="4BFA87A8" w14:textId="77777777" w:rsidR="00625D2D" w:rsidRPr="003C6A11" w:rsidRDefault="00625D2D" w:rsidP="00084AEB">
            <w:pPr>
              <w:jc w:val="center"/>
              <w:rPr>
                <w:rFonts w:cs="Arial"/>
                <w:szCs w:val="20"/>
              </w:rPr>
            </w:pPr>
            <w:r>
              <w:rPr>
                <w:rFonts w:cs="Arial"/>
                <w:b/>
                <w:bCs/>
                <w:szCs w:val="20"/>
              </w:rPr>
              <w:t>ANO</w:t>
            </w:r>
          </w:p>
        </w:tc>
        <w:tc>
          <w:tcPr>
            <w:tcW w:w="3026" w:type="dxa"/>
            <w:vAlign w:val="center"/>
          </w:tcPr>
          <w:p w14:paraId="653311A5" w14:textId="77777777" w:rsidR="00625D2D" w:rsidRPr="003C6A11" w:rsidRDefault="00625D2D" w:rsidP="00084AEB">
            <w:pPr>
              <w:jc w:val="center"/>
              <w:rPr>
                <w:rFonts w:cs="Arial"/>
                <w:szCs w:val="20"/>
              </w:rPr>
            </w:pPr>
            <w:r>
              <w:rPr>
                <w:rFonts w:cs="Arial"/>
                <w:szCs w:val="20"/>
              </w:rPr>
              <w:t>IPS</w:t>
            </w:r>
          </w:p>
        </w:tc>
      </w:tr>
      <w:tr w:rsidR="00625D2D" w:rsidRPr="003C6A11" w14:paraId="56AF4F84" w14:textId="77777777" w:rsidTr="00084AEB">
        <w:trPr>
          <w:trHeight w:val="425"/>
          <w:jc w:val="center"/>
        </w:trPr>
        <w:tc>
          <w:tcPr>
            <w:tcW w:w="7792" w:type="dxa"/>
            <w:vAlign w:val="center"/>
          </w:tcPr>
          <w:p w14:paraId="64ACFA4A" w14:textId="77777777" w:rsidR="00625D2D" w:rsidRPr="003C6A11" w:rsidRDefault="00625D2D" w:rsidP="00084AEB">
            <w:pPr>
              <w:rPr>
                <w:rFonts w:cs="Arial"/>
                <w:szCs w:val="20"/>
              </w:rPr>
            </w:pPr>
            <w:r w:rsidRPr="003C6A11">
              <w:rPr>
                <w:rFonts w:cs="Arial"/>
                <w:szCs w:val="20"/>
              </w:rPr>
              <w:t>Jas min. 250 cd/m²</w:t>
            </w:r>
          </w:p>
        </w:tc>
        <w:tc>
          <w:tcPr>
            <w:tcW w:w="2976" w:type="dxa"/>
            <w:vAlign w:val="center"/>
          </w:tcPr>
          <w:p w14:paraId="5B0ADC7F" w14:textId="77777777" w:rsidR="00625D2D" w:rsidRPr="003C6A11" w:rsidRDefault="00625D2D" w:rsidP="00084AEB">
            <w:pPr>
              <w:jc w:val="center"/>
              <w:rPr>
                <w:rFonts w:cs="Arial"/>
                <w:szCs w:val="20"/>
              </w:rPr>
            </w:pPr>
            <w:r>
              <w:rPr>
                <w:rFonts w:cs="Arial"/>
                <w:b/>
                <w:bCs/>
                <w:szCs w:val="20"/>
              </w:rPr>
              <w:t>ANO</w:t>
            </w:r>
          </w:p>
        </w:tc>
        <w:tc>
          <w:tcPr>
            <w:tcW w:w="3026" w:type="dxa"/>
            <w:vAlign w:val="center"/>
          </w:tcPr>
          <w:p w14:paraId="4AB9D864" w14:textId="77777777" w:rsidR="00625D2D" w:rsidRPr="003C6A11" w:rsidRDefault="00625D2D" w:rsidP="00084AEB">
            <w:pPr>
              <w:jc w:val="center"/>
              <w:rPr>
                <w:rFonts w:cs="Arial"/>
                <w:szCs w:val="20"/>
              </w:rPr>
            </w:pPr>
            <w:r>
              <w:rPr>
                <w:rFonts w:cs="Arial"/>
                <w:szCs w:val="20"/>
              </w:rPr>
              <w:t>300</w:t>
            </w:r>
            <w:r w:rsidRPr="003C6A11">
              <w:rPr>
                <w:rFonts w:cs="Arial"/>
                <w:szCs w:val="20"/>
              </w:rPr>
              <w:t xml:space="preserve"> cd/m²</w:t>
            </w:r>
          </w:p>
        </w:tc>
      </w:tr>
      <w:tr w:rsidR="00625D2D" w:rsidRPr="003C6A11" w14:paraId="48159172" w14:textId="77777777" w:rsidTr="00084AEB">
        <w:trPr>
          <w:trHeight w:val="425"/>
          <w:jc w:val="center"/>
        </w:trPr>
        <w:tc>
          <w:tcPr>
            <w:tcW w:w="7792" w:type="dxa"/>
            <w:vAlign w:val="center"/>
          </w:tcPr>
          <w:p w14:paraId="1E8A56F8" w14:textId="77777777" w:rsidR="00625D2D" w:rsidRPr="003C6A11" w:rsidRDefault="00625D2D" w:rsidP="00084AEB">
            <w:pPr>
              <w:rPr>
                <w:rFonts w:cs="Arial"/>
                <w:szCs w:val="20"/>
              </w:rPr>
            </w:pPr>
            <w:r w:rsidRPr="003C6A11">
              <w:rPr>
                <w:rFonts w:cs="Arial"/>
                <w:szCs w:val="20"/>
              </w:rPr>
              <w:t>Kontrast min. 1000:1</w:t>
            </w:r>
          </w:p>
        </w:tc>
        <w:tc>
          <w:tcPr>
            <w:tcW w:w="2976" w:type="dxa"/>
            <w:vAlign w:val="center"/>
          </w:tcPr>
          <w:p w14:paraId="3C371DAB" w14:textId="77777777" w:rsidR="00625D2D" w:rsidRPr="003C6A11" w:rsidRDefault="00625D2D" w:rsidP="00084AEB">
            <w:pPr>
              <w:jc w:val="center"/>
              <w:rPr>
                <w:rFonts w:cs="Arial"/>
                <w:szCs w:val="20"/>
              </w:rPr>
            </w:pPr>
            <w:r>
              <w:rPr>
                <w:rFonts w:cs="Arial"/>
                <w:b/>
                <w:bCs/>
                <w:szCs w:val="20"/>
              </w:rPr>
              <w:t>ANO</w:t>
            </w:r>
          </w:p>
        </w:tc>
        <w:tc>
          <w:tcPr>
            <w:tcW w:w="3026" w:type="dxa"/>
            <w:vAlign w:val="center"/>
          </w:tcPr>
          <w:p w14:paraId="2979FE17" w14:textId="77777777" w:rsidR="00625D2D" w:rsidRPr="003C6A11" w:rsidRDefault="00625D2D" w:rsidP="00084AEB">
            <w:pPr>
              <w:jc w:val="center"/>
              <w:rPr>
                <w:rFonts w:cs="Arial"/>
                <w:szCs w:val="20"/>
              </w:rPr>
            </w:pPr>
            <w:r>
              <w:rPr>
                <w:rFonts w:cs="Arial"/>
                <w:i/>
                <w:iCs/>
                <w:szCs w:val="20"/>
              </w:rPr>
              <w:t>1300 : 1</w:t>
            </w:r>
          </w:p>
        </w:tc>
      </w:tr>
      <w:tr w:rsidR="00625D2D" w:rsidRPr="003C6A11" w14:paraId="74BD3DB2" w14:textId="77777777" w:rsidTr="00084AEB">
        <w:trPr>
          <w:trHeight w:val="425"/>
          <w:jc w:val="center"/>
        </w:trPr>
        <w:tc>
          <w:tcPr>
            <w:tcW w:w="7792" w:type="dxa"/>
            <w:vAlign w:val="center"/>
          </w:tcPr>
          <w:p w14:paraId="7E799B20" w14:textId="77777777" w:rsidR="00625D2D" w:rsidRPr="003C6A11" w:rsidRDefault="00625D2D" w:rsidP="00084AEB">
            <w:pPr>
              <w:rPr>
                <w:rFonts w:cs="Arial"/>
                <w:szCs w:val="20"/>
              </w:rPr>
            </w:pPr>
            <w:r w:rsidRPr="003C6A11">
              <w:rPr>
                <w:rFonts w:cs="Arial"/>
                <w:szCs w:val="20"/>
              </w:rPr>
              <w:t>Snímková frekvence min. 75Hz</w:t>
            </w:r>
          </w:p>
        </w:tc>
        <w:tc>
          <w:tcPr>
            <w:tcW w:w="2976" w:type="dxa"/>
            <w:vAlign w:val="center"/>
          </w:tcPr>
          <w:p w14:paraId="1A411D3A" w14:textId="77777777" w:rsidR="00625D2D" w:rsidRPr="003C6A11" w:rsidRDefault="00625D2D" w:rsidP="00084AEB">
            <w:pPr>
              <w:jc w:val="center"/>
              <w:rPr>
                <w:rFonts w:cs="Arial"/>
                <w:b/>
                <w:bCs/>
                <w:szCs w:val="20"/>
                <w:highlight w:val="yellow"/>
              </w:rPr>
            </w:pPr>
            <w:r w:rsidRPr="00C415F5">
              <w:rPr>
                <w:rFonts w:cs="Arial"/>
                <w:b/>
                <w:bCs/>
                <w:szCs w:val="20"/>
              </w:rPr>
              <w:t>ANO</w:t>
            </w:r>
          </w:p>
        </w:tc>
        <w:tc>
          <w:tcPr>
            <w:tcW w:w="3026" w:type="dxa"/>
            <w:vAlign w:val="center"/>
          </w:tcPr>
          <w:p w14:paraId="4F0B04A0" w14:textId="77777777" w:rsidR="00625D2D" w:rsidRPr="003C6A11" w:rsidRDefault="00625D2D" w:rsidP="00084AEB">
            <w:pPr>
              <w:jc w:val="center"/>
              <w:rPr>
                <w:rFonts w:cs="Arial"/>
                <w:i/>
                <w:iCs/>
                <w:szCs w:val="20"/>
                <w:highlight w:val="yellow"/>
              </w:rPr>
            </w:pPr>
            <w:r w:rsidRPr="00C415F5">
              <w:rPr>
                <w:rFonts w:cs="Arial"/>
                <w:i/>
                <w:iCs/>
                <w:szCs w:val="20"/>
              </w:rPr>
              <w:t>100 Hz</w:t>
            </w:r>
          </w:p>
        </w:tc>
      </w:tr>
      <w:tr w:rsidR="00625D2D" w:rsidRPr="003C6A11" w14:paraId="1B6398B1" w14:textId="77777777" w:rsidTr="00084AEB">
        <w:trPr>
          <w:trHeight w:val="425"/>
          <w:jc w:val="center"/>
        </w:trPr>
        <w:tc>
          <w:tcPr>
            <w:tcW w:w="7792" w:type="dxa"/>
            <w:vAlign w:val="center"/>
          </w:tcPr>
          <w:p w14:paraId="1AF4D21F" w14:textId="77777777" w:rsidR="00625D2D" w:rsidRPr="003C6A11" w:rsidRDefault="00625D2D" w:rsidP="00084AEB">
            <w:pPr>
              <w:rPr>
                <w:rFonts w:cs="Arial"/>
                <w:szCs w:val="20"/>
              </w:rPr>
            </w:pPr>
            <w:r w:rsidRPr="003C6A11">
              <w:rPr>
                <w:rFonts w:cs="Arial"/>
                <w:szCs w:val="20"/>
              </w:rPr>
              <w:t>Barevné provedení – černá nebo tmavě šedá</w:t>
            </w:r>
          </w:p>
        </w:tc>
        <w:tc>
          <w:tcPr>
            <w:tcW w:w="2976" w:type="dxa"/>
            <w:vAlign w:val="center"/>
          </w:tcPr>
          <w:p w14:paraId="3D2DBDDD" w14:textId="77777777" w:rsidR="00625D2D" w:rsidRPr="003C6A11" w:rsidRDefault="00625D2D" w:rsidP="00084AEB">
            <w:pPr>
              <w:jc w:val="center"/>
              <w:rPr>
                <w:rFonts w:cs="Arial"/>
                <w:szCs w:val="20"/>
              </w:rPr>
            </w:pPr>
            <w:r>
              <w:rPr>
                <w:rFonts w:cs="Arial"/>
                <w:b/>
                <w:bCs/>
                <w:szCs w:val="20"/>
              </w:rPr>
              <w:t>ANO</w:t>
            </w:r>
          </w:p>
        </w:tc>
        <w:tc>
          <w:tcPr>
            <w:tcW w:w="3026" w:type="dxa"/>
            <w:vAlign w:val="center"/>
          </w:tcPr>
          <w:p w14:paraId="1ED98F85" w14:textId="77777777" w:rsidR="00625D2D" w:rsidRPr="003C6A11" w:rsidRDefault="00625D2D" w:rsidP="00084AEB">
            <w:pPr>
              <w:jc w:val="center"/>
              <w:rPr>
                <w:rFonts w:cs="Arial"/>
                <w:szCs w:val="20"/>
              </w:rPr>
            </w:pPr>
            <w:r>
              <w:rPr>
                <w:rFonts w:cs="Arial"/>
                <w:i/>
                <w:iCs/>
                <w:szCs w:val="20"/>
              </w:rPr>
              <w:t>černá</w:t>
            </w:r>
          </w:p>
        </w:tc>
      </w:tr>
      <w:tr w:rsidR="00625D2D" w:rsidRPr="003C6A11" w14:paraId="6D0A349D" w14:textId="77777777" w:rsidTr="00084AEB">
        <w:trPr>
          <w:trHeight w:val="425"/>
          <w:jc w:val="center"/>
        </w:trPr>
        <w:tc>
          <w:tcPr>
            <w:tcW w:w="7792" w:type="dxa"/>
            <w:vAlign w:val="center"/>
          </w:tcPr>
          <w:p w14:paraId="56E57AB1" w14:textId="77777777" w:rsidR="00625D2D" w:rsidRPr="003C6A11" w:rsidRDefault="00625D2D" w:rsidP="00084AEB">
            <w:pPr>
              <w:rPr>
                <w:rFonts w:cs="Arial"/>
                <w:szCs w:val="20"/>
              </w:rPr>
            </w:pPr>
            <w:r w:rsidRPr="003C6A11">
              <w:rPr>
                <w:rFonts w:cs="Arial"/>
                <w:szCs w:val="20"/>
              </w:rPr>
              <w:t>Nastavitelná výška</w:t>
            </w:r>
          </w:p>
        </w:tc>
        <w:tc>
          <w:tcPr>
            <w:tcW w:w="2976" w:type="dxa"/>
            <w:vAlign w:val="center"/>
          </w:tcPr>
          <w:p w14:paraId="3CA0C193"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7E2F061B" w14:textId="77777777" w:rsidR="00625D2D" w:rsidRPr="00C415F5" w:rsidRDefault="00625D2D" w:rsidP="00084AEB">
            <w:pPr>
              <w:jc w:val="center"/>
              <w:rPr>
                <w:rFonts w:cs="Arial"/>
                <w:i/>
                <w:iCs/>
                <w:szCs w:val="20"/>
              </w:rPr>
            </w:pPr>
            <w:r w:rsidRPr="00C415F5">
              <w:rPr>
                <w:rFonts w:cs="Arial"/>
                <w:i/>
                <w:iCs/>
                <w:szCs w:val="20"/>
              </w:rPr>
              <w:t>150 mm</w:t>
            </w:r>
          </w:p>
        </w:tc>
      </w:tr>
      <w:tr w:rsidR="00625D2D" w:rsidRPr="003C6A11" w14:paraId="613B07AC" w14:textId="77777777" w:rsidTr="00084AEB">
        <w:trPr>
          <w:trHeight w:val="425"/>
          <w:jc w:val="center"/>
        </w:trPr>
        <w:tc>
          <w:tcPr>
            <w:tcW w:w="7792" w:type="dxa"/>
            <w:vAlign w:val="center"/>
          </w:tcPr>
          <w:p w14:paraId="3B916026" w14:textId="77777777" w:rsidR="00625D2D" w:rsidRPr="003C6A11" w:rsidRDefault="00625D2D" w:rsidP="00084AEB">
            <w:pPr>
              <w:rPr>
                <w:rFonts w:cs="Arial"/>
                <w:szCs w:val="20"/>
              </w:rPr>
            </w:pPr>
            <w:r w:rsidRPr="003C6A11">
              <w:rPr>
                <w:rFonts w:cs="Arial"/>
                <w:szCs w:val="20"/>
              </w:rPr>
              <w:t>Pivot</w:t>
            </w:r>
          </w:p>
        </w:tc>
        <w:tc>
          <w:tcPr>
            <w:tcW w:w="2976" w:type="dxa"/>
            <w:vAlign w:val="center"/>
          </w:tcPr>
          <w:p w14:paraId="5322680C" w14:textId="77777777" w:rsidR="00625D2D" w:rsidRPr="00C415F5" w:rsidRDefault="00625D2D" w:rsidP="00084AEB">
            <w:pPr>
              <w:jc w:val="center"/>
              <w:rPr>
                <w:rFonts w:cs="Arial"/>
                <w:b/>
                <w:bCs/>
                <w:szCs w:val="20"/>
              </w:rPr>
            </w:pPr>
            <w:r w:rsidRPr="00C415F5">
              <w:rPr>
                <w:rFonts w:cs="Arial"/>
                <w:b/>
                <w:bCs/>
                <w:szCs w:val="20"/>
              </w:rPr>
              <w:t>ANO</w:t>
            </w:r>
          </w:p>
        </w:tc>
        <w:tc>
          <w:tcPr>
            <w:tcW w:w="3026" w:type="dxa"/>
            <w:vAlign w:val="center"/>
          </w:tcPr>
          <w:p w14:paraId="69FE70D2" w14:textId="77777777" w:rsidR="00625D2D" w:rsidRPr="00C415F5" w:rsidRDefault="00625D2D" w:rsidP="00084AEB">
            <w:pPr>
              <w:jc w:val="center"/>
              <w:rPr>
                <w:rFonts w:cs="Arial"/>
                <w:szCs w:val="20"/>
              </w:rPr>
            </w:pPr>
            <w:r w:rsidRPr="00C415F5">
              <w:rPr>
                <w:rFonts w:cs="Arial"/>
                <w:i/>
                <w:iCs/>
                <w:szCs w:val="20"/>
              </w:rPr>
              <w:t>pivot</w:t>
            </w:r>
          </w:p>
        </w:tc>
      </w:tr>
      <w:tr w:rsidR="00625D2D" w:rsidRPr="003C6A11" w14:paraId="167A93F3" w14:textId="77777777" w:rsidTr="00084AEB">
        <w:trPr>
          <w:trHeight w:val="425"/>
          <w:jc w:val="center"/>
        </w:trPr>
        <w:tc>
          <w:tcPr>
            <w:tcW w:w="7792" w:type="dxa"/>
            <w:vAlign w:val="center"/>
          </w:tcPr>
          <w:p w14:paraId="30A23417" w14:textId="77777777" w:rsidR="00625D2D" w:rsidRPr="003C6A11" w:rsidRDefault="00625D2D" w:rsidP="00084AEB">
            <w:pPr>
              <w:rPr>
                <w:rFonts w:cs="Arial"/>
                <w:szCs w:val="20"/>
              </w:rPr>
            </w:pPr>
            <w:proofErr w:type="spellStart"/>
            <w:r w:rsidRPr="003C6A11">
              <w:rPr>
                <w:rFonts w:cs="Arial"/>
                <w:szCs w:val="20"/>
              </w:rPr>
              <w:t>Flicker</w:t>
            </w:r>
            <w:proofErr w:type="spellEnd"/>
            <w:r w:rsidRPr="003C6A11">
              <w:rPr>
                <w:rFonts w:cs="Arial"/>
                <w:szCs w:val="20"/>
              </w:rPr>
              <w:t xml:space="preserve"> free</w:t>
            </w:r>
          </w:p>
        </w:tc>
        <w:tc>
          <w:tcPr>
            <w:tcW w:w="2976" w:type="dxa"/>
            <w:vAlign w:val="center"/>
          </w:tcPr>
          <w:p w14:paraId="59B531B1" w14:textId="77777777" w:rsidR="00625D2D" w:rsidRPr="00C415F5" w:rsidRDefault="00625D2D" w:rsidP="00084AEB">
            <w:pPr>
              <w:jc w:val="center"/>
              <w:rPr>
                <w:rFonts w:cs="Arial"/>
                <w:szCs w:val="20"/>
              </w:rPr>
            </w:pPr>
            <w:r w:rsidRPr="00C415F5">
              <w:rPr>
                <w:rFonts w:cs="Arial"/>
                <w:b/>
                <w:bCs/>
                <w:szCs w:val="20"/>
              </w:rPr>
              <w:t>ANO</w:t>
            </w:r>
          </w:p>
        </w:tc>
        <w:tc>
          <w:tcPr>
            <w:tcW w:w="3026" w:type="dxa"/>
            <w:vAlign w:val="center"/>
          </w:tcPr>
          <w:p w14:paraId="17403D41" w14:textId="77777777" w:rsidR="00625D2D" w:rsidRPr="00C415F5" w:rsidRDefault="00625D2D" w:rsidP="00084AEB">
            <w:pPr>
              <w:jc w:val="center"/>
              <w:rPr>
                <w:rFonts w:cs="Arial"/>
                <w:szCs w:val="20"/>
              </w:rPr>
            </w:pPr>
            <w:proofErr w:type="spellStart"/>
            <w:r w:rsidRPr="00C415F5">
              <w:rPr>
                <w:rFonts w:cs="Arial"/>
                <w:i/>
                <w:iCs/>
                <w:szCs w:val="20"/>
              </w:rPr>
              <w:t>Flicker</w:t>
            </w:r>
            <w:proofErr w:type="spellEnd"/>
            <w:r w:rsidRPr="00C415F5">
              <w:rPr>
                <w:rFonts w:cs="Arial"/>
                <w:i/>
                <w:iCs/>
                <w:szCs w:val="20"/>
              </w:rPr>
              <w:t xml:space="preserve"> free</w:t>
            </w:r>
          </w:p>
        </w:tc>
      </w:tr>
      <w:tr w:rsidR="00625D2D" w:rsidRPr="003C6A11" w14:paraId="25494017" w14:textId="77777777" w:rsidTr="00084AEB">
        <w:trPr>
          <w:trHeight w:val="425"/>
          <w:jc w:val="center"/>
        </w:trPr>
        <w:tc>
          <w:tcPr>
            <w:tcW w:w="7792" w:type="dxa"/>
            <w:vAlign w:val="center"/>
          </w:tcPr>
          <w:p w14:paraId="778A80A1" w14:textId="77777777" w:rsidR="00625D2D" w:rsidRPr="003C6A11" w:rsidRDefault="00625D2D" w:rsidP="00084AEB">
            <w:pPr>
              <w:rPr>
                <w:rFonts w:cs="Arial"/>
                <w:szCs w:val="20"/>
              </w:rPr>
            </w:pPr>
            <w:r w:rsidRPr="003C6A11">
              <w:rPr>
                <w:rFonts w:cs="Arial"/>
                <w:szCs w:val="20"/>
              </w:rPr>
              <w:t>Redukce modrého světla</w:t>
            </w:r>
          </w:p>
        </w:tc>
        <w:tc>
          <w:tcPr>
            <w:tcW w:w="2976" w:type="dxa"/>
            <w:vAlign w:val="center"/>
          </w:tcPr>
          <w:p w14:paraId="177598E7" w14:textId="77777777" w:rsidR="00625D2D" w:rsidRPr="00C415F5" w:rsidRDefault="00625D2D" w:rsidP="00084AEB">
            <w:pPr>
              <w:jc w:val="center"/>
              <w:rPr>
                <w:rFonts w:cs="Arial"/>
                <w:szCs w:val="20"/>
              </w:rPr>
            </w:pPr>
            <w:r w:rsidRPr="00C415F5">
              <w:rPr>
                <w:rFonts w:cs="Arial"/>
                <w:b/>
                <w:bCs/>
                <w:szCs w:val="20"/>
              </w:rPr>
              <w:t>ANO</w:t>
            </w:r>
          </w:p>
        </w:tc>
        <w:tc>
          <w:tcPr>
            <w:tcW w:w="3026" w:type="dxa"/>
            <w:vAlign w:val="center"/>
          </w:tcPr>
          <w:p w14:paraId="15778580" w14:textId="77777777" w:rsidR="00625D2D" w:rsidRPr="00C415F5" w:rsidRDefault="00625D2D" w:rsidP="00084AEB">
            <w:pPr>
              <w:jc w:val="center"/>
              <w:rPr>
                <w:rFonts w:cs="Arial"/>
                <w:szCs w:val="20"/>
              </w:rPr>
            </w:pPr>
            <w:r w:rsidRPr="00C415F5">
              <w:rPr>
                <w:rFonts w:cs="Arial"/>
                <w:szCs w:val="20"/>
              </w:rPr>
              <w:t>Redukce modrého světla</w:t>
            </w:r>
          </w:p>
        </w:tc>
      </w:tr>
      <w:tr w:rsidR="00625D2D" w:rsidRPr="003C6A11" w14:paraId="58CCBC73" w14:textId="77777777" w:rsidTr="00084AEB">
        <w:trPr>
          <w:trHeight w:val="425"/>
          <w:jc w:val="center"/>
        </w:trPr>
        <w:tc>
          <w:tcPr>
            <w:tcW w:w="7792" w:type="dxa"/>
            <w:vAlign w:val="center"/>
          </w:tcPr>
          <w:p w14:paraId="062C7BDD" w14:textId="77777777" w:rsidR="00625D2D" w:rsidRPr="003C6A11" w:rsidRDefault="00625D2D" w:rsidP="00084AEB">
            <w:pPr>
              <w:rPr>
                <w:rFonts w:cs="Arial"/>
                <w:szCs w:val="20"/>
              </w:rPr>
            </w:pPr>
            <w:r w:rsidRPr="003C6A11">
              <w:rPr>
                <w:rFonts w:cs="Arial"/>
                <w:szCs w:val="20"/>
              </w:rPr>
              <w:lastRenderedPageBreak/>
              <w:t>Rozhraní HDMI i DP v nezmenšené verzi</w:t>
            </w:r>
          </w:p>
        </w:tc>
        <w:tc>
          <w:tcPr>
            <w:tcW w:w="2976" w:type="dxa"/>
            <w:vAlign w:val="center"/>
          </w:tcPr>
          <w:p w14:paraId="73988807" w14:textId="77777777" w:rsidR="00625D2D" w:rsidRPr="00C415F5" w:rsidRDefault="00625D2D" w:rsidP="00084AEB">
            <w:pPr>
              <w:jc w:val="center"/>
              <w:rPr>
                <w:rFonts w:cs="Arial"/>
                <w:szCs w:val="20"/>
              </w:rPr>
            </w:pPr>
            <w:r w:rsidRPr="00C415F5">
              <w:rPr>
                <w:rFonts w:cs="Arial"/>
                <w:b/>
                <w:bCs/>
                <w:szCs w:val="20"/>
              </w:rPr>
              <w:t>ANO</w:t>
            </w:r>
          </w:p>
        </w:tc>
        <w:tc>
          <w:tcPr>
            <w:tcW w:w="3026" w:type="dxa"/>
            <w:vAlign w:val="center"/>
          </w:tcPr>
          <w:p w14:paraId="3DA75DF8" w14:textId="77777777" w:rsidR="00625D2D" w:rsidRPr="00C415F5" w:rsidRDefault="00625D2D" w:rsidP="00084AEB">
            <w:pPr>
              <w:jc w:val="center"/>
              <w:rPr>
                <w:rFonts w:cs="Arial"/>
                <w:szCs w:val="20"/>
              </w:rPr>
            </w:pPr>
            <w:r w:rsidRPr="00C415F5">
              <w:rPr>
                <w:rFonts w:cs="Arial"/>
                <w:i/>
                <w:iCs/>
                <w:szCs w:val="20"/>
              </w:rPr>
              <w:t>HDMI a DP v nezmenšené verzi</w:t>
            </w:r>
          </w:p>
        </w:tc>
      </w:tr>
      <w:tr w:rsidR="00625D2D" w:rsidRPr="003C6A11" w14:paraId="5122B1A4" w14:textId="77777777" w:rsidTr="00084AEB">
        <w:trPr>
          <w:trHeight w:val="425"/>
          <w:jc w:val="center"/>
        </w:trPr>
        <w:tc>
          <w:tcPr>
            <w:tcW w:w="7792" w:type="dxa"/>
            <w:vAlign w:val="center"/>
          </w:tcPr>
          <w:p w14:paraId="41665AF3" w14:textId="77777777" w:rsidR="00625D2D" w:rsidRPr="003C6A11" w:rsidRDefault="00625D2D" w:rsidP="00084AEB">
            <w:pPr>
              <w:rPr>
                <w:rFonts w:cs="Arial"/>
                <w:szCs w:val="20"/>
              </w:rPr>
            </w:pPr>
            <w:r w:rsidRPr="003C6A11">
              <w:rPr>
                <w:rFonts w:cs="Arial"/>
                <w:szCs w:val="20"/>
              </w:rPr>
              <w:t>Externí zdroj není povolen</w:t>
            </w:r>
          </w:p>
        </w:tc>
        <w:tc>
          <w:tcPr>
            <w:tcW w:w="2976" w:type="dxa"/>
            <w:vAlign w:val="center"/>
          </w:tcPr>
          <w:p w14:paraId="0EBBE795" w14:textId="77777777" w:rsidR="00625D2D" w:rsidRPr="00C415F5" w:rsidRDefault="00625D2D" w:rsidP="00084AEB">
            <w:pPr>
              <w:jc w:val="center"/>
              <w:rPr>
                <w:rFonts w:cs="Arial"/>
                <w:szCs w:val="20"/>
              </w:rPr>
            </w:pPr>
            <w:r w:rsidRPr="00C415F5">
              <w:rPr>
                <w:rFonts w:cs="Arial"/>
                <w:b/>
                <w:bCs/>
                <w:szCs w:val="20"/>
              </w:rPr>
              <w:t>ANO</w:t>
            </w:r>
          </w:p>
        </w:tc>
        <w:tc>
          <w:tcPr>
            <w:tcW w:w="3026" w:type="dxa"/>
            <w:vAlign w:val="center"/>
          </w:tcPr>
          <w:p w14:paraId="59B007A9" w14:textId="77777777" w:rsidR="00625D2D" w:rsidRPr="00C415F5" w:rsidRDefault="00625D2D" w:rsidP="00084AEB">
            <w:pPr>
              <w:jc w:val="center"/>
              <w:rPr>
                <w:rFonts w:cs="Arial"/>
                <w:szCs w:val="20"/>
              </w:rPr>
            </w:pPr>
            <w:r w:rsidRPr="00C415F5">
              <w:rPr>
                <w:rFonts w:cs="Arial"/>
                <w:i/>
                <w:iCs/>
                <w:szCs w:val="20"/>
              </w:rPr>
              <w:t>Interní zdroj</w:t>
            </w:r>
          </w:p>
        </w:tc>
      </w:tr>
      <w:tr w:rsidR="00625D2D" w:rsidRPr="003C6A11" w14:paraId="5402D336" w14:textId="77777777" w:rsidTr="00084AEB">
        <w:trPr>
          <w:trHeight w:val="425"/>
          <w:jc w:val="center"/>
        </w:trPr>
        <w:tc>
          <w:tcPr>
            <w:tcW w:w="7792" w:type="dxa"/>
            <w:tcBorders>
              <w:bottom w:val="single" w:sz="4" w:space="0" w:color="auto"/>
            </w:tcBorders>
            <w:vAlign w:val="center"/>
          </w:tcPr>
          <w:p w14:paraId="3B05B2DA" w14:textId="77777777" w:rsidR="00625D2D" w:rsidRPr="003C6A11" w:rsidRDefault="00625D2D" w:rsidP="00084AEB">
            <w:pPr>
              <w:rPr>
                <w:rFonts w:cs="Arial"/>
                <w:szCs w:val="20"/>
              </w:rPr>
            </w:pPr>
            <w:r w:rsidRPr="003C6A11">
              <w:rPr>
                <w:rFonts w:cs="Arial"/>
                <w:szCs w:val="20"/>
              </w:rPr>
              <w:t>Příslušenství: DP a HDMI kabel (lze dodat zvlášť)</w:t>
            </w:r>
          </w:p>
        </w:tc>
        <w:tc>
          <w:tcPr>
            <w:tcW w:w="2976" w:type="dxa"/>
            <w:tcBorders>
              <w:bottom w:val="single" w:sz="4" w:space="0" w:color="auto"/>
            </w:tcBorders>
            <w:vAlign w:val="center"/>
          </w:tcPr>
          <w:p w14:paraId="64AB199A" w14:textId="77777777" w:rsidR="00625D2D" w:rsidRPr="00C415F5" w:rsidRDefault="00625D2D" w:rsidP="00084AEB">
            <w:pPr>
              <w:jc w:val="center"/>
              <w:rPr>
                <w:rFonts w:cs="Arial"/>
                <w:b/>
                <w:bCs/>
                <w:szCs w:val="20"/>
              </w:rPr>
            </w:pPr>
            <w:r w:rsidRPr="00C415F5">
              <w:rPr>
                <w:rFonts w:cs="Arial"/>
                <w:b/>
                <w:bCs/>
                <w:szCs w:val="20"/>
              </w:rPr>
              <w:t>ANO</w:t>
            </w:r>
          </w:p>
        </w:tc>
        <w:tc>
          <w:tcPr>
            <w:tcW w:w="3026" w:type="dxa"/>
            <w:tcBorders>
              <w:bottom w:val="single" w:sz="4" w:space="0" w:color="auto"/>
            </w:tcBorders>
            <w:vAlign w:val="center"/>
          </w:tcPr>
          <w:p w14:paraId="130222EE" w14:textId="77777777" w:rsidR="00625D2D" w:rsidRPr="00C415F5" w:rsidRDefault="00625D2D" w:rsidP="00084AEB">
            <w:pPr>
              <w:jc w:val="center"/>
              <w:rPr>
                <w:rFonts w:cs="Arial"/>
                <w:i/>
                <w:iCs/>
                <w:szCs w:val="20"/>
              </w:rPr>
            </w:pPr>
            <w:r w:rsidRPr="00C415F5">
              <w:rPr>
                <w:rFonts w:cs="Arial"/>
                <w:i/>
                <w:iCs/>
                <w:szCs w:val="20"/>
              </w:rPr>
              <w:t>DP a HDMI kabel součástí</w:t>
            </w:r>
          </w:p>
        </w:tc>
      </w:tr>
    </w:tbl>
    <w:p w14:paraId="0B6D94CA" w14:textId="77777777" w:rsidR="00625D2D" w:rsidRPr="003C6A11" w:rsidRDefault="00625D2D" w:rsidP="00625D2D">
      <w:pPr>
        <w:spacing w:after="0" w:line="240" w:lineRule="auto"/>
        <w:rPr>
          <w:rFonts w:cs="Arial"/>
          <w:b/>
          <w:bCs/>
          <w:szCs w:val="20"/>
        </w:rPr>
      </w:pPr>
    </w:p>
    <w:p w14:paraId="05F1B884" w14:textId="77777777" w:rsidR="00625D2D" w:rsidRPr="00383D6A" w:rsidRDefault="00625D2D" w:rsidP="00625D2D">
      <w:pPr>
        <w:spacing w:after="0" w:line="240" w:lineRule="auto"/>
        <w:rPr>
          <w:rFonts w:cs="Arial"/>
          <w:b/>
          <w:bCs/>
          <w:sz w:val="22"/>
          <w:u w:val="single"/>
        </w:rPr>
      </w:pPr>
      <w:r w:rsidRPr="00383D6A">
        <w:rPr>
          <w:rFonts w:cs="Arial"/>
          <w:b/>
          <w:bCs/>
          <w:sz w:val="22"/>
          <w:u w:val="single"/>
        </w:rPr>
        <w:t>Záruka, servis a ostatní</w:t>
      </w:r>
    </w:p>
    <w:p w14:paraId="25405D19" w14:textId="77777777" w:rsidR="00625D2D" w:rsidRPr="003C6A11" w:rsidRDefault="00625D2D" w:rsidP="00625D2D">
      <w:pPr>
        <w:pStyle w:val="Odstavecseseznamem"/>
        <w:numPr>
          <w:ilvl w:val="0"/>
          <w:numId w:val="21"/>
        </w:numPr>
        <w:jc w:val="both"/>
        <w:rPr>
          <w:rFonts w:cs="Arial"/>
          <w:szCs w:val="20"/>
        </w:rPr>
      </w:pPr>
      <w:bookmarkStart w:id="5" w:name="_Hlk188602633"/>
      <w:r w:rsidRPr="003C6A11">
        <w:rPr>
          <w:rFonts w:cs="Arial"/>
          <w:b/>
          <w:bCs/>
          <w:szCs w:val="20"/>
        </w:rPr>
        <w:t>Záruka min. 24 měsíců.</w:t>
      </w:r>
      <w:r w:rsidRPr="003C6A11">
        <w:rPr>
          <w:rFonts w:cs="Arial"/>
          <w:szCs w:val="20"/>
        </w:rPr>
        <w:t xml:space="preserve"> Záruka v ČR garantovaná výrobcem</w:t>
      </w:r>
      <w:r>
        <w:rPr>
          <w:rFonts w:cs="Arial"/>
          <w:szCs w:val="20"/>
        </w:rPr>
        <w:t>. D</w:t>
      </w:r>
      <w:r w:rsidRPr="003C6A11">
        <w:rPr>
          <w:rFonts w:cs="Arial"/>
          <w:szCs w:val="20"/>
        </w:rPr>
        <w:t>okončení opravy NBD on-</w:t>
      </w:r>
      <w:proofErr w:type="spellStart"/>
      <w:r w:rsidRPr="003C6A11">
        <w:rPr>
          <w:rFonts w:cs="Arial"/>
          <w:szCs w:val="20"/>
        </w:rPr>
        <w:t>site</w:t>
      </w:r>
      <w:proofErr w:type="spellEnd"/>
      <w:r w:rsidRPr="003C6A11">
        <w:rPr>
          <w:rFonts w:cs="Arial"/>
          <w:szCs w:val="20"/>
        </w:rPr>
        <w:t xml:space="preserve"> od nahlášení.</w:t>
      </w:r>
    </w:p>
    <w:p w14:paraId="314043F3" w14:textId="77777777" w:rsidR="00625D2D" w:rsidRPr="003C6A11" w:rsidRDefault="00625D2D" w:rsidP="00625D2D">
      <w:pPr>
        <w:pStyle w:val="Odstavecseseznamem"/>
        <w:numPr>
          <w:ilvl w:val="0"/>
          <w:numId w:val="0"/>
        </w:numPr>
        <w:ind w:left="720"/>
        <w:jc w:val="both"/>
        <w:rPr>
          <w:rFonts w:cs="Arial"/>
          <w:szCs w:val="20"/>
        </w:rPr>
      </w:pPr>
    </w:p>
    <w:p w14:paraId="097BA024" w14:textId="77777777" w:rsidR="00625D2D" w:rsidRPr="003C6A11" w:rsidRDefault="00625D2D" w:rsidP="00625D2D">
      <w:pPr>
        <w:pStyle w:val="Odstavecseseznamem"/>
        <w:numPr>
          <w:ilvl w:val="0"/>
          <w:numId w:val="21"/>
        </w:numPr>
        <w:jc w:val="both"/>
        <w:rPr>
          <w:rFonts w:cs="Arial"/>
          <w:szCs w:val="20"/>
        </w:rPr>
      </w:pPr>
      <w:r w:rsidRPr="003C6A11">
        <w:rPr>
          <w:rFonts w:cs="Arial"/>
          <w:szCs w:val="20"/>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účastnický tarif) v českém /slovenském jazyce musí být dostupná v pracovní dny minimálně v době od 9:00 do 16:00 hod. Podpora prostřednictvím internetu musí umožňovat stahování ovladačů a manuálů z internetu adresně pro konkrétní zadané sériové číslo zařízení nebo jiný unikátní identifikátor na zařízení.</w:t>
      </w:r>
      <w:bookmarkEnd w:id="5"/>
    </w:p>
    <w:p w14:paraId="66BB36E7" w14:textId="77777777" w:rsidR="00625D2D" w:rsidRPr="003C6A11" w:rsidRDefault="00625D2D" w:rsidP="00625D2D">
      <w:pPr>
        <w:pStyle w:val="Odstavecseseznamem"/>
        <w:numPr>
          <w:ilvl w:val="0"/>
          <w:numId w:val="0"/>
        </w:numPr>
        <w:ind w:left="720"/>
        <w:jc w:val="both"/>
        <w:rPr>
          <w:rFonts w:cs="Arial"/>
          <w:szCs w:val="20"/>
        </w:rPr>
      </w:pPr>
    </w:p>
    <w:p w14:paraId="3736341B" w14:textId="77777777" w:rsidR="00625D2D" w:rsidRPr="008802F8" w:rsidRDefault="00625D2D" w:rsidP="00625D2D">
      <w:pPr>
        <w:pStyle w:val="Odstavecseseznamem"/>
        <w:numPr>
          <w:ilvl w:val="0"/>
          <w:numId w:val="21"/>
        </w:numPr>
        <w:jc w:val="both"/>
        <w:rPr>
          <w:rFonts w:cs="Arial"/>
          <w:szCs w:val="20"/>
        </w:rPr>
      </w:pPr>
      <w:r w:rsidRPr="003C6A11">
        <w:rPr>
          <w:rFonts w:cs="Arial"/>
          <w:szCs w:val="20"/>
        </w:rPr>
        <w:t>Zařízení musí splňovat</w:t>
      </w:r>
      <w:r>
        <w:rPr>
          <w:rFonts w:cs="Arial"/>
          <w:szCs w:val="20"/>
        </w:rPr>
        <w:t xml:space="preserve"> (pokud je to pro daný typ zařízení relevantní)</w:t>
      </w:r>
      <w:r w:rsidRPr="003C6A11">
        <w:rPr>
          <w:rFonts w:cs="Arial"/>
          <w:szCs w:val="20"/>
        </w:rPr>
        <w:t xml:space="preserve">: Nařízení Komise EU č. 617/2013 ze dne 26. června 2013, kterým se provádí směrnice Evropského parlamentu a Rady 2009/2009/125/ES, soulad s direktivou </w:t>
      </w:r>
      <w:proofErr w:type="spellStart"/>
      <w:r w:rsidRPr="003C6A11">
        <w:rPr>
          <w:rFonts w:cs="Arial"/>
          <w:szCs w:val="20"/>
        </w:rPr>
        <w:t>RoHS</w:t>
      </w:r>
      <w:proofErr w:type="spellEnd"/>
      <w:r w:rsidRPr="003C6A11">
        <w:rPr>
          <w:rFonts w:cs="Arial"/>
          <w:szCs w:val="20"/>
        </w:rPr>
        <w:t xml:space="preserve"> (</w:t>
      </w:r>
      <w:proofErr w:type="spellStart"/>
      <w:r w:rsidRPr="003C6A11">
        <w:rPr>
          <w:rFonts w:cs="Arial"/>
          <w:szCs w:val="20"/>
        </w:rPr>
        <w:t>Restriction</w:t>
      </w:r>
      <w:proofErr w:type="spellEnd"/>
      <w:r w:rsidRPr="003C6A11">
        <w:rPr>
          <w:rFonts w:cs="Arial"/>
          <w:szCs w:val="20"/>
        </w:rPr>
        <w:t xml:space="preserve"> </w:t>
      </w:r>
      <w:proofErr w:type="spellStart"/>
      <w:r w:rsidRPr="003C6A11">
        <w:rPr>
          <w:rFonts w:cs="Arial"/>
          <w:szCs w:val="20"/>
        </w:rPr>
        <w:t>of</w:t>
      </w:r>
      <w:proofErr w:type="spellEnd"/>
      <w:r w:rsidRPr="003C6A11">
        <w:rPr>
          <w:rFonts w:cs="Arial"/>
          <w:szCs w:val="20"/>
        </w:rPr>
        <w:t xml:space="preserve"> Use </w:t>
      </w:r>
      <w:proofErr w:type="spellStart"/>
      <w:r w:rsidRPr="003C6A11">
        <w:rPr>
          <w:rFonts w:cs="Arial"/>
          <w:szCs w:val="20"/>
        </w:rPr>
        <w:t>of</w:t>
      </w:r>
      <w:proofErr w:type="spellEnd"/>
      <w:r w:rsidRPr="003C6A11">
        <w:rPr>
          <w:rFonts w:cs="Arial"/>
          <w:szCs w:val="20"/>
        </w:rPr>
        <w:t xml:space="preserve"> </w:t>
      </w:r>
      <w:proofErr w:type="spellStart"/>
      <w:r w:rsidRPr="003C6A11">
        <w:rPr>
          <w:rFonts w:cs="Arial"/>
          <w:szCs w:val="20"/>
        </w:rPr>
        <w:t>Certain</w:t>
      </w:r>
      <w:proofErr w:type="spellEnd"/>
      <w:r w:rsidRPr="003C6A11">
        <w:rPr>
          <w:rFonts w:cs="Arial"/>
          <w:szCs w:val="20"/>
        </w:rPr>
        <w:t xml:space="preserve"> </w:t>
      </w:r>
      <w:proofErr w:type="spellStart"/>
      <w:r w:rsidRPr="003C6A11">
        <w:rPr>
          <w:rFonts w:cs="Arial"/>
          <w:szCs w:val="20"/>
        </w:rPr>
        <w:t>Hazardous</w:t>
      </w:r>
      <w:proofErr w:type="spellEnd"/>
      <w:r w:rsidRPr="003C6A11">
        <w:rPr>
          <w:rFonts w:cs="Arial"/>
          <w:szCs w:val="20"/>
        </w:rPr>
        <w:t xml:space="preserve"> </w:t>
      </w:r>
      <w:proofErr w:type="spellStart"/>
      <w:r w:rsidRPr="003C6A11">
        <w:rPr>
          <w:rFonts w:cs="Arial"/>
          <w:szCs w:val="20"/>
        </w:rPr>
        <w:t>Substances</w:t>
      </w:r>
      <w:proofErr w:type="spellEnd"/>
      <w:r w:rsidRPr="003C6A11">
        <w:rPr>
          <w:rFonts w:cs="Arial"/>
          <w:szCs w:val="20"/>
        </w:rPr>
        <w:t>), certifikát EPEAT (</w:t>
      </w:r>
      <w:proofErr w:type="spellStart"/>
      <w:r w:rsidRPr="003C6A11">
        <w:rPr>
          <w:rFonts w:cs="Arial"/>
          <w:szCs w:val="20"/>
        </w:rPr>
        <w:t>Electronic</w:t>
      </w:r>
      <w:proofErr w:type="spellEnd"/>
      <w:r w:rsidRPr="003C6A11">
        <w:rPr>
          <w:rFonts w:cs="Arial"/>
          <w:szCs w:val="20"/>
        </w:rPr>
        <w:t xml:space="preserve"> </w:t>
      </w:r>
      <w:proofErr w:type="spellStart"/>
      <w:r w:rsidRPr="003C6A11">
        <w:rPr>
          <w:rFonts w:cs="Arial"/>
          <w:szCs w:val="20"/>
        </w:rPr>
        <w:t>Product</w:t>
      </w:r>
      <w:proofErr w:type="spellEnd"/>
      <w:r w:rsidRPr="003C6A11">
        <w:rPr>
          <w:rFonts w:cs="Arial"/>
          <w:szCs w:val="20"/>
        </w:rPr>
        <w:t xml:space="preserve"> </w:t>
      </w:r>
      <w:proofErr w:type="spellStart"/>
      <w:r w:rsidRPr="003C6A11">
        <w:rPr>
          <w:rFonts w:cs="Arial"/>
          <w:szCs w:val="20"/>
        </w:rPr>
        <w:t>Environmental</w:t>
      </w:r>
      <w:proofErr w:type="spellEnd"/>
      <w:r w:rsidRPr="003C6A11">
        <w:rPr>
          <w:rFonts w:cs="Arial"/>
          <w:szCs w:val="20"/>
        </w:rPr>
        <w:t xml:space="preserve"> </w:t>
      </w:r>
      <w:proofErr w:type="spellStart"/>
      <w:r w:rsidRPr="003C6A11">
        <w:rPr>
          <w:rFonts w:cs="Arial"/>
          <w:szCs w:val="20"/>
        </w:rPr>
        <w:t>Assessment</w:t>
      </w:r>
      <w:proofErr w:type="spellEnd"/>
      <w:r w:rsidRPr="003C6A11">
        <w:rPr>
          <w:rFonts w:cs="Arial"/>
          <w:szCs w:val="20"/>
        </w:rPr>
        <w:t xml:space="preserve"> </w:t>
      </w:r>
      <w:proofErr w:type="spellStart"/>
      <w:r w:rsidRPr="003C6A11">
        <w:rPr>
          <w:rFonts w:cs="Arial"/>
          <w:szCs w:val="20"/>
        </w:rPr>
        <w:t>Tool</w:t>
      </w:r>
      <w:proofErr w:type="spellEnd"/>
      <w:r w:rsidRPr="003C6A11">
        <w:rPr>
          <w:rFonts w:cs="Arial"/>
          <w:szCs w:val="20"/>
        </w:rPr>
        <w:t xml:space="preserve">), </w:t>
      </w:r>
      <w:r w:rsidRPr="003C6A11">
        <w:rPr>
          <w:rFonts w:cs="Arial"/>
          <w:bCs/>
          <w:szCs w:val="20"/>
        </w:rPr>
        <w:t xml:space="preserve">TCO </w:t>
      </w:r>
      <w:proofErr w:type="spellStart"/>
      <w:r w:rsidRPr="003C6A11">
        <w:rPr>
          <w:rFonts w:cs="Arial"/>
          <w:bCs/>
          <w:szCs w:val="20"/>
        </w:rPr>
        <w:t>Edge</w:t>
      </w:r>
      <w:proofErr w:type="spellEnd"/>
      <w:r w:rsidRPr="003C6A11">
        <w:rPr>
          <w:rFonts w:cs="Arial"/>
          <w:bCs/>
          <w:szCs w:val="20"/>
        </w:rPr>
        <w:t xml:space="preserve"> a </w:t>
      </w:r>
      <w:proofErr w:type="spellStart"/>
      <w:r w:rsidRPr="003C6A11">
        <w:rPr>
          <w:rFonts w:cs="Arial"/>
          <w:bCs/>
          <w:szCs w:val="20"/>
        </w:rPr>
        <w:t>Energy</w:t>
      </w:r>
      <w:proofErr w:type="spellEnd"/>
      <w:r w:rsidRPr="003C6A11">
        <w:rPr>
          <w:rFonts w:cs="Arial"/>
          <w:bCs/>
          <w:szCs w:val="20"/>
        </w:rPr>
        <w:t xml:space="preserve"> Star.</w:t>
      </w:r>
    </w:p>
    <w:p w14:paraId="187F61EA" w14:textId="77777777" w:rsidR="00625D2D" w:rsidRPr="003C6A11" w:rsidRDefault="00625D2D" w:rsidP="00625D2D">
      <w:pPr>
        <w:pStyle w:val="Odstavecseseznamem"/>
        <w:numPr>
          <w:ilvl w:val="0"/>
          <w:numId w:val="0"/>
        </w:numPr>
        <w:ind w:left="1434"/>
        <w:rPr>
          <w:rFonts w:cs="Arial"/>
          <w:szCs w:val="20"/>
        </w:rPr>
      </w:pPr>
    </w:p>
    <w:tbl>
      <w:tblPr>
        <w:tblStyle w:val="Mkatabulky"/>
        <w:tblW w:w="0" w:type="auto"/>
        <w:jc w:val="center"/>
        <w:shd w:val="clear" w:color="auto" w:fill="FDE9D9" w:themeFill="accent6" w:themeFillTint="33"/>
        <w:tblLook w:val="04A0" w:firstRow="1" w:lastRow="0" w:firstColumn="1" w:lastColumn="0" w:noHBand="0" w:noVBand="1"/>
      </w:tblPr>
      <w:tblGrid>
        <w:gridCol w:w="6897"/>
        <w:gridCol w:w="6897"/>
      </w:tblGrid>
      <w:tr w:rsidR="00625D2D" w:rsidRPr="003C6A11" w14:paraId="480C6AB7" w14:textId="77777777" w:rsidTr="00084AEB">
        <w:trPr>
          <w:trHeight w:val="567"/>
          <w:jc w:val="center"/>
        </w:trPr>
        <w:tc>
          <w:tcPr>
            <w:tcW w:w="6897" w:type="dxa"/>
            <w:shd w:val="clear" w:color="auto" w:fill="FDE9D9" w:themeFill="accent6" w:themeFillTint="33"/>
            <w:vAlign w:val="center"/>
          </w:tcPr>
          <w:p w14:paraId="69DC1A82" w14:textId="77777777" w:rsidR="00625D2D" w:rsidRPr="001754D5" w:rsidRDefault="00625D2D" w:rsidP="00084AEB">
            <w:pPr>
              <w:rPr>
                <w:rFonts w:cs="Arial"/>
                <w:szCs w:val="20"/>
              </w:rPr>
            </w:pPr>
            <w:r w:rsidRPr="001754D5">
              <w:rPr>
                <w:rFonts w:cs="Arial"/>
                <w:szCs w:val="20"/>
              </w:rPr>
              <w:t>Cena za 1 ks Monitor v Kč bez DPH:</w:t>
            </w:r>
          </w:p>
        </w:tc>
        <w:tc>
          <w:tcPr>
            <w:tcW w:w="6897" w:type="dxa"/>
            <w:shd w:val="clear" w:color="auto" w:fill="FDE9D9" w:themeFill="accent6" w:themeFillTint="33"/>
            <w:vAlign w:val="center"/>
          </w:tcPr>
          <w:p w14:paraId="3BF1D886" w14:textId="251D43FB" w:rsidR="00625D2D" w:rsidRPr="001754D5" w:rsidRDefault="00625D2D" w:rsidP="00084AEB">
            <w:pPr>
              <w:rPr>
                <w:rFonts w:cs="Arial"/>
                <w:szCs w:val="20"/>
              </w:rPr>
            </w:pPr>
            <w:r w:rsidRPr="001754D5">
              <w:rPr>
                <w:rFonts w:cs="Arial"/>
                <w:szCs w:val="20"/>
              </w:rPr>
              <w:t>3</w:t>
            </w:r>
            <w:r w:rsidR="000B03F9">
              <w:rPr>
                <w:rFonts w:cs="Arial"/>
                <w:szCs w:val="20"/>
              </w:rPr>
              <w:t xml:space="preserve"> </w:t>
            </w:r>
            <w:r w:rsidRPr="001754D5">
              <w:rPr>
                <w:rFonts w:cs="Arial"/>
                <w:szCs w:val="20"/>
              </w:rPr>
              <w:t>5</w:t>
            </w:r>
            <w:r>
              <w:rPr>
                <w:rFonts w:cs="Arial"/>
                <w:szCs w:val="20"/>
              </w:rPr>
              <w:t>0</w:t>
            </w:r>
            <w:r w:rsidRPr="001754D5">
              <w:rPr>
                <w:rFonts w:cs="Arial"/>
                <w:szCs w:val="20"/>
              </w:rPr>
              <w:t>7,00 Kč</w:t>
            </w:r>
          </w:p>
        </w:tc>
      </w:tr>
      <w:tr w:rsidR="00625D2D" w:rsidRPr="003C6A11" w14:paraId="62D3AF8D" w14:textId="77777777" w:rsidTr="00084AEB">
        <w:trPr>
          <w:trHeight w:val="567"/>
          <w:jc w:val="center"/>
        </w:trPr>
        <w:tc>
          <w:tcPr>
            <w:tcW w:w="6897" w:type="dxa"/>
            <w:shd w:val="clear" w:color="auto" w:fill="FDE9D9" w:themeFill="accent6" w:themeFillTint="33"/>
            <w:vAlign w:val="center"/>
          </w:tcPr>
          <w:p w14:paraId="1F66C6C0" w14:textId="77777777" w:rsidR="00625D2D" w:rsidRPr="001754D5" w:rsidRDefault="00625D2D" w:rsidP="00084AEB">
            <w:pPr>
              <w:rPr>
                <w:rFonts w:cs="Arial"/>
                <w:szCs w:val="20"/>
              </w:rPr>
            </w:pPr>
            <w:r w:rsidRPr="001754D5">
              <w:rPr>
                <w:rFonts w:cs="Arial"/>
                <w:szCs w:val="20"/>
              </w:rPr>
              <w:t>Cena za 1 ks Monitor v Kč vč. DPH:</w:t>
            </w:r>
          </w:p>
        </w:tc>
        <w:tc>
          <w:tcPr>
            <w:tcW w:w="6897" w:type="dxa"/>
            <w:shd w:val="clear" w:color="auto" w:fill="FDE9D9" w:themeFill="accent6" w:themeFillTint="33"/>
            <w:vAlign w:val="center"/>
          </w:tcPr>
          <w:p w14:paraId="44E3662D" w14:textId="6EC5AFE6" w:rsidR="00625D2D" w:rsidRPr="001754D5" w:rsidRDefault="00625D2D" w:rsidP="00084AEB">
            <w:pPr>
              <w:rPr>
                <w:rFonts w:cs="Arial"/>
                <w:szCs w:val="20"/>
              </w:rPr>
            </w:pPr>
            <w:r w:rsidRPr="001754D5">
              <w:rPr>
                <w:rFonts w:cs="Arial"/>
                <w:szCs w:val="20"/>
              </w:rPr>
              <w:t>4</w:t>
            </w:r>
            <w:r w:rsidR="000B03F9">
              <w:rPr>
                <w:rFonts w:cs="Arial"/>
                <w:szCs w:val="20"/>
              </w:rPr>
              <w:t xml:space="preserve"> </w:t>
            </w:r>
            <w:r w:rsidRPr="001754D5">
              <w:rPr>
                <w:rFonts w:cs="Arial"/>
                <w:szCs w:val="20"/>
              </w:rPr>
              <w:t>2</w:t>
            </w:r>
            <w:r>
              <w:rPr>
                <w:rFonts w:cs="Arial"/>
                <w:szCs w:val="20"/>
              </w:rPr>
              <w:t>43</w:t>
            </w:r>
            <w:r w:rsidRPr="001754D5">
              <w:rPr>
                <w:rFonts w:cs="Arial"/>
                <w:szCs w:val="20"/>
              </w:rPr>
              <w:t>,</w:t>
            </w:r>
            <w:r>
              <w:rPr>
                <w:rFonts w:cs="Arial"/>
                <w:szCs w:val="20"/>
              </w:rPr>
              <w:t>4</w:t>
            </w:r>
            <w:r w:rsidRPr="001754D5">
              <w:rPr>
                <w:rFonts w:cs="Arial"/>
                <w:szCs w:val="20"/>
              </w:rPr>
              <w:t>7 Kč</w:t>
            </w:r>
          </w:p>
        </w:tc>
      </w:tr>
      <w:tr w:rsidR="00625D2D" w:rsidRPr="003C6A11" w14:paraId="73F82408" w14:textId="77777777" w:rsidTr="00084AEB">
        <w:trPr>
          <w:trHeight w:val="567"/>
          <w:jc w:val="center"/>
        </w:trPr>
        <w:tc>
          <w:tcPr>
            <w:tcW w:w="6897" w:type="dxa"/>
            <w:shd w:val="clear" w:color="auto" w:fill="FBD4B4" w:themeFill="accent6" w:themeFillTint="66"/>
            <w:vAlign w:val="center"/>
          </w:tcPr>
          <w:p w14:paraId="6E02A0F1" w14:textId="77777777" w:rsidR="00625D2D" w:rsidRPr="003C6A11" w:rsidRDefault="00625D2D" w:rsidP="00084AEB">
            <w:pPr>
              <w:rPr>
                <w:rFonts w:cs="Arial"/>
                <w:b/>
                <w:bCs/>
                <w:szCs w:val="20"/>
              </w:rPr>
            </w:pPr>
            <w:r w:rsidRPr="003C6A11">
              <w:rPr>
                <w:rFonts w:cs="Arial"/>
                <w:b/>
                <w:bCs/>
                <w:szCs w:val="20"/>
              </w:rPr>
              <w:t>Celková cena za Část B - Monitory v Kč bez DPH:</w:t>
            </w:r>
          </w:p>
        </w:tc>
        <w:tc>
          <w:tcPr>
            <w:tcW w:w="6897" w:type="dxa"/>
            <w:shd w:val="clear" w:color="auto" w:fill="FBD4B4" w:themeFill="accent6" w:themeFillTint="66"/>
            <w:vAlign w:val="center"/>
          </w:tcPr>
          <w:p w14:paraId="75E52CE4" w14:textId="3BA23848" w:rsidR="00625D2D" w:rsidRPr="003C6A11" w:rsidRDefault="00625D2D" w:rsidP="00084AEB">
            <w:pPr>
              <w:rPr>
                <w:rFonts w:cs="Arial"/>
                <w:b/>
                <w:bCs/>
                <w:szCs w:val="20"/>
              </w:rPr>
            </w:pPr>
            <w:r>
              <w:rPr>
                <w:rFonts w:cs="Arial"/>
                <w:b/>
                <w:bCs/>
                <w:szCs w:val="20"/>
              </w:rPr>
              <w:t>596</w:t>
            </w:r>
            <w:r w:rsidR="002C2DA8">
              <w:rPr>
                <w:rFonts w:cs="Arial"/>
                <w:b/>
                <w:bCs/>
                <w:szCs w:val="20"/>
              </w:rPr>
              <w:t xml:space="preserve"> </w:t>
            </w:r>
            <w:r>
              <w:rPr>
                <w:rFonts w:cs="Arial"/>
                <w:b/>
                <w:bCs/>
                <w:szCs w:val="20"/>
              </w:rPr>
              <w:t>190,00 Kč</w:t>
            </w:r>
          </w:p>
        </w:tc>
      </w:tr>
      <w:tr w:rsidR="00625D2D" w:rsidRPr="003C6A11" w14:paraId="6E790068" w14:textId="77777777" w:rsidTr="00084AEB">
        <w:trPr>
          <w:trHeight w:val="567"/>
          <w:jc w:val="center"/>
        </w:trPr>
        <w:tc>
          <w:tcPr>
            <w:tcW w:w="6897" w:type="dxa"/>
            <w:shd w:val="clear" w:color="auto" w:fill="FDE9D9" w:themeFill="accent6" w:themeFillTint="33"/>
            <w:vAlign w:val="center"/>
          </w:tcPr>
          <w:p w14:paraId="118B34D4" w14:textId="77777777" w:rsidR="00625D2D" w:rsidRPr="003C6A11" w:rsidRDefault="00625D2D" w:rsidP="00084AEB">
            <w:pPr>
              <w:rPr>
                <w:rFonts w:cs="Arial"/>
                <w:szCs w:val="20"/>
              </w:rPr>
            </w:pPr>
            <w:r w:rsidRPr="003C6A11">
              <w:rPr>
                <w:rFonts w:cs="Arial"/>
                <w:szCs w:val="20"/>
              </w:rPr>
              <w:t>Celková cena za Část B - Monitory v Kč včetně DPH:</w:t>
            </w:r>
          </w:p>
        </w:tc>
        <w:tc>
          <w:tcPr>
            <w:tcW w:w="6897" w:type="dxa"/>
            <w:shd w:val="clear" w:color="auto" w:fill="FDE9D9" w:themeFill="accent6" w:themeFillTint="33"/>
            <w:vAlign w:val="center"/>
          </w:tcPr>
          <w:p w14:paraId="24766E7A" w14:textId="595604B0" w:rsidR="00625D2D" w:rsidRPr="003C6A11" w:rsidRDefault="00625D2D" w:rsidP="00084AEB">
            <w:pPr>
              <w:rPr>
                <w:rFonts w:cs="Arial"/>
                <w:szCs w:val="20"/>
              </w:rPr>
            </w:pPr>
            <w:r>
              <w:rPr>
                <w:rFonts w:cs="Arial"/>
                <w:szCs w:val="20"/>
              </w:rPr>
              <w:t>721</w:t>
            </w:r>
            <w:r w:rsidR="002C2DA8">
              <w:rPr>
                <w:rFonts w:cs="Arial"/>
                <w:szCs w:val="20"/>
              </w:rPr>
              <w:t xml:space="preserve"> </w:t>
            </w:r>
            <w:r>
              <w:rPr>
                <w:rFonts w:cs="Arial"/>
                <w:szCs w:val="20"/>
              </w:rPr>
              <w:t>389,90 Kč</w:t>
            </w:r>
          </w:p>
        </w:tc>
      </w:tr>
    </w:tbl>
    <w:p w14:paraId="33117790" w14:textId="77777777" w:rsidR="00625D2D" w:rsidRPr="003C6A11" w:rsidRDefault="00625D2D" w:rsidP="00625D2D">
      <w:pPr>
        <w:spacing w:after="0" w:line="240" w:lineRule="auto"/>
        <w:rPr>
          <w:rFonts w:cs="Arial"/>
          <w:b/>
          <w:bCs/>
          <w:szCs w:val="20"/>
        </w:rPr>
      </w:pPr>
    </w:p>
    <w:p w14:paraId="43D0F20D" w14:textId="77777777" w:rsidR="00625D2D" w:rsidRDefault="00625D2D" w:rsidP="00625D2D">
      <w:pPr>
        <w:spacing w:after="0" w:line="240" w:lineRule="auto"/>
        <w:rPr>
          <w:rFonts w:cs="Arial"/>
          <w:b/>
          <w:bCs/>
          <w:szCs w:val="20"/>
        </w:rPr>
      </w:pPr>
      <w:r w:rsidRPr="003C6A11">
        <w:rPr>
          <w:rFonts w:cs="Arial"/>
          <w:b/>
          <w:bCs/>
          <w:szCs w:val="20"/>
        </w:rPr>
        <w:t>Dodavatel čestně prohlašuje, že jím nabízené zboží bezvýhradně splňuje veškeré zadavatelem uvedené parametry a podmínky a jedná se o zboží nové a nepoužité.</w:t>
      </w:r>
    </w:p>
    <w:p w14:paraId="41E2C074" w14:textId="77777777" w:rsidR="00625D2D" w:rsidRDefault="00625D2D" w:rsidP="00625D2D">
      <w:pPr>
        <w:spacing w:after="0" w:line="240" w:lineRule="auto"/>
        <w:rPr>
          <w:rFonts w:cs="Arial"/>
          <w:b/>
          <w:bCs/>
          <w:szCs w:val="20"/>
        </w:rPr>
      </w:pPr>
    </w:p>
    <w:p w14:paraId="535CCD81" w14:textId="77CA0CFF" w:rsidR="00625D2D" w:rsidRDefault="00625D2D" w:rsidP="00625D2D">
      <w:pPr>
        <w:spacing w:after="0" w:line="240" w:lineRule="auto"/>
        <w:rPr>
          <w:rFonts w:cs="Arial"/>
          <w:szCs w:val="20"/>
          <w:highlight w:val="yellow"/>
        </w:rPr>
      </w:pPr>
      <w:r w:rsidRPr="00D87D9C">
        <w:rPr>
          <w:rFonts w:cs="Arial"/>
          <w:szCs w:val="20"/>
        </w:rPr>
        <w:t>V</w:t>
      </w:r>
      <w:r>
        <w:rPr>
          <w:rFonts w:cs="Arial"/>
          <w:szCs w:val="20"/>
        </w:rPr>
        <w:t> Ostravě dne</w:t>
      </w:r>
    </w:p>
    <w:p w14:paraId="2A44A72E" w14:textId="77777777" w:rsidR="00625D2D" w:rsidRDefault="00625D2D" w:rsidP="00625D2D">
      <w:pPr>
        <w:spacing w:after="0" w:line="240" w:lineRule="auto"/>
        <w:rPr>
          <w:rFonts w:cs="Arial"/>
          <w:szCs w:val="20"/>
          <w:highlight w:val="yellow"/>
        </w:rPr>
      </w:pPr>
    </w:p>
    <w:p w14:paraId="26CE56F8" w14:textId="77777777" w:rsidR="00625D2D" w:rsidRDefault="00625D2D" w:rsidP="00625D2D">
      <w:pPr>
        <w:spacing w:after="0" w:line="240" w:lineRule="auto"/>
        <w:rPr>
          <w:rFonts w:cs="Arial"/>
          <w:szCs w:val="20"/>
          <w:highlight w:val="yellow"/>
        </w:rPr>
      </w:pPr>
    </w:p>
    <w:p w14:paraId="6765AF86" w14:textId="77777777" w:rsidR="00625D2D" w:rsidRDefault="00625D2D" w:rsidP="00625D2D">
      <w:pPr>
        <w:spacing w:after="0" w:line="240" w:lineRule="auto"/>
        <w:rPr>
          <w:rFonts w:cs="Arial"/>
          <w:szCs w:val="20"/>
          <w:highlight w:val="yellow"/>
        </w:rPr>
      </w:pPr>
    </w:p>
    <w:p w14:paraId="5ECEF0B2" w14:textId="09AFA2EA" w:rsidR="00625D2D" w:rsidRPr="00430012" w:rsidRDefault="00625D2D" w:rsidP="00625D2D">
      <w:pPr>
        <w:spacing w:after="0" w:line="240" w:lineRule="auto"/>
        <w:rPr>
          <w:rFonts w:cs="Arial"/>
          <w:szCs w:val="20"/>
        </w:rPr>
      </w:pPr>
      <w:r w:rsidRPr="00430012">
        <w:rPr>
          <w:rFonts w:cs="Arial"/>
          <w:szCs w:val="20"/>
        </w:rPr>
        <w:t>..............................................</w:t>
      </w:r>
      <w:r w:rsidR="007C421B">
        <w:rPr>
          <w:rFonts w:cs="Arial"/>
          <w:szCs w:val="20"/>
        </w:rPr>
        <w:t>..........</w:t>
      </w:r>
    </w:p>
    <w:p w14:paraId="4D66DF26" w14:textId="429E9B9D" w:rsidR="001704FC" w:rsidRPr="00625D2D" w:rsidRDefault="00625D2D" w:rsidP="001704FC">
      <w:pPr>
        <w:spacing w:after="0" w:line="240" w:lineRule="auto"/>
        <w:rPr>
          <w:rFonts w:cs="Arial"/>
          <w:b/>
          <w:bCs/>
          <w:szCs w:val="20"/>
        </w:rPr>
      </w:pPr>
      <w:r w:rsidRPr="00430012">
        <w:rPr>
          <w:rFonts w:cs="Arial"/>
          <w:b/>
          <w:bCs/>
          <w:szCs w:val="20"/>
        </w:rPr>
        <w:t xml:space="preserve">Ing. Petr </w:t>
      </w:r>
      <w:proofErr w:type="spellStart"/>
      <w:r w:rsidRPr="00430012">
        <w:rPr>
          <w:rFonts w:cs="Arial"/>
          <w:b/>
          <w:bCs/>
          <w:szCs w:val="20"/>
        </w:rPr>
        <w:t>Varecha</w:t>
      </w:r>
      <w:proofErr w:type="spellEnd"/>
      <w:r w:rsidRPr="00430012">
        <w:rPr>
          <w:rFonts w:cs="Arial"/>
          <w:b/>
          <w:bCs/>
          <w:szCs w:val="20"/>
        </w:rPr>
        <w:t>, jednatel</w:t>
      </w:r>
      <w:r w:rsidRPr="00430012">
        <w:rPr>
          <w:rFonts w:cs="Arial"/>
          <w:b/>
          <w:bCs/>
          <w:szCs w:val="20"/>
        </w:rPr>
        <w:br/>
      </w:r>
      <w:proofErr w:type="spellStart"/>
      <w:r w:rsidRPr="00430012">
        <w:rPr>
          <w:rFonts w:cs="Arial"/>
          <w:b/>
          <w:bCs/>
          <w:szCs w:val="20"/>
        </w:rPr>
        <w:t>Mevra</w:t>
      </w:r>
      <w:proofErr w:type="spellEnd"/>
      <w:r w:rsidRPr="00430012">
        <w:rPr>
          <w:rFonts w:cs="Arial"/>
          <w:b/>
          <w:bCs/>
          <w:szCs w:val="20"/>
        </w:rPr>
        <w:t xml:space="preserve"> </w:t>
      </w:r>
      <w:proofErr w:type="spellStart"/>
      <w:r w:rsidRPr="00430012">
        <w:rPr>
          <w:rFonts w:cs="Arial"/>
          <w:b/>
          <w:bCs/>
          <w:szCs w:val="20"/>
        </w:rPr>
        <w:t>computers</w:t>
      </w:r>
      <w:proofErr w:type="spellEnd"/>
      <w:r w:rsidRPr="00430012">
        <w:rPr>
          <w:rFonts w:cs="Arial"/>
          <w:b/>
          <w:bCs/>
          <w:szCs w:val="20"/>
        </w:rPr>
        <w:t xml:space="preserve"> s.r.o.</w:t>
      </w:r>
    </w:p>
    <w:sectPr w:rsidR="001704FC" w:rsidRPr="00625D2D" w:rsidSect="00450705">
      <w:pgSz w:w="16838" w:h="11906" w:orient="landscape"/>
      <w:pgMar w:top="1134" w:right="1418" w:bottom="1134"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186C" w14:textId="77777777" w:rsidR="001C778C" w:rsidRDefault="001C778C" w:rsidP="004C64CE">
      <w:pPr>
        <w:spacing w:after="0" w:line="240" w:lineRule="auto"/>
      </w:pPr>
      <w:r>
        <w:separator/>
      </w:r>
    </w:p>
  </w:endnote>
  <w:endnote w:type="continuationSeparator" w:id="0">
    <w:p w14:paraId="03D6399C" w14:textId="77777777" w:rsidR="001C778C" w:rsidRDefault="001C778C" w:rsidP="004C64CE">
      <w:pPr>
        <w:spacing w:after="0" w:line="240" w:lineRule="auto"/>
      </w:pPr>
      <w:r>
        <w:continuationSeparator/>
      </w:r>
    </w:p>
  </w:endnote>
  <w:endnote w:type="continuationNotice" w:id="1">
    <w:p w14:paraId="06A6C5DE" w14:textId="77777777" w:rsidR="001C778C" w:rsidRDefault="001C7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80544"/>
      <w:docPartObj>
        <w:docPartGallery w:val="Page Numbers (Bottom of Page)"/>
        <w:docPartUnique/>
      </w:docPartObj>
    </w:sdtPr>
    <w:sdtContent>
      <w:sdt>
        <w:sdtPr>
          <w:id w:val="-1769616900"/>
          <w:docPartObj>
            <w:docPartGallery w:val="Page Numbers (Top of Page)"/>
            <w:docPartUnique/>
          </w:docPartObj>
        </w:sdtPr>
        <w:sdtContent>
          <w:p w14:paraId="2AB4F8C2" w14:textId="4E1DECB0" w:rsidR="003349E4" w:rsidRPr="00B67ECF" w:rsidRDefault="00B67ECF" w:rsidP="00B67EC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172001"/>
      <w:docPartObj>
        <w:docPartGallery w:val="Page Numbers (Bottom of Page)"/>
        <w:docPartUnique/>
      </w:docPartObj>
    </w:sdtPr>
    <w:sdtContent>
      <w:sdt>
        <w:sdtPr>
          <w:id w:val="-1294900694"/>
          <w:docPartObj>
            <w:docPartGallery w:val="Page Numbers (Top of Page)"/>
            <w:docPartUnique/>
          </w:docPartObj>
        </w:sdtPr>
        <w:sdtContent>
          <w:p w14:paraId="59F55D87" w14:textId="67DC2E63" w:rsidR="00C902EA" w:rsidRPr="00B67ECF" w:rsidRDefault="00B67ECF" w:rsidP="00B67EC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36" w14:textId="77777777" w:rsidR="001C778C" w:rsidRDefault="001C778C" w:rsidP="004C64CE">
      <w:pPr>
        <w:spacing w:after="0" w:line="240" w:lineRule="auto"/>
      </w:pPr>
      <w:r>
        <w:separator/>
      </w:r>
    </w:p>
  </w:footnote>
  <w:footnote w:type="continuationSeparator" w:id="0">
    <w:p w14:paraId="1C4F8B60" w14:textId="77777777" w:rsidR="001C778C" w:rsidRDefault="001C778C" w:rsidP="004C64CE">
      <w:pPr>
        <w:spacing w:after="0" w:line="240" w:lineRule="auto"/>
      </w:pPr>
      <w:r>
        <w:continuationSeparator/>
      </w:r>
    </w:p>
  </w:footnote>
  <w:footnote w:type="continuationNotice" w:id="1">
    <w:p w14:paraId="242B59A4" w14:textId="77777777" w:rsidR="001C778C" w:rsidRDefault="001C7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164290DB" w:rsidR="004F10CD" w:rsidRPr="00C524C0" w:rsidRDefault="00084B8E" w:rsidP="004F10CD">
    <w:pPr>
      <w:pStyle w:val="Zhlav"/>
      <w:jc w:val="right"/>
    </w:pPr>
    <w:r w:rsidRPr="00ED7DFE">
      <w:t>MNET-</w:t>
    </w:r>
    <w:r w:rsidR="003D7BDB" w:rsidRPr="00ED7DFE">
      <w:t>SML</w:t>
    </w:r>
    <w:r w:rsidR="004F10CD" w:rsidRPr="00ED7DFE">
      <w:t>25-A0</w:t>
    </w:r>
    <w:r w:rsidR="002D2C98">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1CC"/>
    <w:multiLevelType w:val="hybridMultilevel"/>
    <w:tmpl w:val="C82E4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C223F6"/>
    <w:multiLevelType w:val="hybridMultilevel"/>
    <w:tmpl w:val="55C02824"/>
    <w:lvl w:ilvl="0" w:tplc="377ABBB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7"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4" w15:restartNumberingAfterBreak="0">
    <w:nsid w:val="42951033"/>
    <w:multiLevelType w:val="hybridMultilevel"/>
    <w:tmpl w:val="2E0E568A"/>
    <w:lvl w:ilvl="0" w:tplc="04050013">
      <w:start w:val="1"/>
      <w:numFmt w:val="upperRoman"/>
      <w:lvlText w:val="%1."/>
      <w:lvlJc w:val="righ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5"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ED32BD"/>
    <w:multiLevelType w:val="hybridMultilevel"/>
    <w:tmpl w:val="4DDED17E"/>
    <w:lvl w:ilvl="0" w:tplc="9E1AEBFC">
      <w:start w:val="1"/>
      <w:numFmt w:val="bullet"/>
      <w:lvlText w:val=""/>
      <w:lvlJc w:val="left"/>
      <w:pPr>
        <w:ind w:left="2232" w:hanging="360"/>
      </w:pPr>
      <w:rPr>
        <w:rFonts w:ascii="Symbol" w:hAnsi="Symbol" w:hint="default"/>
      </w:rPr>
    </w:lvl>
    <w:lvl w:ilvl="1" w:tplc="04050003" w:tentative="1">
      <w:start w:val="1"/>
      <w:numFmt w:val="bullet"/>
      <w:lvlText w:val="o"/>
      <w:lvlJc w:val="left"/>
      <w:pPr>
        <w:ind w:left="2952" w:hanging="360"/>
      </w:pPr>
      <w:rPr>
        <w:rFonts w:ascii="Courier New" w:hAnsi="Courier New" w:cs="Courier New" w:hint="default"/>
      </w:rPr>
    </w:lvl>
    <w:lvl w:ilvl="2" w:tplc="04050005" w:tentative="1">
      <w:start w:val="1"/>
      <w:numFmt w:val="bullet"/>
      <w:lvlText w:val=""/>
      <w:lvlJc w:val="left"/>
      <w:pPr>
        <w:ind w:left="3672" w:hanging="360"/>
      </w:pPr>
      <w:rPr>
        <w:rFonts w:ascii="Wingdings" w:hAnsi="Wingdings" w:hint="default"/>
      </w:rPr>
    </w:lvl>
    <w:lvl w:ilvl="3" w:tplc="04050001" w:tentative="1">
      <w:start w:val="1"/>
      <w:numFmt w:val="bullet"/>
      <w:lvlText w:val=""/>
      <w:lvlJc w:val="left"/>
      <w:pPr>
        <w:ind w:left="4392" w:hanging="360"/>
      </w:pPr>
      <w:rPr>
        <w:rFonts w:ascii="Symbol" w:hAnsi="Symbol" w:hint="default"/>
      </w:rPr>
    </w:lvl>
    <w:lvl w:ilvl="4" w:tplc="04050003" w:tentative="1">
      <w:start w:val="1"/>
      <w:numFmt w:val="bullet"/>
      <w:lvlText w:val="o"/>
      <w:lvlJc w:val="left"/>
      <w:pPr>
        <w:ind w:left="5112" w:hanging="360"/>
      </w:pPr>
      <w:rPr>
        <w:rFonts w:ascii="Courier New" w:hAnsi="Courier New" w:cs="Courier New" w:hint="default"/>
      </w:rPr>
    </w:lvl>
    <w:lvl w:ilvl="5" w:tplc="04050005" w:tentative="1">
      <w:start w:val="1"/>
      <w:numFmt w:val="bullet"/>
      <w:lvlText w:val=""/>
      <w:lvlJc w:val="left"/>
      <w:pPr>
        <w:ind w:left="5832" w:hanging="360"/>
      </w:pPr>
      <w:rPr>
        <w:rFonts w:ascii="Wingdings" w:hAnsi="Wingdings" w:hint="default"/>
      </w:rPr>
    </w:lvl>
    <w:lvl w:ilvl="6" w:tplc="04050001" w:tentative="1">
      <w:start w:val="1"/>
      <w:numFmt w:val="bullet"/>
      <w:lvlText w:val=""/>
      <w:lvlJc w:val="left"/>
      <w:pPr>
        <w:ind w:left="6552" w:hanging="360"/>
      </w:pPr>
      <w:rPr>
        <w:rFonts w:ascii="Symbol" w:hAnsi="Symbol" w:hint="default"/>
      </w:rPr>
    </w:lvl>
    <w:lvl w:ilvl="7" w:tplc="04050003" w:tentative="1">
      <w:start w:val="1"/>
      <w:numFmt w:val="bullet"/>
      <w:lvlText w:val="o"/>
      <w:lvlJc w:val="left"/>
      <w:pPr>
        <w:ind w:left="7272" w:hanging="360"/>
      </w:pPr>
      <w:rPr>
        <w:rFonts w:ascii="Courier New" w:hAnsi="Courier New" w:cs="Courier New" w:hint="default"/>
      </w:rPr>
    </w:lvl>
    <w:lvl w:ilvl="8" w:tplc="04050005" w:tentative="1">
      <w:start w:val="1"/>
      <w:numFmt w:val="bullet"/>
      <w:lvlText w:val=""/>
      <w:lvlJc w:val="left"/>
      <w:pPr>
        <w:ind w:left="7992" w:hanging="360"/>
      </w:pPr>
      <w:rPr>
        <w:rFonts w:ascii="Wingdings" w:hAnsi="Wingdings" w:hint="default"/>
      </w:rPr>
    </w:lvl>
  </w:abstractNum>
  <w:abstractNum w:abstractNumId="18"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9"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307009821">
    <w:abstractNumId w:val="8"/>
  </w:num>
  <w:num w:numId="2" w16cid:durableId="2057504235">
    <w:abstractNumId w:val="2"/>
  </w:num>
  <w:num w:numId="3" w16cid:durableId="602305048">
    <w:abstractNumId w:val="7"/>
  </w:num>
  <w:num w:numId="4" w16cid:durableId="2135824391">
    <w:abstractNumId w:val="20"/>
  </w:num>
  <w:num w:numId="5" w16cid:durableId="442916501">
    <w:abstractNumId w:val="19"/>
  </w:num>
  <w:num w:numId="6" w16cid:durableId="75176759">
    <w:abstractNumId w:val="6"/>
  </w:num>
  <w:num w:numId="7" w16cid:durableId="1127701954">
    <w:abstractNumId w:val="11"/>
  </w:num>
  <w:num w:numId="8" w16cid:durableId="1721248449">
    <w:abstractNumId w:val="5"/>
  </w:num>
  <w:num w:numId="9" w16cid:durableId="811211137">
    <w:abstractNumId w:val="15"/>
  </w:num>
  <w:num w:numId="10" w16cid:durableId="614866059">
    <w:abstractNumId w:val="10"/>
  </w:num>
  <w:num w:numId="11" w16cid:durableId="306907069">
    <w:abstractNumId w:val="4"/>
  </w:num>
  <w:num w:numId="12" w16cid:durableId="1729958502">
    <w:abstractNumId w:val="3"/>
  </w:num>
  <w:num w:numId="13" w16cid:durableId="177931886">
    <w:abstractNumId w:val="16"/>
  </w:num>
  <w:num w:numId="14" w16cid:durableId="367068589">
    <w:abstractNumId w:val="12"/>
  </w:num>
  <w:num w:numId="15" w16cid:durableId="828014544">
    <w:abstractNumId w:val="9"/>
  </w:num>
  <w:num w:numId="16" w16cid:durableId="600796922">
    <w:abstractNumId w:val="13"/>
  </w:num>
  <w:num w:numId="17" w16cid:durableId="1629894982">
    <w:abstractNumId w:val="18"/>
  </w:num>
  <w:num w:numId="18" w16cid:durableId="914820705">
    <w:abstractNumId w:val="14"/>
  </w:num>
  <w:num w:numId="19" w16cid:durableId="1122722872">
    <w:abstractNumId w:val="0"/>
  </w:num>
  <w:num w:numId="20" w16cid:durableId="1110587631">
    <w:abstractNumId w:val="17"/>
  </w:num>
  <w:num w:numId="21" w16cid:durableId="17365397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002"/>
    <w:rsid w:val="00007EB6"/>
    <w:rsid w:val="0001419A"/>
    <w:rsid w:val="00016B3C"/>
    <w:rsid w:val="0002235F"/>
    <w:rsid w:val="000245F3"/>
    <w:rsid w:val="000261F6"/>
    <w:rsid w:val="000271C2"/>
    <w:rsid w:val="000426B1"/>
    <w:rsid w:val="00044AF3"/>
    <w:rsid w:val="00050770"/>
    <w:rsid w:val="00050DD5"/>
    <w:rsid w:val="00050F3E"/>
    <w:rsid w:val="00053DF6"/>
    <w:rsid w:val="00055190"/>
    <w:rsid w:val="00055324"/>
    <w:rsid w:val="00056347"/>
    <w:rsid w:val="00064B45"/>
    <w:rsid w:val="000651EA"/>
    <w:rsid w:val="000657E2"/>
    <w:rsid w:val="00066928"/>
    <w:rsid w:val="000679F0"/>
    <w:rsid w:val="00071397"/>
    <w:rsid w:val="000713F8"/>
    <w:rsid w:val="000716CB"/>
    <w:rsid w:val="00071E8A"/>
    <w:rsid w:val="00072790"/>
    <w:rsid w:val="00075C85"/>
    <w:rsid w:val="00084B8E"/>
    <w:rsid w:val="00087C2B"/>
    <w:rsid w:val="000900A6"/>
    <w:rsid w:val="00090E18"/>
    <w:rsid w:val="00095C35"/>
    <w:rsid w:val="000A0A00"/>
    <w:rsid w:val="000B03F9"/>
    <w:rsid w:val="000B22F3"/>
    <w:rsid w:val="000B232D"/>
    <w:rsid w:val="000B29CD"/>
    <w:rsid w:val="000B3B36"/>
    <w:rsid w:val="000B3C21"/>
    <w:rsid w:val="000B3CB0"/>
    <w:rsid w:val="000B461F"/>
    <w:rsid w:val="000B5CED"/>
    <w:rsid w:val="000C030D"/>
    <w:rsid w:val="000C7806"/>
    <w:rsid w:val="000D1CF3"/>
    <w:rsid w:val="000E0147"/>
    <w:rsid w:val="000E47E9"/>
    <w:rsid w:val="000E534C"/>
    <w:rsid w:val="000E6F83"/>
    <w:rsid w:val="000F02CD"/>
    <w:rsid w:val="000F3607"/>
    <w:rsid w:val="00101356"/>
    <w:rsid w:val="00112612"/>
    <w:rsid w:val="00114699"/>
    <w:rsid w:val="001277D8"/>
    <w:rsid w:val="00133331"/>
    <w:rsid w:val="00134FE4"/>
    <w:rsid w:val="00135766"/>
    <w:rsid w:val="001411C1"/>
    <w:rsid w:val="00141F6B"/>
    <w:rsid w:val="00147339"/>
    <w:rsid w:val="001503E4"/>
    <w:rsid w:val="001549B8"/>
    <w:rsid w:val="00155B4B"/>
    <w:rsid w:val="00161F7A"/>
    <w:rsid w:val="00163153"/>
    <w:rsid w:val="001704FC"/>
    <w:rsid w:val="00175F05"/>
    <w:rsid w:val="00176D73"/>
    <w:rsid w:val="00182B03"/>
    <w:rsid w:val="00184BBC"/>
    <w:rsid w:val="00187B8E"/>
    <w:rsid w:val="00187F7A"/>
    <w:rsid w:val="001A0673"/>
    <w:rsid w:val="001A568D"/>
    <w:rsid w:val="001A77E3"/>
    <w:rsid w:val="001B7F81"/>
    <w:rsid w:val="001C40EC"/>
    <w:rsid w:val="001C66BA"/>
    <w:rsid w:val="001C6DE4"/>
    <w:rsid w:val="001C778C"/>
    <w:rsid w:val="001D16A8"/>
    <w:rsid w:val="001D7E0B"/>
    <w:rsid w:val="001E20AD"/>
    <w:rsid w:val="001F032A"/>
    <w:rsid w:val="001F2600"/>
    <w:rsid w:val="001F27F5"/>
    <w:rsid w:val="001F3E78"/>
    <w:rsid w:val="001F40F6"/>
    <w:rsid w:val="001F49A7"/>
    <w:rsid w:val="001F7599"/>
    <w:rsid w:val="00200921"/>
    <w:rsid w:val="00201198"/>
    <w:rsid w:val="00201EB9"/>
    <w:rsid w:val="00203865"/>
    <w:rsid w:val="002114DB"/>
    <w:rsid w:val="00211F57"/>
    <w:rsid w:val="002138A9"/>
    <w:rsid w:val="00217F5E"/>
    <w:rsid w:val="00224336"/>
    <w:rsid w:val="002264F4"/>
    <w:rsid w:val="002309DE"/>
    <w:rsid w:val="00231DE9"/>
    <w:rsid w:val="00232C07"/>
    <w:rsid w:val="0023416D"/>
    <w:rsid w:val="002345AC"/>
    <w:rsid w:val="002347C7"/>
    <w:rsid w:val="00234E0E"/>
    <w:rsid w:val="00235F77"/>
    <w:rsid w:val="00242CEC"/>
    <w:rsid w:val="002435D9"/>
    <w:rsid w:val="00243FA7"/>
    <w:rsid w:val="00245893"/>
    <w:rsid w:val="0024630D"/>
    <w:rsid w:val="00247B6F"/>
    <w:rsid w:val="00251DC1"/>
    <w:rsid w:val="00252B41"/>
    <w:rsid w:val="00252F17"/>
    <w:rsid w:val="00253BF4"/>
    <w:rsid w:val="0025577A"/>
    <w:rsid w:val="00257B87"/>
    <w:rsid w:val="00260534"/>
    <w:rsid w:val="002619AB"/>
    <w:rsid w:val="00263114"/>
    <w:rsid w:val="002636EC"/>
    <w:rsid w:val="00265DF5"/>
    <w:rsid w:val="00266FA9"/>
    <w:rsid w:val="00275691"/>
    <w:rsid w:val="00281588"/>
    <w:rsid w:val="0028457C"/>
    <w:rsid w:val="0028674C"/>
    <w:rsid w:val="00295889"/>
    <w:rsid w:val="00295A02"/>
    <w:rsid w:val="002A34FD"/>
    <w:rsid w:val="002A6ADA"/>
    <w:rsid w:val="002A7D4C"/>
    <w:rsid w:val="002B0281"/>
    <w:rsid w:val="002B2311"/>
    <w:rsid w:val="002B6574"/>
    <w:rsid w:val="002C1B1F"/>
    <w:rsid w:val="002C2DA8"/>
    <w:rsid w:val="002C3051"/>
    <w:rsid w:val="002C4005"/>
    <w:rsid w:val="002D27AA"/>
    <w:rsid w:val="002D2C98"/>
    <w:rsid w:val="002D3001"/>
    <w:rsid w:val="002D5285"/>
    <w:rsid w:val="002D5E0C"/>
    <w:rsid w:val="002E2490"/>
    <w:rsid w:val="002E7E17"/>
    <w:rsid w:val="002F31F9"/>
    <w:rsid w:val="002F340C"/>
    <w:rsid w:val="002F354F"/>
    <w:rsid w:val="00301F6B"/>
    <w:rsid w:val="00305A6C"/>
    <w:rsid w:val="003065AF"/>
    <w:rsid w:val="003110C1"/>
    <w:rsid w:val="00311D07"/>
    <w:rsid w:val="00311DCF"/>
    <w:rsid w:val="003121D9"/>
    <w:rsid w:val="00314CF9"/>
    <w:rsid w:val="00325C09"/>
    <w:rsid w:val="0032709A"/>
    <w:rsid w:val="003306C2"/>
    <w:rsid w:val="00331B0C"/>
    <w:rsid w:val="003328D7"/>
    <w:rsid w:val="003349E4"/>
    <w:rsid w:val="00334DFA"/>
    <w:rsid w:val="00335D96"/>
    <w:rsid w:val="003533C6"/>
    <w:rsid w:val="003565DF"/>
    <w:rsid w:val="00357282"/>
    <w:rsid w:val="00360AB4"/>
    <w:rsid w:val="003620C1"/>
    <w:rsid w:val="00363192"/>
    <w:rsid w:val="00363249"/>
    <w:rsid w:val="00363BE9"/>
    <w:rsid w:val="00363F2E"/>
    <w:rsid w:val="0036430E"/>
    <w:rsid w:val="00364319"/>
    <w:rsid w:val="00370BE6"/>
    <w:rsid w:val="003737FF"/>
    <w:rsid w:val="0037408A"/>
    <w:rsid w:val="003824DA"/>
    <w:rsid w:val="0038599A"/>
    <w:rsid w:val="00386E96"/>
    <w:rsid w:val="003874D1"/>
    <w:rsid w:val="00387FBB"/>
    <w:rsid w:val="0039150D"/>
    <w:rsid w:val="00391A9A"/>
    <w:rsid w:val="003A5FD6"/>
    <w:rsid w:val="003B5440"/>
    <w:rsid w:val="003C41FB"/>
    <w:rsid w:val="003C7E00"/>
    <w:rsid w:val="003D07B3"/>
    <w:rsid w:val="003D08F4"/>
    <w:rsid w:val="003D138E"/>
    <w:rsid w:val="003D152F"/>
    <w:rsid w:val="003D7BDB"/>
    <w:rsid w:val="003E38B8"/>
    <w:rsid w:val="003E539C"/>
    <w:rsid w:val="003E765C"/>
    <w:rsid w:val="003F00B6"/>
    <w:rsid w:val="003F71A1"/>
    <w:rsid w:val="003F7F79"/>
    <w:rsid w:val="004007FE"/>
    <w:rsid w:val="00401002"/>
    <w:rsid w:val="00401A99"/>
    <w:rsid w:val="004046F0"/>
    <w:rsid w:val="00404C86"/>
    <w:rsid w:val="0040604A"/>
    <w:rsid w:val="00406D3F"/>
    <w:rsid w:val="004070F8"/>
    <w:rsid w:val="00407C90"/>
    <w:rsid w:val="00412AFA"/>
    <w:rsid w:val="00414F7B"/>
    <w:rsid w:val="0041605D"/>
    <w:rsid w:val="004171E6"/>
    <w:rsid w:val="004226E7"/>
    <w:rsid w:val="004271DF"/>
    <w:rsid w:val="00433546"/>
    <w:rsid w:val="004342F1"/>
    <w:rsid w:val="0043447B"/>
    <w:rsid w:val="00441F29"/>
    <w:rsid w:val="00443643"/>
    <w:rsid w:val="00445CB1"/>
    <w:rsid w:val="00450705"/>
    <w:rsid w:val="0045470A"/>
    <w:rsid w:val="00462CD9"/>
    <w:rsid w:val="00466A67"/>
    <w:rsid w:val="0046708F"/>
    <w:rsid w:val="004673B7"/>
    <w:rsid w:val="0047007F"/>
    <w:rsid w:val="0047085A"/>
    <w:rsid w:val="00470AD2"/>
    <w:rsid w:val="0048248F"/>
    <w:rsid w:val="0048314C"/>
    <w:rsid w:val="00483DEE"/>
    <w:rsid w:val="00487724"/>
    <w:rsid w:val="004907DB"/>
    <w:rsid w:val="00491F80"/>
    <w:rsid w:val="004933B3"/>
    <w:rsid w:val="00493F7B"/>
    <w:rsid w:val="004A15ED"/>
    <w:rsid w:val="004A21BD"/>
    <w:rsid w:val="004A25C8"/>
    <w:rsid w:val="004A68B8"/>
    <w:rsid w:val="004B2DD0"/>
    <w:rsid w:val="004C1231"/>
    <w:rsid w:val="004C15D4"/>
    <w:rsid w:val="004C37A3"/>
    <w:rsid w:val="004C64CE"/>
    <w:rsid w:val="004D0825"/>
    <w:rsid w:val="004D4C75"/>
    <w:rsid w:val="004E0402"/>
    <w:rsid w:val="004E142E"/>
    <w:rsid w:val="004E557A"/>
    <w:rsid w:val="004E57E7"/>
    <w:rsid w:val="004E67C6"/>
    <w:rsid w:val="004E6AD8"/>
    <w:rsid w:val="004E6DA9"/>
    <w:rsid w:val="004F08E5"/>
    <w:rsid w:val="004F10CD"/>
    <w:rsid w:val="004F4E9D"/>
    <w:rsid w:val="005035AC"/>
    <w:rsid w:val="00503E7C"/>
    <w:rsid w:val="00504448"/>
    <w:rsid w:val="00515182"/>
    <w:rsid w:val="00515BB6"/>
    <w:rsid w:val="00516367"/>
    <w:rsid w:val="00517270"/>
    <w:rsid w:val="00520D3D"/>
    <w:rsid w:val="00523536"/>
    <w:rsid w:val="00535CF6"/>
    <w:rsid w:val="00537172"/>
    <w:rsid w:val="00537E51"/>
    <w:rsid w:val="0054085C"/>
    <w:rsid w:val="005419E8"/>
    <w:rsid w:val="00542CC9"/>
    <w:rsid w:val="005443C6"/>
    <w:rsid w:val="00544EF8"/>
    <w:rsid w:val="00550A87"/>
    <w:rsid w:val="00554721"/>
    <w:rsid w:val="00556107"/>
    <w:rsid w:val="00557658"/>
    <w:rsid w:val="0057130E"/>
    <w:rsid w:val="00572745"/>
    <w:rsid w:val="00572C87"/>
    <w:rsid w:val="00573C32"/>
    <w:rsid w:val="00574A10"/>
    <w:rsid w:val="00574F5B"/>
    <w:rsid w:val="005804C8"/>
    <w:rsid w:val="005833A0"/>
    <w:rsid w:val="00591C60"/>
    <w:rsid w:val="00594AF2"/>
    <w:rsid w:val="00594DEC"/>
    <w:rsid w:val="0059500B"/>
    <w:rsid w:val="005950B2"/>
    <w:rsid w:val="00597CD4"/>
    <w:rsid w:val="005A0AE3"/>
    <w:rsid w:val="005A2CDD"/>
    <w:rsid w:val="005A2D66"/>
    <w:rsid w:val="005A31BE"/>
    <w:rsid w:val="005A6A5D"/>
    <w:rsid w:val="005A6C58"/>
    <w:rsid w:val="005B6962"/>
    <w:rsid w:val="005B71D3"/>
    <w:rsid w:val="005C07D1"/>
    <w:rsid w:val="005C157E"/>
    <w:rsid w:val="005C1E7F"/>
    <w:rsid w:val="005D006E"/>
    <w:rsid w:val="005D2AE4"/>
    <w:rsid w:val="005D2FAC"/>
    <w:rsid w:val="005D3E82"/>
    <w:rsid w:val="005D4347"/>
    <w:rsid w:val="005D5009"/>
    <w:rsid w:val="005D54F5"/>
    <w:rsid w:val="005D5C29"/>
    <w:rsid w:val="005D5D8A"/>
    <w:rsid w:val="005D6AE1"/>
    <w:rsid w:val="005E136B"/>
    <w:rsid w:val="005E3203"/>
    <w:rsid w:val="005E4B4C"/>
    <w:rsid w:val="005E561A"/>
    <w:rsid w:val="005E7EA1"/>
    <w:rsid w:val="006005BF"/>
    <w:rsid w:val="00602E58"/>
    <w:rsid w:val="006035D3"/>
    <w:rsid w:val="00612E68"/>
    <w:rsid w:val="0061377E"/>
    <w:rsid w:val="006171F5"/>
    <w:rsid w:val="0062483F"/>
    <w:rsid w:val="00625D2D"/>
    <w:rsid w:val="00625EC1"/>
    <w:rsid w:val="00631405"/>
    <w:rsid w:val="00643535"/>
    <w:rsid w:val="006525CD"/>
    <w:rsid w:val="0065278F"/>
    <w:rsid w:val="006546B7"/>
    <w:rsid w:val="0065668F"/>
    <w:rsid w:val="00665A74"/>
    <w:rsid w:val="006660B3"/>
    <w:rsid w:val="00685B49"/>
    <w:rsid w:val="0069143B"/>
    <w:rsid w:val="00691636"/>
    <w:rsid w:val="00692694"/>
    <w:rsid w:val="0069408B"/>
    <w:rsid w:val="00695684"/>
    <w:rsid w:val="006A4D25"/>
    <w:rsid w:val="006A4ECD"/>
    <w:rsid w:val="006A4ED4"/>
    <w:rsid w:val="006B4703"/>
    <w:rsid w:val="006C0C55"/>
    <w:rsid w:val="006C0F67"/>
    <w:rsid w:val="006E0885"/>
    <w:rsid w:val="006E222C"/>
    <w:rsid w:val="006E7653"/>
    <w:rsid w:val="006F1862"/>
    <w:rsid w:val="006F4171"/>
    <w:rsid w:val="0070045F"/>
    <w:rsid w:val="00704408"/>
    <w:rsid w:val="00710893"/>
    <w:rsid w:val="0071178A"/>
    <w:rsid w:val="00713082"/>
    <w:rsid w:val="007158CA"/>
    <w:rsid w:val="00717E8A"/>
    <w:rsid w:val="00717FFE"/>
    <w:rsid w:val="00720064"/>
    <w:rsid w:val="00721EAB"/>
    <w:rsid w:val="00722887"/>
    <w:rsid w:val="0072293B"/>
    <w:rsid w:val="00723288"/>
    <w:rsid w:val="007255FF"/>
    <w:rsid w:val="007267C1"/>
    <w:rsid w:val="007309DF"/>
    <w:rsid w:val="00744EFC"/>
    <w:rsid w:val="00745EAE"/>
    <w:rsid w:val="00755097"/>
    <w:rsid w:val="0077358F"/>
    <w:rsid w:val="00775460"/>
    <w:rsid w:val="00777437"/>
    <w:rsid w:val="00781A22"/>
    <w:rsid w:val="00781DE1"/>
    <w:rsid w:val="007855C6"/>
    <w:rsid w:val="00787AC4"/>
    <w:rsid w:val="00790501"/>
    <w:rsid w:val="00790CD0"/>
    <w:rsid w:val="0079692D"/>
    <w:rsid w:val="007A2942"/>
    <w:rsid w:val="007A2B9C"/>
    <w:rsid w:val="007A3147"/>
    <w:rsid w:val="007A4013"/>
    <w:rsid w:val="007A40EB"/>
    <w:rsid w:val="007A50EC"/>
    <w:rsid w:val="007A56D3"/>
    <w:rsid w:val="007A6170"/>
    <w:rsid w:val="007A7CD0"/>
    <w:rsid w:val="007C1FB9"/>
    <w:rsid w:val="007C241E"/>
    <w:rsid w:val="007C299A"/>
    <w:rsid w:val="007C3302"/>
    <w:rsid w:val="007C421B"/>
    <w:rsid w:val="007C56A3"/>
    <w:rsid w:val="007D15FD"/>
    <w:rsid w:val="007D7B6D"/>
    <w:rsid w:val="007E0430"/>
    <w:rsid w:val="007E44B9"/>
    <w:rsid w:val="007E5F75"/>
    <w:rsid w:val="007E6047"/>
    <w:rsid w:val="007F1541"/>
    <w:rsid w:val="007F260C"/>
    <w:rsid w:val="007F5026"/>
    <w:rsid w:val="007F5510"/>
    <w:rsid w:val="007F7270"/>
    <w:rsid w:val="00802B4F"/>
    <w:rsid w:val="00802D47"/>
    <w:rsid w:val="00805317"/>
    <w:rsid w:val="00806510"/>
    <w:rsid w:val="00814D7E"/>
    <w:rsid w:val="00817010"/>
    <w:rsid w:val="008178CB"/>
    <w:rsid w:val="00824C5F"/>
    <w:rsid w:val="0082773C"/>
    <w:rsid w:val="008315E4"/>
    <w:rsid w:val="008324BB"/>
    <w:rsid w:val="0083284B"/>
    <w:rsid w:val="00833BAC"/>
    <w:rsid w:val="00850B8A"/>
    <w:rsid w:val="00851D29"/>
    <w:rsid w:val="0085253E"/>
    <w:rsid w:val="00852DFD"/>
    <w:rsid w:val="00860C5C"/>
    <w:rsid w:val="008661B6"/>
    <w:rsid w:val="00874EDF"/>
    <w:rsid w:val="008818F8"/>
    <w:rsid w:val="00884081"/>
    <w:rsid w:val="008851EF"/>
    <w:rsid w:val="0089061F"/>
    <w:rsid w:val="008A0231"/>
    <w:rsid w:val="008A18FD"/>
    <w:rsid w:val="008A39E8"/>
    <w:rsid w:val="008A5855"/>
    <w:rsid w:val="008A6CCE"/>
    <w:rsid w:val="008B0E38"/>
    <w:rsid w:val="008B539A"/>
    <w:rsid w:val="008B5502"/>
    <w:rsid w:val="008B5657"/>
    <w:rsid w:val="008C2A47"/>
    <w:rsid w:val="008C5B9D"/>
    <w:rsid w:val="008C765A"/>
    <w:rsid w:val="008D3DE0"/>
    <w:rsid w:val="008D634C"/>
    <w:rsid w:val="008E097A"/>
    <w:rsid w:val="008E4FA1"/>
    <w:rsid w:val="008E5BB7"/>
    <w:rsid w:val="008F080F"/>
    <w:rsid w:val="008F7228"/>
    <w:rsid w:val="00903C44"/>
    <w:rsid w:val="00904BFC"/>
    <w:rsid w:val="00904D1C"/>
    <w:rsid w:val="00905F32"/>
    <w:rsid w:val="009070AB"/>
    <w:rsid w:val="00910885"/>
    <w:rsid w:val="00917038"/>
    <w:rsid w:val="00920258"/>
    <w:rsid w:val="00921110"/>
    <w:rsid w:val="00922616"/>
    <w:rsid w:val="009312C0"/>
    <w:rsid w:val="00931594"/>
    <w:rsid w:val="00932012"/>
    <w:rsid w:val="00935114"/>
    <w:rsid w:val="00935263"/>
    <w:rsid w:val="009354F3"/>
    <w:rsid w:val="00940340"/>
    <w:rsid w:val="00940440"/>
    <w:rsid w:val="00940C94"/>
    <w:rsid w:val="0094244D"/>
    <w:rsid w:val="00942A72"/>
    <w:rsid w:val="00950A04"/>
    <w:rsid w:val="00956CD0"/>
    <w:rsid w:val="00957BBA"/>
    <w:rsid w:val="00957CFE"/>
    <w:rsid w:val="009634E4"/>
    <w:rsid w:val="00963CFC"/>
    <w:rsid w:val="0096562C"/>
    <w:rsid w:val="00967C7F"/>
    <w:rsid w:val="00972E46"/>
    <w:rsid w:val="00973A67"/>
    <w:rsid w:val="00981DDD"/>
    <w:rsid w:val="0098202C"/>
    <w:rsid w:val="009838FE"/>
    <w:rsid w:val="00986208"/>
    <w:rsid w:val="009915BE"/>
    <w:rsid w:val="00991681"/>
    <w:rsid w:val="00994748"/>
    <w:rsid w:val="00996DC4"/>
    <w:rsid w:val="009B0257"/>
    <w:rsid w:val="009B329C"/>
    <w:rsid w:val="009B5263"/>
    <w:rsid w:val="009B68BF"/>
    <w:rsid w:val="009C10BE"/>
    <w:rsid w:val="009C1894"/>
    <w:rsid w:val="009C1FA7"/>
    <w:rsid w:val="009C2BEA"/>
    <w:rsid w:val="009C4322"/>
    <w:rsid w:val="009C7BA4"/>
    <w:rsid w:val="009D1D68"/>
    <w:rsid w:val="009D3BA3"/>
    <w:rsid w:val="009D50B0"/>
    <w:rsid w:val="009E62AB"/>
    <w:rsid w:val="009E7FE4"/>
    <w:rsid w:val="009F18B1"/>
    <w:rsid w:val="009F1924"/>
    <w:rsid w:val="009F7D2D"/>
    <w:rsid w:val="00A00FCC"/>
    <w:rsid w:val="00A010B4"/>
    <w:rsid w:val="00A026A6"/>
    <w:rsid w:val="00A122DF"/>
    <w:rsid w:val="00A15362"/>
    <w:rsid w:val="00A16FF0"/>
    <w:rsid w:val="00A208EC"/>
    <w:rsid w:val="00A27238"/>
    <w:rsid w:val="00A275DF"/>
    <w:rsid w:val="00A37636"/>
    <w:rsid w:val="00A400C8"/>
    <w:rsid w:val="00A40324"/>
    <w:rsid w:val="00A44DFD"/>
    <w:rsid w:val="00A45359"/>
    <w:rsid w:val="00A50802"/>
    <w:rsid w:val="00A50AD2"/>
    <w:rsid w:val="00A51592"/>
    <w:rsid w:val="00A51BEC"/>
    <w:rsid w:val="00A5290C"/>
    <w:rsid w:val="00A52DD4"/>
    <w:rsid w:val="00A60099"/>
    <w:rsid w:val="00A60D93"/>
    <w:rsid w:val="00A673E9"/>
    <w:rsid w:val="00A67642"/>
    <w:rsid w:val="00A710F7"/>
    <w:rsid w:val="00A72575"/>
    <w:rsid w:val="00A771FC"/>
    <w:rsid w:val="00A80B18"/>
    <w:rsid w:val="00A838FB"/>
    <w:rsid w:val="00A84785"/>
    <w:rsid w:val="00A902EF"/>
    <w:rsid w:val="00A9077D"/>
    <w:rsid w:val="00A9283B"/>
    <w:rsid w:val="00AA16FD"/>
    <w:rsid w:val="00AA5A53"/>
    <w:rsid w:val="00AA67F5"/>
    <w:rsid w:val="00AB3BE7"/>
    <w:rsid w:val="00AB6E6D"/>
    <w:rsid w:val="00AC3504"/>
    <w:rsid w:val="00AC388C"/>
    <w:rsid w:val="00AC4274"/>
    <w:rsid w:val="00AC581E"/>
    <w:rsid w:val="00AD1160"/>
    <w:rsid w:val="00AD1729"/>
    <w:rsid w:val="00AD3275"/>
    <w:rsid w:val="00AD38DC"/>
    <w:rsid w:val="00AD3AB1"/>
    <w:rsid w:val="00AD7FA7"/>
    <w:rsid w:val="00AE6BE2"/>
    <w:rsid w:val="00AF0CE1"/>
    <w:rsid w:val="00B04FDB"/>
    <w:rsid w:val="00B053E3"/>
    <w:rsid w:val="00B05EB3"/>
    <w:rsid w:val="00B13DCA"/>
    <w:rsid w:val="00B14A28"/>
    <w:rsid w:val="00B242FD"/>
    <w:rsid w:val="00B27B8D"/>
    <w:rsid w:val="00B27C19"/>
    <w:rsid w:val="00B32A15"/>
    <w:rsid w:val="00B365CC"/>
    <w:rsid w:val="00B3682D"/>
    <w:rsid w:val="00B4045D"/>
    <w:rsid w:val="00B450C8"/>
    <w:rsid w:val="00B4778E"/>
    <w:rsid w:val="00B568B6"/>
    <w:rsid w:val="00B5772B"/>
    <w:rsid w:val="00B64F21"/>
    <w:rsid w:val="00B6594C"/>
    <w:rsid w:val="00B6672F"/>
    <w:rsid w:val="00B67A31"/>
    <w:rsid w:val="00B67ECF"/>
    <w:rsid w:val="00B753F4"/>
    <w:rsid w:val="00B81734"/>
    <w:rsid w:val="00B81C6A"/>
    <w:rsid w:val="00B86784"/>
    <w:rsid w:val="00B90A07"/>
    <w:rsid w:val="00B94594"/>
    <w:rsid w:val="00BA032A"/>
    <w:rsid w:val="00BA29E5"/>
    <w:rsid w:val="00BA3B57"/>
    <w:rsid w:val="00BA5A62"/>
    <w:rsid w:val="00BB310D"/>
    <w:rsid w:val="00BB314F"/>
    <w:rsid w:val="00BC6A24"/>
    <w:rsid w:val="00BE087C"/>
    <w:rsid w:val="00BE4025"/>
    <w:rsid w:val="00BE54D2"/>
    <w:rsid w:val="00BE72E9"/>
    <w:rsid w:val="00BF116A"/>
    <w:rsid w:val="00BF37B8"/>
    <w:rsid w:val="00C0372A"/>
    <w:rsid w:val="00C05F0A"/>
    <w:rsid w:val="00C11B07"/>
    <w:rsid w:val="00C160BB"/>
    <w:rsid w:val="00C17068"/>
    <w:rsid w:val="00C22886"/>
    <w:rsid w:val="00C23158"/>
    <w:rsid w:val="00C25F5A"/>
    <w:rsid w:val="00C26C80"/>
    <w:rsid w:val="00C37E84"/>
    <w:rsid w:val="00C417EE"/>
    <w:rsid w:val="00C428C2"/>
    <w:rsid w:val="00C42FD2"/>
    <w:rsid w:val="00C44A06"/>
    <w:rsid w:val="00C44E51"/>
    <w:rsid w:val="00C469B5"/>
    <w:rsid w:val="00C51759"/>
    <w:rsid w:val="00C524C0"/>
    <w:rsid w:val="00C53754"/>
    <w:rsid w:val="00C53C49"/>
    <w:rsid w:val="00C5408E"/>
    <w:rsid w:val="00C5580E"/>
    <w:rsid w:val="00C5617A"/>
    <w:rsid w:val="00C64311"/>
    <w:rsid w:val="00C64ED0"/>
    <w:rsid w:val="00C66257"/>
    <w:rsid w:val="00C73518"/>
    <w:rsid w:val="00C73BC8"/>
    <w:rsid w:val="00C7690E"/>
    <w:rsid w:val="00C80243"/>
    <w:rsid w:val="00C83C93"/>
    <w:rsid w:val="00C83F83"/>
    <w:rsid w:val="00C846A6"/>
    <w:rsid w:val="00C902EA"/>
    <w:rsid w:val="00C917EB"/>
    <w:rsid w:val="00CA366D"/>
    <w:rsid w:val="00CA511D"/>
    <w:rsid w:val="00CA5398"/>
    <w:rsid w:val="00CA540D"/>
    <w:rsid w:val="00CA6850"/>
    <w:rsid w:val="00CB0E7F"/>
    <w:rsid w:val="00CB5A21"/>
    <w:rsid w:val="00CB6697"/>
    <w:rsid w:val="00CC5982"/>
    <w:rsid w:val="00CC59BE"/>
    <w:rsid w:val="00CD2599"/>
    <w:rsid w:val="00CD2BD8"/>
    <w:rsid w:val="00CD642F"/>
    <w:rsid w:val="00CD7A15"/>
    <w:rsid w:val="00CE0CC2"/>
    <w:rsid w:val="00CE1794"/>
    <w:rsid w:val="00CE2A87"/>
    <w:rsid w:val="00CE3ECC"/>
    <w:rsid w:val="00CE60C8"/>
    <w:rsid w:val="00CF45B6"/>
    <w:rsid w:val="00D02EBC"/>
    <w:rsid w:val="00D03177"/>
    <w:rsid w:val="00D07791"/>
    <w:rsid w:val="00D12CFB"/>
    <w:rsid w:val="00D13416"/>
    <w:rsid w:val="00D13D05"/>
    <w:rsid w:val="00D177C3"/>
    <w:rsid w:val="00D20CBB"/>
    <w:rsid w:val="00D21259"/>
    <w:rsid w:val="00D261DB"/>
    <w:rsid w:val="00D35143"/>
    <w:rsid w:val="00D3543F"/>
    <w:rsid w:val="00D37C45"/>
    <w:rsid w:val="00D43641"/>
    <w:rsid w:val="00D44462"/>
    <w:rsid w:val="00D46A84"/>
    <w:rsid w:val="00D5229A"/>
    <w:rsid w:val="00D52363"/>
    <w:rsid w:val="00D52DB1"/>
    <w:rsid w:val="00D5351D"/>
    <w:rsid w:val="00D53CCE"/>
    <w:rsid w:val="00D60761"/>
    <w:rsid w:val="00D62FFA"/>
    <w:rsid w:val="00D640EC"/>
    <w:rsid w:val="00D65AE2"/>
    <w:rsid w:val="00D70855"/>
    <w:rsid w:val="00D74EDD"/>
    <w:rsid w:val="00D75517"/>
    <w:rsid w:val="00D75FE5"/>
    <w:rsid w:val="00D771D7"/>
    <w:rsid w:val="00D84365"/>
    <w:rsid w:val="00D932BD"/>
    <w:rsid w:val="00D95B8A"/>
    <w:rsid w:val="00DA2D0A"/>
    <w:rsid w:val="00DA3CDA"/>
    <w:rsid w:val="00DA4426"/>
    <w:rsid w:val="00DA76E4"/>
    <w:rsid w:val="00DB06FD"/>
    <w:rsid w:val="00DB1D08"/>
    <w:rsid w:val="00DC00AA"/>
    <w:rsid w:val="00DC4F39"/>
    <w:rsid w:val="00DD08F7"/>
    <w:rsid w:val="00DD3AF6"/>
    <w:rsid w:val="00DD41F0"/>
    <w:rsid w:val="00DD49B4"/>
    <w:rsid w:val="00DD49F4"/>
    <w:rsid w:val="00DD6457"/>
    <w:rsid w:val="00DD651C"/>
    <w:rsid w:val="00DD6ED8"/>
    <w:rsid w:val="00DE63CF"/>
    <w:rsid w:val="00DE6654"/>
    <w:rsid w:val="00DE7487"/>
    <w:rsid w:val="00E0206E"/>
    <w:rsid w:val="00E03450"/>
    <w:rsid w:val="00E04202"/>
    <w:rsid w:val="00E054E1"/>
    <w:rsid w:val="00E0665F"/>
    <w:rsid w:val="00E06ABB"/>
    <w:rsid w:val="00E103B8"/>
    <w:rsid w:val="00E20E8F"/>
    <w:rsid w:val="00E22D06"/>
    <w:rsid w:val="00E35772"/>
    <w:rsid w:val="00E37DB6"/>
    <w:rsid w:val="00E40B0B"/>
    <w:rsid w:val="00E428DD"/>
    <w:rsid w:val="00E42B24"/>
    <w:rsid w:val="00E43E5D"/>
    <w:rsid w:val="00E47E8C"/>
    <w:rsid w:val="00E55F84"/>
    <w:rsid w:val="00E611FF"/>
    <w:rsid w:val="00E61D69"/>
    <w:rsid w:val="00E70D0A"/>
    <w:rsid w:val="00E73BBD"/>
    <w:rsid w:val="00E80B4D"/>
    <w:rsid w:val="00E8281E"/>
    <w:rsid w:val="00E828FB"/>
    <w:rsid w:val="00E87C1B"/>
    <w:rsid w:val="00EA42B1"/>
    <w:rsid w:val="00EA5F28"/>
    <w:rsid w:val="00EA6B02"/>
    <w:rsid w:val="00EA7BFC"/>
    <w:rsid w:val="00EB1781"/>
    <w:rsid w:val="00EB2B80"/>
    <w:rsid w:val="00EB4709"/>
    <w:rsid w:val="00EB74BB"/>
    <w:rsid w:val="00EC1217"/>
    <w:rsid w:val="00ED79AF"/>
    <w:rsid w:val="00ED7DFE"/>
    <w:rsid w:val="00EE0B15"/>
    <w:rsid w:val="00EE2147"/>
    <w:rsid w:val="00EE2B71"/>
    <w:rsid w:val="00EE39C6"/>
    <w:rsid w:val="00EF044A"/>
    <w:rsid w:val="00EF73DC"/>
    <w:rsid w:val="00F02277"/>
    <w:rsid w:val="00F040FA"/>
    <w:rsid w:val="00F06045"/>
    <w:rsid w:val="00F06B88"/>
    <w:rsid w:val="00F07076"/>
    <w:rsid w:val="00F16677"/>
    <w:rsid w:val="00F219B8"/>
    <w:rsid w:val="00F22517"/>
    <w:rsid w:val="00F242EE"/>
    <w:rsid w:val="00F32617"/>
    <w:rsid w:val="00F35F83"/>
    <w:rsid w:val="00F3627B"/>
    <w:rsid w:val="00F41345"/>
    <w:rsid w:val="00F424ED"/>
    <w:rsid w:val="00F43136"/>
    <w:rsid w:val="00F445A6"/>
    <w:rsid w:val="00F53675"/>
    <w:rsid w:val="00F553BD"/>
    <w:rsid w:val="00F6299F"/>
    <w:rsid w:val="00F640AE"/>
    <w:rsid w:val="00F65A13"/>
    <w:rsid w:val="00F7002B"/>
    <w:rsid w:val="00F707DB"/>
    <w:rsid w:val="00F71AAC"/>
    <w:rsid w:val="00F73548"/>
    <w:rsid w:val="00F7357F"/>
    <w:rsid w:val="00F7394F"/>
    <w:rsid w:val="00F77C1E"/>
    <w:rsid w:val="00F80407"/>
    <w:rsid w:val="00F81428"/>
    <w:rsid w:val="00F8171E"/>
    <w:rsid w:val="00F84228"/>
    <w:rsid w:val="00F94229"/>
    <w:rsid w:val="00F94A05"/>
    <w:rsid w:val="00F94A1B"/>
    <w:rsid w:val="00F9682A"/>
    <w:rsid w:val="00FA6E0B"/>
    <w:rsid w:val="00FB1803"/>
    <w:rsid w:val="00FB4CD0"/>
    <w:rsid w:val="00FC42F6"/>
    <w:rsid w:val="00FD00D3"/>
    <w:rsid w:val="00FD2379"/>
    <w:rsid w:val="00FD64C7"/>
    <w:rsid w:val="00FE1B20"/>
    <w:rsid w:val="00FE37B8"/>
    <w:rsid w:val="00FE6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vracomp.cz/reklam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07420-D358-41F6-BB55-F55FA055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4.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5.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docProps/app.xml><?xml version="1.0" encoding="utf-8"?>
<Properties xmlns="http://schemas.openxmlformats.org/officeDocument/2006/extended-properties" xmlns:vt="http://schemas.openxmlformats.org/officeDocument/2006/docPropsVTypes">
  <Template>MNET_směrnice2.dotx</Template>
  <TotalTime>443</TotalTime>
  <Pages>9</Pages>
  <Words>2718</Words>
  <Characters>16042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tereza.kubakova@pgmc.cz</cp:lastModifiedBy>
  <cp:revision>615</cp:revision>
  <cp:lastPrinted>2025-04-09T07:57:00Z</cp:lastPrinted>
  <dcterms:created xsi:type="dcterms:W3CDTF">2023-10-17T11:18:00Z</dcterms:created>
  <dcterms:modified xsi:type="dcterms:W3CDTF">2025-04-14T09:18:00Z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