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0B1B" w14:textId="2A070A54" w:rsidR="006732AB" w:rsidRDefault="006732AB" w:rsidP="00934FA4">
      <w:pPr>
        <w:pStyle w:val="Nadpis1"/>
        <w:numPr>
          <w:ilvl w:val="0"/>
          <w:numId w:val="0"/>
        </w:numPr>
      </w:pPr>
    </w:p>
    <w:p w14:paraId="3DA065D2" w14:textId="75B25AB6" w:rsidR="000836A0" w:rsidRPr="000836A0" w:rsidRDefault="000836A0" w:rsidP="000836A0">
      <w:pPr>
        <w:pStyle w:val="Nzev"/>
        <w:numPr>
          <w:ilvl w:val="0"/>
          <w:numId w:val="0"/>
        </w:numPr>
        <w:spacing w:after="0"/>
        <w:ind w:left="360"/>
        <w:rPr>
          <w:rFonts w:ascii="Calibri" w:hAnsi="Calibri" w:cs="Arial"/>
          <w:b/>
          <w:color w:val="000000"/>
          <w:sz w:val="36"/>
          <w:szCs w:val="36"/>
        </w:rPr>
      </w:pPr>
      <w:r w:rsidRPr="000836A0">
        <w:rPr>
          <w:rFonts w:ascii="Calibri" w:hAnsi="Calibri" w:cs="Arial"/>
          <w:b/>
          <w:color w:val="000000"/>
          <w:sz w:val="36"/>
          <w:szCs w:val="36"/>
        </w:rPr>
        <w:t>Smlouva o dílo</w:t>
      </w:r>
    </w:p>
    <w:p w14:paraId="35A7285F" w14:textId="43D672F8" w:rsidR="000836A0" w:rsidRPr="000836A0" w:rsidRDefault="000836A0" w:rsidP="000836A0">
      <w:pPr>
        <w:pStyle w:val="Titulek"/>
        <w:numPr>
          <w:ilvl w:val="0"/>
          <w:numId w:val="0"/>
        </w:numPr>
        <w:spacing w:before="240" w:after="240"/>
        <w:ind w:left="360" w:hanging="360"/>
        <w:jc w:val="left"/>
        <w:rPr>
          <w:rFonts w:ascii="Calibri" w:hAnsi="Calibri" w:cs="Arial"/>
          <w:szCs w:val="24"/>
        </w:rPr>
      </w:pPr>
      <w:r w:rsidRPr="000836A0">
        <w:rPr>
          <w:rFonts w:ascii="Calibri" w:hAnsi="Calibri" w:cs="Arial"/>
          <w:szCs w:val="24"/>
        </w:rPr>
        <w:t>Zpracování studie proveditelnosti a žádosti o dotaci v rámci výzvy číslo 10 IROP</w:t>
      </w:r>
    </w:p>
    <w:p w14:paraId="1FD49367" w14:textId="77777777" w:rsidR="000836A0" w:rsidRDefault="000836A0" w:rsidP="000836A0">
      <w:pPr>
        <w:pStyle w:val="Titulek"/>
        <w:numPr>
          <w:ilvl w:val="0"/>
          <w:numId w:val="0"/>
        </w:numPr>
        <w:ind w:left="360"/>
        <w:rPr>
          <w:rFonts w:ascii="Calibri" w:hAnsi="Calibri" w:cs="Arial"/>
          <w:sz w:val="20"/>
        </w:rPr>
      </w:pPr>
    </w:p>
    <w:p w14:paraId="68C4865F" w14:textId="67FAE949" w:rsidR="000836A0" w:rsidRPr="00BC1362" w:rsidRDefault="000836A0" w:rsidP="000836A0">
      <w:pPr>
        <w:pStyle w:val="Titulek"/>
        <w:numPr>
          <w:ilvl w:val="0"/>
          <w:numId w:val="0"/>
        </w:numPr>
        <w:ind w:left="360"/>
        <w:rPr>
          <w:rFonts w:ascii="Calibri" w:hAnsi="Calibri"/>
          <w:bCs/>
          <w:sz w:val="28"/>
        </w:rPr>
      </w:pPr>
      <w:r w:rsidRPr="00AE29B7">
        <w:rPr>
          <w:rFonts w:ascii="Calibri" w:hAnsi="Calibri" w:cs="Arial"/>
          <w:sz w:val="20"/>
        </w:rPr>
        <w:t>uzavřená dle zákona č. 89/2012 Sb., obč</w:t>
      </w:r>
      <w:r>
        <w:rPr>
          <w:rFonts w:ascii="Calibri" w:hAnsi="Calibri" w:cs="Arial"/>
          <w:sz w:val="20"/>
        </w:rPr>
        <w:t>anský zákoník, v platném znění</w:t>
      </w:r>
      <w:r w:rsidRPr="00AE29B7">
        <w:rPr>
          <w:rFonts w:ascii="Calibri" w:hAnsi="Calibri" w:cs="Arial"/>
          <w:sz w:val="20"/>
        </w:rPr>
        <w:t xml:space="preserve"> níže uvedeného dne, měsíce a</w:t>
      </w:r>
      <w:r>
        <w:rPr>
          <w:rFonts w:ascii="Calibri" w:hAnsi="Calibri" w:cs="Arial"/>
          <w:sz w:val="20"/>
        </w:rPr>
        <w:t> </w:t>
      </w:r>
      <w:r w:rsidRPr="00AE29B7">
        <w:rPr>
          <w:rFonts w:ascii="Calibri" w:hAnsi="Calibri" w:cs="Arial"/>
          <w:sz w:val="20"/>
        </w:rPr>
        <w:t>roku, jejímiž účastníky jsou tyto</w:t>
      </w:r>
    </w:p>
    <w:p w14:paraId="5663DDC0" w14:textId="77777777" w:rsidR="000836A0" w:rsidRPr="00BC1362" w:rsidRDefault="000836A0" w:rsidP="000836A0">
      <w:pPr>
        <w:pStyle w:val="Titulek"/>
        <w:numPr>
          <w:ilvl w:val="0"/>
          <w:numId w:val="0"/>
        </w:numPr>
        <w:ind w:left="360"/>
        <w:rPr>
          <w:rFonts w:ascii="Calibri" w:hAnsi="Calibri"/>
          <w:bCs/>
          <w:sz w:val="28"/>
        </w:rPr>
      </w:pPr>
      <w:bookmarkStart w:id="0" w:name="_Ref490376681"/>
      <w:bookmarkStart w:id="1" w:name="_Toc535653541"/>
    </w:p>
    <w:p w14:paraId="503EF686" w14:textId="77777777" w:rsidR="000836A0" w:rsidRPr="00BC1362" w:rsidRDefault="000836A0" w:rsidP="000836A0">
      <w:pPr>
        <w:pStyle w:val="Titulek"/>
        <w:numPr>
          <w:ilvl w:val="0"/>
          <w:numId w:val="0"/>
        </w:numPr>
        <w:ind w:left="360"/>
        <w:rPr>
          <w:rFonts w:ascii="Calibri" w:hAnsi="Calibri"/>
          <w:bCs/>
          <w:szCs w:val="24"/>
        </w:rPr>
      </w:pPr>
      <w:bookmarkStart w:id="2" w:name="_Toc535653544"/>
      <w:bookmarkEnd w:id="0"/>
      <w:bookmarkEnd w:id="1"/>
      <w:r w:rsidRPr="00BC1362">
        <w:rPr>
          <w:rFonts w:ascii="Calibri" w:hAnsi="Calibri"/>
          <w:bCs/>
          <w:szCs w:val="24"/>
        </w:rPr>
        <w:t>Smluvní strany</w:t>
      </w:r>
      <w:bookmarkEnd w:id="2"/>
    </w:p>
    <w:p w14:paraId="63C29618" w14:textId="1628F531" w:rsidR="000836A0" w:rsidRPr="002815EA" w:rsidRDefault="000836A0" w:rsidP="000836A0">
      <w:pPr>
        <w:pStyle w:val="Zkladntext"/>
        <w:rPr>
          <w:rStyle w:val="Siln"/>
          <w:rFonts w:ascii="Calibri" w:hAnsi="Calibri" w:cs="Arial"/>
        </w:rPr>
      </w:pPr>
    </w:p>
    <w:tbl>
      <w:tblPr>
        <w:tblW w:w="0" w:type="auto"/>
        <w:tblInd w:w="675" w:type="dxa"/>
        <w:tblLayout w:type="fixed"/>
        <w:tblLook w:val="0000" w:firstRow="0" w:lastRow="0" w:firstColumn="0" w:lastColumn="0" w:noHBand="0" w:noVBand="0"/>
      </w:tblPr>
      <w:tblGrid>
        <w:gridCol w:w="2552"/>
        <w:gridCol w:w="2977"/>
        <w:gridCol w:w="850"/>
        <w:gridCol w:w="1875"/>
      </w:tblGrid>
      <w:tr w:rsidR="000836A0" w:rsidRPr="00BC1362" w14:paraId="6256C965" w14:textId="77777777" w:rsidTr="00044BBE">
        <w:trPr>
          <w:cantSplit/>
        </w:trPr>
        <w:tc>
          <w:tcPr>
            <w:tcW w:w="2552" w:type="dxa"/>
            <w:tcBorders>
              <w:right w:val="single" w:sz="4" w:space="0" w:color="auto"/>
            </w:tcBorders>
          </w:tcPr>
          <w:p w14:paraId="3B050444" w14:textId="77777777" w:rsidR="000836A0" w:rsidRPr="00503254" w:rsidRDefault="000836A0" w:rsidP="00044BBE">
            <w:pPr>
              <w:pStyle w:val="Tabulkatext"/>
              <w:rPr>
                <w:rStyle w:val="Siln"/>
                <w:rFonts w:ascii="Calibri" w:hAnsi="Calibri" w:cs="Arial"/>
                <w:b w:val="0"/>
              </w:rPr>
            </w:pPr>
            <w:r w:rsidRPr="00503254">
              <w:rPr>
                <w:rStyle w:val="Siln"/>
                <w:rFonts w:ascii="Calibri" w:hAnsi="Calibri" w:cs="Arial"/>
              </w:rPr>
              <w:t>Adresa:</w:t>
            </w:r>
          </w:p>
        </w:tc>
        <w:tc>
          <w:tcPr>
            <w:tcW w:w="5702" w:type="dxa"/>
            <w:gridSpan w:val="3"/>
            <w:tcBorders>
              <w:left w:val="single" w:sz="4" w:space="0" w:color="auto"/>
            </w:tcBorders>
          </w:tcPr>
          <w:p w14:paraId="4A816D9C" w14:textId="79F5836E" w:rsidR="00503254" w:rsidRPr="00503254" w:rsidRDefault="00503254" w:rsidP="00044BBE">
            <w:pPr>
              <w:pStyle w:val="Tabulkatext"/>
              <w:rPr>
                <w:rFonts w:ascii="Calibri" w:hAnsi="Calibri" w:cs="Arial"/>
                <w:b/>
                <w:sz w:val="20"/>
              </w:rPr>
            </w:pPr>
            <w:r w:rsidRPr="00503254">
              <w:rPr>
                <w:rFonts w:ascii="Calibri" w:hAnsi="Calibri" w:cs="Arial"/>
                <w:b/>
                <w:sz w:val="20"/>
              </w:rPr>
              <w:t>Nemocnice Na Homolce</w:t>
            </w:r>
          </w:p>
        </w:tc>
      </w:tr>
      <w:tr w:rsidR="000836A0" w:rsidRPr="00BC1362" w14:paraId="52D869C9" w14:textId="77777777" w:rsidTr="00044BBE">
        <w:trPr>
          <w:cantSplit/>
        </w:trPr>
        <w:tc>
          <w:tcPr>
            <w:tcW w:w="2552" w:type="dxa"/>
            <w:tcBorders>
              <w:right w:val="single" w:sz="4" w:space="0" w:color="auto"/>
            </w:tcBorders>
          </w:tcPr>
          <w:p w14:paraId="36790BB9" w14:textId="77777777" w:rsidR="000836A0" w:rsidRPr="00503254" w:rsidRDefault="000836A0" w:rsidP="00044BBE">
            <w:pPr>
              <w:pStyle w:val="Tabulkatext"/>
              <w:rPr>
                <w:rStyle w:val="Siln"/>
                <w:rFonts w:ascii="Calibri" w:hAnsi="Calibri" w:cs="Arial"/>
                <w:b w:val="0"/>
              </w:rPr>
            </w:pPr>
            <w:r w:rsidRPr="00503254">
              <w:rPr>
                <w:rStyle w:val="Siln"/>
                <w:rFonts w:ascii="Calibri" w:hAnsi="Calibri" w:cs="Arial"/>
              </w:rPr>
              <w:t>Odpovědný zástupce:</w:t>
            </w:r>
          </w:p>
        </w:tc>
        <w:tc>
          <w:tcPr>
            <w:tcW w:w="5702" w:type="dxa"/>
            <w:gridSpan w:val="3"/>
            <w:tcBorders>
              <w:left w:val="single" w:sz="4" w:space="0" w:color="auto"/>
            </w:tcBorders>
          </w:tcPr>
          <w:p w14:paraId="5CC37E7D" w14:textId="21D1E41D" w:rsidR="000836A0" w:rsidRPr="00503254" w:rsidRDefault="00503254" w:rsidP="00044BBE">
            <w:pPr>
              <w:pStyle w:val="Tabulkatext"/>
              <w:rPr>
                <w:rFonts w:ascii="Calibri" w:hAnsi="Calibri" w:cs="Arial"/>
                <w:sz w:val="20"/>
              </w:rPr>
            </w:pPr>
            <w:r>
              <w:rPr>
                <w:rFonts w:ascii="Calibri" w:hAnsi="Calibri" w:cs="Arial"/>
                <w:sz w:val="20"/>
              </w:rPr>
              <w:t>Ing. Pavel Jirka, vedoucí ONVZ</w:t>
            </w:r>
          </w:p>
        </w:tc>
      </w:tr>
      <w:tr w:rsidR="000836A0" w:rsidRPr="00BC1362" w14:paraId="15AA3A1C" w14:textId="77777777" w:rsidTr="00044BBE">
        <w:trPr>
          <w:cantSplit/>
        </w:trPr>
        <w:tc>
          <w:tcPr>
            <w:tcW w:w="2552" w:type="dxa"/>
            <w:tcBorders>
              <w:right w:val="single" w:sz="4" w:space="0" w:color="auto"/>
            </w:tcBorders>
          </w:tcPr>
          <w:p w14:paraId="535F1ED5" w14:textId="77777777" w:rsidR="000836A0" w:rsidRPr="00503254" w:rsidRDefault="000836A0" w:rsidP="00044BBE">
            <w:pPr>
              <w:pStyle w:val="Tabulkatext"/>
              <w:rPr>
                <w:rStyle w:val="Siln"/>
                <w:rFonts w:ascii="Calibri" w:hAnsi="Calibri" w:cs="Arial"/>
                <w:b w:val="0"/>
              </w:rPr>
            </w:pPr>
            <w:r w:rsidRPr="00503254">
              <w:rPr>
                <w:rStyle w:val="Siln"/>
                <w:rFonts w:ascii="Calibri" w:hAnsi="Calibri" w:cs="Arial"/>
              </w:rPr>
              <w:t>Bankovní spojení:</w:t>
            </w:r>
          </w:p>
        </w:tc>
        <w:tc>
          <w:tcPr>
            <w:tcW w:w="2977" w:type="dxa"/>
            <w:tcBorders>
              <w:left w:val="single" w:sz="4" w:space="0" w:color="auto"/>
            </w:tcBorders>
          </w:tcPr>
          <w:p w14:paraId="032EB0EB" w14:textId="667CE42E" w:rsidR="000836A0" w:rsidRPr="00503254" w:rsidRDefault="00503254" w:rsidP="00044BBE">
            <w:pPr>
              <w:pStyle w:val="Tabulkatext"/>
              <w:rPr>
                <w:rFonts w:ascii="Calibri" w:hAnsi="Calibri" w:cs="Arial"/>
                <w:sz w:val="20"/>
              </w:rPr>
            </w:pPr>
            <w:r>
              <w:rPr>
                <w:rFonts w:ascii="Calibri" w:hAnsi="Calibri" w:cs="Arial"/>
                <w:sz w:val="20"/>
              </w:rPr>
              <w:t>Česká národní banka</w:t>
            </w:r>
          </w:p>
        </w:tc>
        <w:tc>
          <w:tcPr>
            <w:tcW w:w="850" w:type="dxa"/>
            <w:tcBorders>
              <w:right w:val="single" w:sz="4" w:space="0" w:color="auto"/>
            </w:tcBorders>
          </w:tcPr>
          <w:p w14:paraId="3145CB30" w14:textId="77777777" w:rsidR="000836A0" w:rsidRPr="00503254" w:rsidRDefault="000836A0" w:rsidP="00044BBE">
            <w:pPr>
              <w:pStyle w:val="Tabulkatext"/>
              <w:rPr>
                <w:rStyle w:val="Siln"/>
                <w:rFonts w:ascii="Calibri" w:hAnsi="Calibri" w:cs="Arial"/>
              </w:rPr>
            </w:pPr>
            <w:r w:rsidRPr="00503254">
              <w:rPr>
                <w:rStyle w:val="Siln"/>
                <w:rFonts w:ascii="Calibri" w:hAnsi="Calibri" w:cs="Arial"/>
              </w:rPr>
              <w:t>DIČ:</w:t>
            </w:r>
          </w:p>
        </w:tc>
        <w:tc>
          <w:tcPr>
            <w:tcW w:w="1875" w:type="dxa"/>
            <w:tcBorders>
              <w:left w:val="single" w:sz="4" w:space="0" w:color="auto"/>
            </w:tcBorders>
          </w:tcPr>
          <w:p w14:paraId="5D90C389" w14:textId="27E83C1F" w:rsidR="000836A0" w:rsidRPr="00503254" w:rsidRDefault="00503254" w:rsidP="00044BBE">
            <w:pPr>
              <w:pStyle w:val="Tabulkatext"/>
              <w:rPr>
                <w:rFonts w:ascii="Calibri" w:hAnsi="Calibri" w:cs="Arial"/>
                <w:sz w:val="20"/>
              </w:rPr>
            </w:pPr>
            <w:r w:rsidRPr="00503254">
              <w:rPr>
                <w:rFonts w:ascii="Calibri" w:hAnsi="Calibri" w:cs="Arial"/>
                <w:sz w:val="20"/>
              </w:rPr>
              <w:t>CZ00023884</w:t>
            </w:r>
          </w:p>
        </w:tc>
      </w:tr>
      <w:tr w:rsidR="000836A0" w:rsidRPr="00BC1362" w14:paraId="2B8A27A2" w14:textId="77777777" w:rsidTr="00044BBE">
        <w:trPr>
          <w:cantSplit/>
        </w:trPr>
        <w:tc>
          <w:tcPr>
            <w:tcW w:w="2552" w:type="dxa"/>
            <w:tcBorders>
              <w:right w:val="single" w:sz="4" w:space="0" w:color="auto"/>
            </w:tcBorders>
          </w:tcPr>
          <w:p w14:paraId="3E8407C2" w14:textId="77777777" w:rsidR="000836A0" w:rsidRPr="00503254" w:rsidRDefault="000836A0" w:rsidP="00044BBE">
            <w:pPr>
              <w:pStyle w:val="Tabulkatext"/>
              <w:rPr>
                <w:rStyle w:val="Siln"/>
                <w:rFonts w:ascii="Calibri" w:hAnsi="Calibri" w:cs="Arial"/>
                <w:b w:val="0"/>
              </w:rPr>
            </w:pPr>
            <w:r w:rsidRPr="00503254">
              <w:rPr>
                <w:rStyle w:val="Siln"/>
                <w:rFonts w:ascii="Calibri" w:hAnsi="Calibri" w:cs="Arial"/>
              </w:rPr>
              <w:t>Číslo účtu:</w:t>
            </w:r>
          </w:p>
        </w:tc>
        <w:tc>
          <w:tcPr>
            <w:tcW w:w="2977" w:type="dxa"/>
            <w:tcBorders>
              <w:left w:val="single" w:sz="4" w:space="0" w:color="auto"/>
            </w:tcBorders>
          </w:tcPr>
          <w:p w14:paraId="6A2A712B" w14:textId="1C93CC65" w:rsidR="000836A0" w:rsidRPr="00503254" w:rsidRDefault="000836A0" w:rsidP="00044BBE">
            <w:pPr>
              <w:pStyle w:val="Tabulkatext"/>
              <w:rPr>
                <w:rFonts w:ascii="Calibri" w:hAnsi="Calibri" w:cs="Arial"/>
                <w:sz w:val="20"/>
              </w:rPr>
            </w:pPr>
          </w:p>
        </w:tc>
        <w:tc>
          <w:tcPr>
            <w:tcW w:w="850" w:type="dxa"/>
            <w:tcBorders>
              <w:right w:val="single" w:sz="4" w:space="0" w:color="auto"/>
            </w:tcBorders>
          </w:tcPr>
          <w:p w14:paraId="79447AB3" w14:textId="77777777" w:rsidR="000836A0" w:rsidRPr="00503254" w:rsidRDefault="000836A0" w:rsidP="00044BBE">
            <w:pPr>
              <w:pStyle w:val="Tabulkatext"/>
              <w:rPr>
                <w:rStyle w:val="Siln"/>
                <w:rFonts w:ascii="Calibri" w:hAnsi="Calibri" w:cs="Arial"/>
              </w:rPr>
            </w:pPr>
            <w:r w:rsidRPr="00503254">
              <w:rPr>
                <w:rStyle w:val="Siln"/>
                <w:rFonts w:ascii="Calibri" w:hAnsi="Calibri" w:cs="Arial"/>
              </w:rPr>
              <w:t>IČ:</w:t>
            </w:r>
          </w:p>
        </w:tc>
        <w:tc>
          <w:tcPr>
            <w:tcW w:w="1875" w:type="dxa"/>
            <w:tcBorders>
              <w:left w:val="single" w:sz="4" w:space="0" w:color="auto"/>
            </w:tcBorders>
          </w:tcPr>
          <w:p w14:paraId="53241D70" w14:textId="46FF369E" w:rsidR="000836A0" w:rsidRPr="00503254" w:rsidRDefault="00503254" w:rsidP="00044BBE">
            <w:pPr>
              <w:pStyle w:val="Tabulkatext"/>
              <w:rPr>
                <w:rFonts w:ascii="Calibri" w:hAnsi="Calibri" w:cs="Arial"/>
                <w:sz w:val="20"/>
              </w:rPr>
            </w:pPr>
            <w:r w:rsidRPr="00503254">
              <w:rPr>
                <w:rFonts w:ascii="Calibri" w:hAnsi="Calibri" w:cs="Arial"/>
                <w:sz w:val="20"/>
              </w:rPr>
              <w:t>000 23 884</w:t>
            </w:r>
          </w:p>
        </w:tc>
      </w:tr>
      <w:tr w:rsidR="000836A0" w:rsidRPr="00BC1362" w14:paraId="2AA642C5" w14:textId="77777777" w:rsidTr="00044BBE">
        <w:trPr>
          <w:cantSplit/>
        </w:trPr>
        <w:tc>
          <w:tcPr>
            <w:tcW w:w="2552" w:type="dxa"/>
            <w:tcBorders>
              <w:right w:val="single" w:sz="4" w:space="0" w:color="auto"/>
            </w:tcBorders>
          </w:tcPr>
          <w:p w14:paraId="6E1F3270" w14:textId="77777777" w:rsidR="000836A0" w:rsidRPr="00670557" w:rsidRDefault="000836A0" w:rsidP="00044BBE">
            <w:pPr>
              <w:pStyle w:val="Tabulkatext"/>
              <w:numPr>
                <w:ilvl w:val="12"/>
                <w:numId w:val="0"/>
              </w:numPr>
              <w:rPr>
                <w:rStyle w:val="Siln"/>
                <w:rFonts w:ascii="Calibri" w:hAnsi="Calibri" w:cs="Arial"/>
                <w:b w:val="0"/>
                <w:highlight w:val="yellow"/>
              </w:rPr>
            </w:pPr>
          </w:p>
        </w:tc>
        <w:tc>
          <w:tcPr>
            <w:tcW w:w="5702" w:type="dxa"/>
            <w:gridSpan w:val="3"/>
            <w:tcBorders>
              <w:left w:val="single" w:sz="4" w:space="0" w:color="auto"/>
            </w:tcBorders>
          </w:tcPr>
          <w:p w14:paraId="3DDEE28E" w14:textId="77777777" w:rsidR="000836A0" w:rsidRPr="00670557" w:rsidRDefault="000836A0" w:rsidP="00044BBE">
            <w:pPr>
              <w:pStyle w:val="Tabulkatext"/>
              <w:rPr>
                <w:rFonts w:ascii="Calibri" w:hAnsi="Calibri" w:cs="Arial"/>
                <w:sz w:val="20"/>
                <w:highlight w:val="yellow"/>
              </w:rPr>
            </w:pPr>
          </w:p>
        </w:tc>
      </w:tr>
    </w:tbl>
    <w:p w14:paraId="475C4998" w14:textId="77777777" w:rsidR="000836A0" w:rsidRPr="00BC1362" w:rsidRDefault="000836A0" w:rsidP="000836A0">
      <w:pPr>
        <w:pStyle w:val="Zkladntextodsazen"/>
        <w:spacing w:before="120" w:after="120" w:line="288" w:lineRule="auto"/>
        <w:rPr>
          <w:rFonts w:ascii="Calibri" w:hAnsi="Calibri" w:cs="Arial"/>
          <w:sz w:val="20"/>
        </w:rPr>
      </w:pPr>
      <w:r w:rsidRPr="00BC1362">
        <w:rPr>
          <w:rFonts w:ascii="Calibri" w:hAnsi="Calibri" w:cs="Arial"/>
          <w:sz w:val="20"/>
        </w:rPr>
        <w:t xml:space="preserve">dále jen </w:t>
      </w:r>
      <w:r w:rsidRPr="00BC1362">
        <w:rPr>
          <w:rFonts w:ascii="Calibri" w:hAnsi="Calibri" w:cs="Arial"/>
          <w:b/>
          <w:sz w:val="20"/>
        </w:rPr>
        <w:t>Objednatel</w:t>
      </w:r>
      <w:r w:rsidRPr="00BC1362">
        <w:rPr>
          <w:rFonts w:ascii="Calibri" w:hAnsi="Calibri" w:cs="Arial"/>
          <w:sz w:val="20"/>
        </w:rPr>
        <w:t xml:space="preserve">  </w:t>
      </w:r>
    </w:p>
    <w:p w14:paraId="3A8037BE" w14:textId="77777777" w:rsidR="000836A0" w:rsidRPr="00BC1362" w:rsidRDefault="000836A0" w:rsidP="000836A0">
      <w:pPr>
        <w:pStyle w:val="Zkladntextodsazen"/>
        <w:spacing w:before="120" w:after="120" w:line="288" w:lineRule="auto"/>
        <w:rPr>
          <w:rFonts w:ascii="Calibri" w:hAnsi="Calibri" w:cs="Arial"/>
          <w:sz w:val="20"/>
        </w:rPr>
      </w:pPr>
      <w:r w:rsidRPr="00BC1362">
        <w:rPr>
          <w:rFonts w:ascii="Calibri" w:hAnsi="Calibri" w:cs="Arial"/>
          <w:sz w:val="20"/>
        </w:rPr>
        <w:t>a</w:t>
      </w:r>
    </w:p>
    <w:p w14:paraId="63E74099" w14:textId="77777777" w:rsidR="000836A0" w:rsidRPr="00BC1362" w:rsidRDefault="000836A0" w:rsidP="000836A0">
      <w:pPr>
        <w:pStyle w:val="Zkladntext"/>
        <w:rPr>
          <w:rStyle w:val="Siln"/>
          <w:rFonts w:ascii="Calibri" w:hAnsi="Calibri" w:cs="Arial"/>
        </w:rPr>
      </w:pPr>
      <w:r w:rsidRPr="007575E9">
        <w:rPr>
          <w:rStyle w:val="Siln"/>
          <w:rFonts w:ascii="Calibri" w:hAnsi="Calibri" w:cs="Arial"/>
        </w:rPr>
        <w:t>ML Strategy s.r.o.</w:t>
      </w:r>
    </w:p>
    <w:tbl>
      <w:tblPr>
        <w:tblW w:w="0" w:type="auto"/>
        <w:tblInd w:w="675" w:type="dxa"/>
        <w:tblLayout w:type="fixed"/>
        <w:tblLook w:val="0000" w:firstRow="0" w:lastRow="0" w:firstColumn="0" w:lastColumn="0" w:noHBand="0" w:noVBand="0"/>
      </w:tblPr>
      <w:tblGrid>
        <w:gridCol w:w="2552"/>
        <w:gridCol w:w="2977"/>
        <w:gridCol w:w="850"/>
        <w:gridCol w:w="1875"/>
      </w:tblGrid>
      <w:tr w:rsidR="000836A0" w:rsidRPr="00BC1362" w14:paraId="3FE9F507" w14:textId="77777777" w:rsidTr="00044BBE">
        <w:trPr>
          <w:cantSplit/>
        </w:trPr>
        <w:tc>
          <w:tcPr>
            <w:tcW w:w="2552" w:type="dxa"/>
            <w:tcBorders>
              <w:top w:val="nil"/>
              <w:left w:val="nil"/>
              <w:right w:val="single" w:sz="4" w:space="0" w:color="auto"/>
            </w:tcBorders>
          </w:tcPr>
          <w:p w14:paraId="39A61FD9" w14:textId="77777777" w:rsidR="000836A0" w:rsidRPr="00BC1362" w:rsidRDefault="000836A0" w:rsidP="00044BBE">
            <w:pPr>
              <w:pStyle w:val="Tabulkatext"/>
              <w:rPr>
                <w:rStyle w:val="Siln"/>
                <w:rFonts w:ascii="Calibri" w:hAnsi="Calibri" w:cs="Arial"/>
                <w:b w:val="0"/>
              </w:rPr>
            </w:pPr>
            <w:r>
              <w:rPr>
                <w:rStyle w:val="Siln"/>
                <w:rFonts w:ascii="Calibri" w:hAnsi="Calibri" w:cs="Arial"/>
              </w:rPr>
              <w:t>M</w:t>
            </w:r>
            <w:r w:rsidRPr="00725224">
              <w:rPr>
                <w:rStyle w:val="Siln"/>
                <w:rFonts w:ascii="Calibri" w:hAnsi="Calibri" w:cs="Arial"/>
              </w:rPr>
              <w:t>ísto podnikání</w:t>
            </w:r>
            <w:r>
              <w:rPr>
                <w:rStyle w:val="Siln"/>
                <w:rFonts w:ascii="Calibri" w:hAnsi="Calibri" w:cs="Arial"/>
              </w:rPr>
              <w:t>:</w:t>
            </w:r>
          </w:p>
        </w:tc>
        <w:tc>
          <w:tcPr>
            <w:tcW w:w="5702" w:type="dxa"/>
            <w:gridSpan w:val="3"/>
            <w:tcBorders>
              <w:top w:val="nil"/>
              <w:left w:val="single" w:sz="4" w:space="0" w:color="auto"/>
              <w:bottom w:val="nil"/>
              <w:right w:val="nil"/>
            </w:tcBorders>
          </w:tcPr>
          <w:p w14:paraId="3520A1BF" w14:textId="77777777" w:rsidR="000836A0" w:rsidRPr="00BC1362" w:rsidRDefault="000836A0" w:rsidP="00044BBE">
            <w:pPr>
              <w:pStyle w:val="Tabulkatext"/>
              <w:rPr>
                <w:rFonts w:ascii="Calibri" w:hAnsi="Calibri" w:cs="Arial"/>
                <w:sz w:val="20"/>
              </w:rPr>
            </w:pPr>
            <w:r w:rsidRPr="00725224">
              <w:rPr>
                <w:rFonts w:ascii="Calibri" w:hAnsi="Calibri" w:cs="Arial"/>
                <w:sz w:val="20"/>
              </w:rPr>
              <w:t>Krátká 17, 34562 Holýšov</w:t>
            </w:r>
          </w:p>
        </w:tc>
      </w:tr>
      <w:tr w:rsidR="000836A0" w:rsidRPr="00BC1362" w14:paraId="5325577D" w14:textId="77777777" w:rsidTr="00044BBE">
        <w:trPr>
          <w:cantSplit/>
        </w:trPr>
        <w:tc>
          <w:tcPr>
            <w:tcW w:w="2552" w:type="dxa"/>
            <w:tcBorders>
              <w:top w:val="nil"/>
              <w:left w:val="nil"/>
              <w:right w:val="single" w:sz="4" w:space="0" w:color="auto"/>
            </w:tcBorders>
          </w:tcPr>
          <w:p w14:paraId="0D69E2D1" w14:textId="77777777" w:rsidR="000836A0" w:rsidRPr="00BC1362" w:rsidRDefault="000836A0" w:rsidP="00044BBE">
            <w:pPr>
              <w:pStyle w:val="Tabulkatext"/>
              <w:rPr>
                <w:rStyle w:val="Siln"/>
                <w:rFonts w:ascii="Calibri" w:hAnsi="Calibri" w:cs="Arial"/>
                <w:b w:val="0"/>
              </w:rPr>
            </w:pPr>
            <w:r w:rsidRPr="00BC1362">
              <w:rPr>
                <w:rStyle w:val="Siln"/>
                <w:rFonts w:ascii="Calibri" w:hAnsi="Calibri" w:cs="Arial"/>
              </w:rPr>
              <w:t>Odpovědný zástupce:</w:t>
            </w:r>
          </w:p>
        </w:tc>
        <w:tc>
          <w:tcPr>
            <w:tcW w:w="5702" w:type="dxa"/>
            <w:gridSpan w:val="3"/>
            <w:tcBorders>
              <w:top w:val="nil"/>
              <w:left w:val="single" w:sz="4" w:space="0" w:color="auto"/>
              <w:bottom w:val="nil"/>
              <w:right w:val="nil"/>
            </w:tcBorders>
          </w:tcPr>
          <w:p w14:paraId="322F142A" w14:textId="77777777" w:rsidR="000836A0" w:rsidRPr="00BC1362" w:rsidRDefault="000836A0" w:rsidP="00044BBE">
            <w:pPr>
              <w:pStyle w:val="Tabulkatext"/>
              <w:rPr>
                <w:rFonts w:ascii="Calibri" w:hAnsi="Calibri" w:cs="Arial"/>
                <w:sz w:val="20"/>
              </w:rPr>
            </w:pPr>
            <w:r>
              <w:rPr>
                <w:rFonts w:ascii="Calibri" w:hAnsi="Calibri" w:cs="Arial"/>
                <w:sz w:val="20"/>
              </w:rPr>
              <w:t xml:space="preserve">Ing. </w:t>
            </w:r>
            <w:r w:rsidRPr="00725224">
              <w:rPr>
                <w:rFonts w:ascii="Calibri" w:hAnsi="Calibri" w:cs="Arial"/>
                <w:sz w:val="20"/>
              </w:rPr>
              <w:t>Petra Lavičková</w:t>
            </w:r>
            <w:r>
              <w:rPr>
                <w:rFonts w:ascii="Calibri" w:hAnsi="Calibri" w:cs="Arial"/>
                <w:sz w:val="20"/>
              </w:rPr>
              <w:t>, jednatelka</w:t>
            </w:r>
          </w:p>
        </w:tc>
      </w:tr>
      <w:tr w:rsidR="000836A0" w:rsidRPr="00BC1362" w14:paraId="224B3223" w14:textId="77777777" w:rsidTr="00044BBE">
        <w:trPr>
          <w:cantSplit/>
        </w:trPr>
        <w:tc>
          <w:tcPr>
            <w:tcW w:w="2552" w:type="dxa"/>
            <w:tcBorders>
              <w:top w:val="nil"/>
              <w:left w:val="nil"/>
              <w:right w:val="single" w:sz="4" w:space="0" w:color="auto"/>
            </w:tcBorders>
          </w:tcPr>
          <w:p w14:paraId="5A9A3425" w14:textId="77777777" w:rsidR="000836A0" w:rsidRPr="00BC1362" w:rsidRDefault="000836A0" w:rsidP="00044BBE">
            <w:pPr>
              <w:pStyle w:val="Tabulkatext"/>
              <w:rPr>
                <w:rStyle w:val="Siln"/>
                <w:rFonts w:ascii="Calibri" w:hAnsi="Calibri" w:cs="Arial"/>
                <w:b w:val="0"/>
              </w:rPr>
            </w:pPr>
            <w:r w:rsidRPr="00BC1362">
              <w:rPr>
                <w:rStyle w:val="Siln"/>
                <w:rFonts w:ascii="Calibri" w:hAnsi="Calibri" w:cs="Arial"/>
              </w:rPr>
              <w:t>Bankovní spojení:</w:t>
            </w:r>
          </w:p>
        </w:tc>
        <w:tc>
          <w:tcPr>
            <w:tcW w:w="2977" w:type="dxa"/>
            <w:tcBorders>
              <w:top w:val="nil"/>
              <w:left w:val="single" w:sz="4" w:space="0" w:color="auto"/>
              <w:bottom w:val="nil"/>
              <w:right w:val="nil"/>
            </w:tcBorders>
          </w:tcPr>
          <w:p w14:paraId="68CF5232" w14:textId="7EF8BC50" w:rsidR="000836A0" w:rsidRPr="00BC1362" w:rsidRDefault="000836A0" w:rsidP="00044BBE">
            <w:pPr>
              <w:pStyle w:val="Tabulkatext"/>
              <w:rPr>
                <w:rFonts w:ascii="Calibri" w:hAnsi="Calibri" w:cs="Arial"/>
                <w:sz w:val="20"/>
              </w:rPr>
            </w:pPr>
          </w:p>
        </w:tc>
        <w:tc>
          <w:tcPr>
            <w:tcW w:w="850" w:type="dxa"/>
            <w:tcBorders>
              <w:top w:val="nil"/>
              <w:left w:val="nil"/>
              <w:right w:val="single" w:sz="4" w:space="0" w:color="auto"/>
            </w:tcBorders>
          </w:tcPr>
          <w:p w14:paraId="7491316F" w14:textId="77777777" w:rsidR="000836A0" w:rsidRPr="00BC1362" w:rsidRDefault="000836A0" w:rsidP="00044BBE">
            <w:pPr>
              <w:pStyle w:val="Tabulkatext"/>
              <w:rPr>
                <w:rStyle w:val="Siln"/>
                <w:rFonts w:ascii="Calibri" w:hAnsi="Calibri" w:cs="Arial"/>
              </w:rPr>
            </w:pPr>
            <w:r w:rsidRPr="00BC1362">
              <w:rPr>
                <w:rStyle w:val="Siln"/>
                <w:rFonts w:ascii="Calibri" w:hAnsi="Calibri" w:cs="Arial"/>
              </w:rPr>
              <w:t>DIČ:</w:t>
            </w:r>
          </w:p>
        </w:tc>
        <w:tc>
          <w:tcPr>
            <w:tcW w:w="1875" w:type="dxa"/>
            <w:tcBorders>
              <w:top w:val="nil"/>
              <w:left w:val="single" w:sz="4" w:space="0" w:color="auto"/>
              <w:bottom w:val="nil"/>
              <w:right w:val="nil"/>
            </w:tcBorders>
          </w:tcPr>
          <w:p w14:paraId="01227766" w14:textId="77777777" w:rsidR="000836A0" w:rsidRPr="00BC1362" w:rsidRDefault="000836A0" w:rsidP="00044BBE">
            <w:pPr>
              <w:pStyle w:val="Tabulkatext"/>
              <w:rPr>
                <w:rFonts w:ascii="Calibri" w:hAnsi="Calibri" w:cs="Arial"/>
                <w:sz w:val="20"/>
                <w:lang w:val="en-US"/>
              </w:rPr>
            </w:pPr>
            <w:r>
              <w:rPr>
                <w:rFonts w:ascii="Calibri" w:hAnsi="Calibri" w:cs="Arial"/>
                <w:sz w:val="20"/>
              </w:rPr>
              <w:t>CZ</w:t>
            </w:r>
            <w:r w:rsidRPr="007575E9">
              <w:rPr>
                <w:rFonts w:ascii="Calibri" w:hAnsi="Calibri" w:cs="Arial"/>
                <w:sz w:val="20"/>
              </w:rPr>
              <w:t>03978427</w:t>
            </w:r>
          </w:p>
        </w:tc>
      </w:tr>
      <w:tr w:rsidR="000836A0" w:rsidRPr="00BC1362" w14:paraId="34D8B8CB" w14:textId="77777777" w:rsidTr="00044BBE">
        <w:trPr>
          <w:cantSplit/>
        </w:trPr>
        <w:tc>
          <w:tcPr>
            <w:tcW w:w="2552" w:type="dxa"/>
            <w:tcBorders>
              <w:top w:val="nil"/>
              <w:left w:val="nil"/>
              <w:right w:val="single" w:sz="4" w:space="0" w:color="auto"/>
            </w:tcBorders>
          </w:tcPr>
          <w:p w14:paraId="39CF3764" w14:textId="77777777" w:rsidR="000836A0" w:rsidRPr="00BC1362" w:rsidRDefault="000836A0" w:rsidP="00044BBE">
            <w:pPr>
              <w:pStyle w:val="Tabulkatext"/>
              <w:rPr>
                <w:rStyle w:val="Siln"/>
                <w:rFonts w:ascii="Calibri" w:hAnsi="Calibri" w:cs="Arial"/>
                <w:b w:val="0"/>
              </w:rPr>
            </w:pPr>
            <w:r w:rsidRPr="00BC1362">
              <w:rPr>
                <w:rStyle w:val="Siln"/>
                <w:rFonts w:ascii="Calibri" w:hAnsi="Calibri" w:cs="Arial"/>
              </w:rPr>
              <w:t>Číslo účtu:</w:t>
            </w:r>
          </w:p>
        </w:tc>
        <w:tc>
          <w:tcPr>
            <w:tcW w:w="2977" w:type="dxa"/>
            <w:tcBorders>
              <w:top w:val="nil"/>
              <w:left w:val="single" w:sz="4" w:space="0" w:color="auto"/>
              <w:bottom w:val="nil"/>
              <w:right w:val="nil"/>
            </w:tcBorders>
          </w:tcPr>
          <w:p w14:paraId="5D8CD207" w14:textId="275D461F" w:rsidR="000836A0" w:rsidRPr="00BC1362" w:rsidRDefault="000836A0" w:rsidP="00044BBE">
            <w:pPr>
              <w:pStyle w:val="Tabulkatext"/>
              <w:rPr>
                <w:rFonts w:ascii="Calibri" w:hAnsi="Calibri" w:cs="Arial"/>
                <w:sz w:val="20"/>
              </w:rPr>
            </w:pPr>
          </w:p>
        </w:tc>
        <w:tc>
          <w:tcPr>
            <w:tcW w:w="850" w:type="dxa"/>
            <w:tcBorders>
              <w:top w:val="nil"/>
              <w:left w:val="nil"/>
              <w:bottom w:val="nil"/>
              <w:right w:val="single" w:sz="4" w:space="0" w:color="auto"/>
            </w:tcBorders>
          </w:tcPr>
          <w:p w14:paraId="7E623ED7" w14:textId="77777777" w:rsidR="000836A0" w:rsidRPr="00BC1362" w:rsidRDefault="000836A0" w:rsidP="00044BBE">
            <w:pPr>
              <w:pStyle w:val="Tabulkatext"/>
              <w:rPr>
                <w:rStyle w:val="Siln"/>
                <w:rFonts w:ascii="Calibri" w:hAnsi="Calibri" w:cs="Arial"/>
              </w:rPr>
            </w:pPr>
            <w:r w:rsidRPr="00BC1362">
              <w:rPr>
                <w:rStyle w:val="Siln"/>
                <w:rFonts w:ascii="Calibri" w:hAnsi="Calibri" w:cs="Arial"/>
              </w:rPr>
              <w:t>IČ:</w:t>
            </w:r>
          </w:p>
        </w:tc>
        <w:tc>
          <w:tcPr>
            <w:tcW w:w="1875" w:type="dxa"/>
            <w:tcBorders>
              <w:top w:val="nil"/>
              <w:left w:val="single" w:sz="4" w:space="0" w:color="auto"/>
              <w:bottom w:val="nil"/>
              <w:right w:val="nil"/>
            </w:tcBorders>
          </w:tcPr>
          <w:p w14:paraId="1A11B851" w14:textId="77777777" w:rsidR="000836A0" w:rsidRPr="00BC1362" w:rsidRDefault="000836A0" w:rsidP="00044BBE">
            <w:pPr>
              <w:pStyle w:val="Tabulkatext"/>
              <w:rPr>
                <w:rFonts w:ascii="Calibri" w:hAnsi="Calibri" w:cs="Arial"/>
                <w:sz w:val="20"/>
              </w:rPr>
            </w:pPr>
            <w:r w:rsidRPr="007575E9">
              <w:rPr>
                <w:rFonts w:ascii="Calibri" w:hAnsi="Calibri" w:cs="Arial"/>
                <w:sz w:val="20"/>
              </w:rPr>
              <w:t>03978427</w:t>
            </w:r>
          </w:p>
        </w:tc>
      </w:tr>
    </w:tbl>
    <w:p w14:paraId="79361484" w14:textId="77777777" w:rsidR="000836A0" w:rsidRPr="00BC1362" w:rsidRDefault="000836A0" w:rsidP="000836A0">
      <w:pPr>
        <w:pStyle w:val="Zkladntextodsazen"/>
        <w:spacing w:before="120" w:after="120" w:line="288" w:lineRule="auto"/>
        <w:rPr>
          <w:rFonts w:ascii="Calibri" w:hAnsi="Calibri" w:cs="Arial"/>
          <w:sz w:val="20"/>
        </w:rPr>
      </w:pPr>
      <w:r w:rsidRPr="00BC1362">
        <w:rPr>
          <w:rFonts w:ascii="Calibri" w:hAnsi="Calibri" w:cs="Arial"/>
          <w:sz w:val="20"/>
        </w:rPr>
        <w:t xml:space="preserve">dále jen </w:t>
      </w:r>
      <w:r w:rsidRPr="00BC1362">
        <w:rPr>
          <w:rFonts w:ascii="Calibri" w:hAnsi="Calibri" w:cs="Arial"/>
          <w:b/>
          <w:sz w:val="20"/>
        </w:rPr>
        <w:t>Zhotovitel</w:t>
      </w:r>
      <w:r w:rsidRPr="00BC1362">
        <w:rPr>
          <w:rFonts w:ascii="Calibri" w:hAnsi="Calibri" w:cs="Arial"/>
          <w:sz w:val="20"/>
        </w:rPr>
        <w:t xml:space="preserve"> </w:t>
      </w:r>
    </w:p>
    <w:p w14:paraId="2ABE04D0" w14:textId="77777777" w:rsidR="000836A0" w:rsidRPr="00BC1362" w:rsidRDefault="000836A0" w:rsidP="000836A0">
      <w:pPr>
        <w:pStyle w:val="Zkladntextodsazen"/>
        <w:spacing w:before="0" w:after="120" w:line="288" w:lineRule="auto"/>
        <w:rPr>
          <w:rFonts w:ascii="Calibri" w:hAnsi="Calibri" w:cs="Arial"/>
          <w:sz w:val="20"/>
        </w:rPr>
      </w:pPr>
    </w:p>
    <w:p w14:paraId="56CB78F3" w14:textId="77777777" w:rsidR="000836A0" w:rsidRPr="00BC1362" w:rsidRDefault="000836A0" w:rsidP="000836A0">
      <w:pPr>
        <w:pStyle w:val="Zkladntextodsazen"/>
        <w:spacing w:before="240" w:after="120" w:line="288" w:lineRule="auto"/>
        <w:ind w:left="0"/>
        <w:jc w:val="center"/>
        <w:rPr>
          <w:rFonts w:ascii="Calibri" w:hAnsi="Calibri" w:cs="Arial"/>
          <w:b/>
          <w:sz w:val="20"/>
        </w:rPr>
      </w:pPr>
      <w:r w:rsidRPr="00BC1362">
        <w:rPr>
          <w:rFonts w:ascii="Calibri" w:hAnsi="Calibri" w:cs="Arial"/>
          <w:b/>
          <w:sz w:val="20"/>
        </w:rPr>
        <w:t>PROHLÁŠENÍ SMLUVNÍCH STRAN</w:t>
      </w:r>
    </w:p>
    <w:p w14:paraId="56EBF6DD" w14:textId="77777777" w:rsidR="000836A0" w:rsidRPr="00BC1362" w:rsidRDefault="000836A0" w:rsidP="000836A0">
      <w:pPr>
        <w:pStyle w:val="Zkladntextodsazen"/>
        <w:spacing w:before="120" w:after="120" w:line="288" w:lineRule="auto"/>
        <w:ind w:left="0"/>
        <w:rPr>
          <w:rFonts w:ascii="Calibri" w:hAnsi="Calibri" w:cs="Arial"/>
          <w:sz w:val="20"/>
        </w:rPr>
      </w:pPr>
      <w:r w:rsidRPr="00BC1362">
        <w:rPr>
          <w:rFonts w:ascii="Calibri" w:hAnsi="Calibri" w:cs="Arial"/>
          <w:sz w:val="20"/>
        </w:rPr>
        <w:t>Zhotovitel prohlašuje, že na jeho majetek nebyl prohlášen konkurz, nebylo proti němu zahájeno konkurzní ani vyrovnávací řízení a nebyl zamítnut konkurz pro nedostatek majetku, není v likvidaci a nemá v evidenci daní zachyceny daňové nedoplatky. Dále prohlašuje, že odpovědný zástupce Zhotovitele nebyl v době posledních tří let disciplinárně potrestán ani pravomocně odsouzen pro trestný čin hospodářský, proti majetku, ani pro trestný čin, jehož skutková podstata souvisí s předmětem podnikání Zhotovitele.</w:t>
      </w:r>
    </w:p>
    <w:p w14:paraId="356A6E67" w14:textId="77777777" w:rsidR="000836A0" w:rsidRPr="00BC1362" w:rsidRDefault="000836A0" w:rsidP="000836A0">
      <w:pPr>
        <w:pStyle w:val="Zkladntextodsazen"/>
        <w:spacing w:before="120" w:after="120" w:line="288" w:lineRule="auto"/>
        <w:ind w:left="0"/>
        <w:rPr>
          <w:rFonts w:ascii="Calibri" w:hAnsi="Calibri" w:cs="Arial"/>
          <w:sz w:val="20"/>
        </w:rPr>
      </w:pPr>
      <w:r w:rsidRPr="00BC1362">
        <w:rPr>
          <w:rFonts w:ascii="Calibri" w:hAnsi="Calibri" w:cs="Arial"/>
          <w:sz w:val="20"/>
        </w:rPr>
        <w:t>Objednatel prohlašuje, že na jeho majetek nebyl prohlášen konkurz, nebylo proti němu zahájeno konkurzní ani vyrovnávací řízení a nebyl zamítnut konkurz pro nedostatek majetku, není v likvidaci a nemá v evidenci daní zachyceny daňové nedoplatky.</w:t>
      </w:r>
    </w:p>
    <w:p w14:paraId="4F1A3165" w14:textId="77777777" w:rsidR="000836A0" w:rsidRPr="00BC1362" w:rsidRDefault="000836A0" w:rsidP="00487586">
      <w:pPr>
        <w:pStyle w:val="Zkladntextodsazen"/>
        <w:numPr>
          <w:ilvl w:val="0"/>
          <w:numId w:val="6"/>
        </w:numPr>
        <w:spacing w:before="240" w:after="120" w:line="288" w:lineRule="auto"/>
        <w:ind w:left="357" w:hanging="357"/>
        <w:rPr>
          <w:rFonts w:ascii="Calibri" w:hAnsi="Calibri" w:cs="Arial"/>
          <w:b/>
          <w:sz w:val="20"/>
        </w:rPr>
      </w:pPr>
      <w:bookmarkStart w:id="3" w:name="_Ref482970672"/>
      <w:bookmarkStart w:id="4" w:name="_Toc535653573"/>
      <w:bookmarkStart w:id="5" w:name="_Toc447365025"/>
      <w:bookmarkStart w:id="6" w:name="_Toc447445916"/>
      <w:bookmarkStart w:id="7" w:name="predmet"/>
      <w:r w:rsidRPr="00BC1362">
        <w:rPr>
          <w:rFonts w:ascii="Calibri" w:hAnsi="Calibri" w:cs="Arial"/>
          <w:caps/>
          <w:szCs w:val="32"/>
        </w:rPr>
        <w:br w:type="page"/>
      </w:r>
      <w:r w:rsidRPr="00BC1362">
        <w:rPr>
          <w:rFonts w:ascii="Calibri" w:hAnsi="Calibri" w:cs="Arial"/>
          <w:b/>
          <w:sz w:val="20"/>
        </w:rPr>
        <w:lastRenderedPageBreak/>
        <w:t>PŘEDMĚT SMLOUVY</w:t>
      </w:r>
    </w:p>
    <w:p w14:paraId="3AE5D093" w14:textId="6812EEEF" w:rsidR="000836A0" w:rsidRPr="00BC1362" w:rsidRDefault="000836A0" w:rsidP="00487586">
      <w:pPr>
        <w:pStyle w:val="Zkladntextodsazen"/>
        <w:numPr>
          <w:ilvl w:val="1"/>
          <w:numId w:val="6"/>
        </w:numPr>
        <w:spacing w:before="120" w:after="120" w:line="288" w:lineRule="auto"/>
        <w:rPr>
          <w:rFonts w:ascii="Calibri" w:hAnsi="Calibri" w:cs="Arial"/>
          <w:sz w:val="20"/>
        </w:rPr>
      </w:pPr>
      <w:r w:rsidRPr="00BC1362">
        <w:rPr>
          <w:rFonts w:ascii="Calibri" w:hAnsi="Calibri" w:cs="Arial"/>
          <w:sz w:val="20"/>
        </w:rPr>
        <w:t xml:space="preserve">Předmětem plnění této smlouvy </w:t>
      </w:r>
      <w:r>
        <w:rPr>
          <w:rFonts w:ascii="Calibri" w:hAnsi="Calibri" w:cs="Arial"/>
          <w:sz w:val="20"/>
        </w:rPr>
        <w:t xml:space="preserve">je </w:t>
      </w:r>
      <w:r w:rsidRPr="000444EF">
        <w:rPr>
          <w:rFonts w:ascii="Calibri" w:hAnsi="Calibri" w:cs="Arial"/>
          <w:sz w:val="20"/>
        </w:rPr>
        <w:t xml:space="preserve">příprava a zpracování </w:t>
      </w:r>
      <w:r w:rsidRPr="000444EF">
        <w:rPr>
          <w:rFonts w:ascii="Calibri" w:hAnsi="Calibri" w:cs="Arial"/>
          <w:b/>
          <w:sz w:val="20"/>
        </w:rPr>
        <w:t>studie proveditelnosti</w:t>
      </w:r>
      <w:r>
        <w:rPr>
          <w:rFonts w:ascii="Calibri" w:hAnsi="Calibri" w:cs="Arial"/>
          <w:sz w:val="20"/>
        </w:rPr>
        <w:t xml:space="preserve"> a</w:t>
      </w:r>
      <w:r w:rsidRPr="000444EF">
        <w:rPr>
          <w:rFonts w:ascii="Calibri" w:hAnsi="Calibri" w:cs="Arial"/>
          <w:b/>
          <w:sz w:val="20"/>
        </w:rPr>
        <w:t xml:space="preserve"> žádosti o </w:t>
      </w:r>
      <w:r>
        <w:rPr>
          <w:rFonts w:ascii="Calibri" w:hAnsi="Calibri" w:cs="Arial"/>
          <w:b/>
          <w:sz w:val="20"/>
        </w:rPr>
        <w:t xml:space="preserve">dotaci </w:t>
      </w:r>
      <w:r>
        <w:rPr>
          <w:rFonts w:ascii="Calibri" w:hAnsi="Calibri"/>
          <w:sz w:val="20"/>
        </w:rPr>
        <w:t>pro projekt Objednatele podávaný do</w:t>
      </w:r>
      <w:r w:rsidRPr="00334793">
        <w:rPr>
          <w:rFonts w:ascii="Calibri" w:hAnsi="Calibri" w:cs="Arial"/>
          <w:color w:val="000000"/>
          <w:sz w:val="20"/>
        </w:rPr>
        <w:t> </w:t>
      </w:r>
      <w:r>
        <w:rPr>
          <w:rFonts w:ascii="Calibri" w:hAnsi="Calibri" w:cs="Arial"/>
          <w:color w:val="000000"/>
          <w:sz w:val="20"/>
        </w:rPr>
        <w:t>v</w:t>
      </w:r>
      <w:r w:rsidRPr="00334793">
        <w:rPr>
          <w:rFonts w:ascii="Calibri" w:hAnsi="Calibri" w:cs="Arial"/>
          <w:color w:val="000000"/>
          <w:sz w:val="20"/>
        </w:rPr>
        <w:t>ýzvy</w:t>
      </w:r>
      <w:r>
        <w:rPr>
          <w:rFonts w:ascii="Calibri" w:hAnsi="Calibri" w:cs="Arial"/>
          <w:color w:val="000000"/>
          <w:sz w:val="20"/>
        </w:rPr>
        <w:t xml:space="preserve"> číslo 10 v rámci</w:t>
      </w:r>
      <w:r w:rsidRPr="00334793">
        <w:rPr>
          <w:rFonts w:ascii="Calibri" w:hAnsi="Calibri" w:cs="Arial"/>
          <w:color w:val="000000"/>
          <w:sz w:val="20"/>
        </w:rPr>
        <w:t xml:space="preserve"> </w:t>
      </w:r>
      <w:r>
        <w:rPr>
          <w:rFonts w:ascii="Calibri" w:hAnsi="Calibri" w:cs="Arial"/>
          <w:color w:val="000000"/>
          <w:sz w:val="20"/>
        </w:rPr>
        <w:t xml:space="preserve">IROP (Integrovaný regionální operační program) </w:t>
      </w:r>
      <w:r w:rsidRPr="00BC1362">
        <w:rPr>
          <w:rFonts w:ascii="Calibri" w:hAnsi="Calibri" w:cs="Arial"/>
          <w:sz w:val="20"/>
        </w:rPr>
        <w:t>za cenu a podmínek stanovených v této smlouvě.</w:t>
      </w:r>
      <w:r>
        <w:rPr>
          <w:rFonts w:ascii="Calibri" w:hAnsi="Calibri" w:cs="Arial"/>
          <w:sz w:val="20"/>
        </w:rPr>
        <w:t xml:space="preserve"> P</w:t>
      </w:r>
      <w:r w:rsidRPr="00BC1362">
        <w:rPr>
          <w:rFonts w:ascii="Calibri" w:hAnsi="Calibri" w:cs="Arial"/>
          <w:sz w:val="20"/>
        </w:rPr>
        <w:t>odrobná specifikace je obsažena v příloze č. 1</w:t>
      </w:r>
      <w:r>
        <w:rPr>
          <w:rFonts w:ascii="Calibri" w:hAnsi="Calibri" w:cs="Arial"/>
          <w:sz w:val="20"/>
        </w:rPr>
        <w:t xml:space="preserve"> této Smlouvy.</w:t>
      </w:r>
    </w:p>
    <w:p w14:paraId="1D7F6BED" w14:textId="77777777" w:rsidR="000836A0" w:rsidRPr="00BC1362" w:rsidRDefault="000836A0" w:rsidP="00487586">
      <w:pPr>
        <w:pStyle w:val="Zkladntextodsazen"/>
        <w:numPr>
          <w:ilvl w:val="0"/>
          <w:numId w:val="6"/>
        </w:numPr>
        <w:spacing w:before="240" w:after="120" w:line="288" w:lineRule="auto"/>
        <w:ind w:left="357" w:hanging="357"/>
        <w:rPr>
          <w:rFonts w:ascii="Calibri" w:hAnsi="Calibri" w:cs="Arial"/>
          <w:b/>
          <w:sz w:val="20"/>
        </w:rPr>
      </w:pPr>
      <w:r w:rsidRPr="00BC1362">
        <w:rPr>
          <w:rFonts w:ascii="Calibri" w:hAnsi="Calibri" w:cs="Arial"/>
          <w:b/>
          <w:sz w:val="20"/>
        </w:rPr>
        <w:t>DOBA</w:t>
      </w:r>
      <w:r>
        <w:rPr>
          <w:rFonts w:ascii="Calibri" w:hAnsi="Calibri" w:cs="Arial"/>
          <w:b/>
          <w:sz w:val="20"/>
        </w:rPr>
        <w:t xml:space="preserve"> A MÍSTO </w:t>
      </w:r>
      <w:r w:rsidRPr="00BC1362">
        <w:rPr>
          <w:rFonts w:ascii="Calibri" w:hAnsi="Calibri" w:cs="Arial"/>
          <w:b/>
          <w:sz w:val="20"/>
        </w:rPr>
        <w:t>PLNĚNÍ</w:t>
      </w:r>
    </w:p>
    <w:p w14:paraId="3C5C1261" w14:textId="0ECB86CF"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 xml:space="preserve">Zhotovitel se zavazuje poskytnout Objednateli </w:t>
      </w:r>
      <w:r>
        <w:rPr>
          <w:rFonts w:ascii="Calibri" w:hAnsi="Calibri" w:cs="Arial"/>
          <w:sz w:val="20"/>
        </w:rPr>
        <w:t>st</w:t>
      </w:r>
      <w:r w:rsidRPr="00613884">
        <w:rPr>
          <w:rFonts w:ascii="Calibri" w:hAnsi="Calibri"/>
          <w:sz w:val="20"/>
        </w:rPr>
        <w:t>udi</w:t>
      </w:r>
      <w:r>
        <w:rPr>
          <w:rFonts w:ascii="Calibri" w:hAnsi="Calibri"/>
          <w:sz w:val="20"/>
        </w:rPr>
        <w:t>i</w:t>
      </w:r>
      <w:r w:rsidRPr="00613884">
        <w:rPr>
          <w:rFonts w:ascii="Calibri" w:hAnsi="Calibri"/>
          <w:sz w:val="20"/>
        </w:rPr>
        <w:t xml:space="preserve"> proveditelnosti</w:t>
      </w:r>
      <w:r w:rsidRPr="00613884">
        <w:rPr>
          <w:rFonts w:ascii="Calibri" w:hAnsi="Calibri" w:cs="Arial"/>
          <w:sz w:val="20"/>
        </w:rPr>
        <w:t xml:space="preserve"> </w:t>
      </w:r>
      <w:r>
        <w:rPr>
          <w:rFonts w:ascii="Calibri" w:hAnsi="Calibri" w:cs="Arial"/>
          <w:sz w:val="20"/>
        </w:rPr>
        <w:t>do 29.9.2017 do 12:00 hod. a žádost o dotaci do 15.10.2017 do 12:00 hod.</w:t>
      </w:r>
    </w:p>
    <w:p w14:paraId="3339DE51" w14:textId="77777777" w:rsidR="000836A0" w:rsidRPr="00BC1362" w:rsidRDefault="000836A0" w:rsidP="00487586">
      <w:pPr>
        <w:pStyle w:val="Zkladntextodsazen"/>
        <w:numPr>
          <w:ilvl w:val="1"/>
          <w:numId w:val="6"/>
        </w:numPr>
        <w:spacing w:before="120" w:after="120" w:line="288" w:lineRule="auto"/>
        <w:ind w:left="425" w:hanging="431"/>
        <w:rPr>
          <w:rFonts w:ascii="Calibri" w:hAnsi="Calibri" w:cs="Arial"/>
          <w:sz w:val="20"/>
        </w:rPr>
      </w:pPr>
      <w:r>
        <w:rPr>
          <w:rFonts w:ascii="Calibri" w:hAnsi="Calibri" w:cs="Arial"/>
          <w:sz w:val="20"/>
        </w:rPr>
        <w:t>Místem plnění díla je sídlo Objednatele.</w:t>
      </w:r>
    </w:p>
    <w:p w14:paraId="4E12A36A" w14:textId="77777777" w:rsidR="000836A0" w:rsidRPr="00BC1362" w:rsidRDefault="000836A0" w:rsidP="00487586">
      <w:pPr>
        <w:pStyle w:val="Zkladntextodsazen"/>
        <w:numPr>
          <w:ilvl w:val="0"/>
          <w:numId w:val="6"/>
        </w:numPr>
        <w:spacing w:before="240" w:after="120" w:line="288" w:lineRule="auto"/>
        <w:ind w:left="357" w:hanging="357"/>
        <w:rPr>
          <w:rFonts w:ascii="Calibri" w:hAnsi="Calibri" w:cs="Arial"/>
          <w:b/>
          <w:sz w:val="20"/>
        </w:rPr>
      </w:pPr>
      <w:r>
        <w:rPr>
          <w:rFonts w:ascii="Calibri" w:hAnsi="Calibri" w:cs="Arial"/>
          <w:b/>
          <w:sz w:val="20"/>
        </w:rPr>
        <w:t xml:space="preserve">CENA A PLATEBNÍ PODMÍNKY </w:t>
      </w:r>
    </w:p>
    <w:p w14:paraId="3C13F91E" w14:textId="1B30BE0E" w:rsidR="000836A0" w:rsidRDefault="000836A0" w:rsidP="00487586">
      <w:pPr>
        <w:pStyle w:val="Zkladntextodsazen"/>
        <w:numPr>
          <w:ilvl w:val="1"/>
          <w:numId w:val="6"/>
        </w:numPr>
        <w:spacing w:before="120" w:after="120" w:line="288" w:lineRule="auto"/>
        <w:rPr>
          <w:rFonts w:ascii="Calibri" w:hAnsi="Calibri" w:cs="Arial"/>
          <w:sz w:val="20"/>
        </w:rPr>
      </w:pPr>
      <w:r w:rsidRPr="00BC1362">
        <w:rPr>
          <w:rFonts w:ascii="Calibri" w:hAnsi="Calibri" w:cs="Arial"/>
          <w:sz w:val="20"/>
        </w:rPr>
        <w:t xml:space="preserve">Celková a konečná cena za provedení díla je stanovena dohodou smluvních stran ve výši </w:t>
      </w:r>
      <w:r>
        <w:rPr>
          <w:rFonts w:ascii="Calibri" w:hAnsi="Calibri" w:cs="Arial"/>
          <w:b/>
          <w:sz w:val="20"/>
        </w:rPr>
        <w:t xml:space="preserve">250 </w:t>
      </w:r>
      <w:r w:rsidRPr="00811A02">
        <w:rPr>
          <w:rFonts w:ascii="Calibri" w:hAnsi="Calibri" w:cs="Arial"/>
          <w:b/>
          <w:sz w:val="20"/>
        </w:rPr>
        <w:t>000 Kč</w:t>
      </w:r>
      <w:r w:rsidRPr="006B545E">
        <w:rPr>
          <w:rFonts w:ascii="Calibri" w:hAnsi="Calibri" w:cs="Arial"/>
          <w:sz w:val="20"/>
        </w:rPr>
        <w:t xml:space="preserve"> </w:t>
      </w:r>
      <w:r w:rsidRPr="000444EF">
        <w:rPr>
          <w:rFonts w:ascii="Calibri" w:hAnsi="Calibri" w:cs="Arial"/>
          <w:b/>
          <w:sz w:val="20"/>
        </w:rPr>
        <w:t>bez DPH</w:t>
      </w:r>
      <w:r>
        <w:rPr>
          <w:rFonts w:ascii="Calibri" w:hAnsi="Calibri" w:cs="Arial"/>
          <w:sz w:val="20"/>
        </w:rPr>
        <w:t xml:space="preserve"> </w:t>
      </w:r>
      <w:r w:rsidRPr="006B545E">
        <w:rPr>
          <w:rFonts w:ascii="Calibri" w:hAnsi="Calibri" w:cs="Arial"/>
          <w:sz w:val="20"/>
        </w:rPr>
        <w:t xml:space="preserve">(slovy </w:t>
      </w:r>
      <w:r>
        <w:rPr>
          <w:rFonts w:ascii="Calibri" w:hAnsi="Calibri" w:cs="Arial"/>
          <w:sz w:val="20"/>
        </w:rPr>
        <w:t>dvěstěpadesát-</w:t>
      </w:r>
      <w:r w:rsidRPr="006B545E">
        <w:rPr>
          <w:rFonts w:ascii="Calibri" w:hAnsi="Calibri" w:cs="Arial"/>
          <w:sz w:val="20"/>
        </w:rPr>
        <w:t>tisí</w:t>
      </w:r>
      <w:r>
        <w:rPr>
          <w:rFonts w:ascii="Calibri" w:hAnsi="Calibri" w:cs="Arial"/>
          <w:sz w:val="20"/>
        </w:rPr>
        <w:t>c-</w:t>
      </w:r>
      <w:r w:rsidRPr="006B545E">
        <w:rPr>
          <w:rFonts w:ascii="Calibri" w:hAnsi="Calibri" w:cs="Arial"/>
          <w:sz w:val="20"/>
        </w:rPr>
        <w:t>korun</w:t>
      </w:r>
      <w:r>
        <w:rPr>
          <w:rFonts w:ascii="Calibri" w:hAnsi="Calibri" w:cs="Arial"/>
          <w:sz w:val="20"/>
        </w:rPr>
        <w:t>-</w:t>
      </w:r>
      <w:r w:rsidRPr="006B545E">
        <w:rPr>
          <w:rFonts w:ascii="Calibri" w:hAnsi="Calibri" w:cs="Arial"/>
          <w:sz w:val="20"/>
        </w:rPr>
        <w:t>českých</w:t>
      </w:r>
      <w:r>
        <w:rPr>
          <w:rFonts w:ascii="Calibri" w:hAnsi="Calibri" w:cs="Arial"/>
          <w:sz w:val="20"/>
        </w:rPr>
        <w:t xml:space="preserve">). </w:t>
      </w:r>
      <w:r w:rsidRPr="006E371F">
        <w:rPr>
          <w:rFonts w:ascii="Calibri" w:hAnsi="Calibri" w:cs="Arial"/>
          <w:sz w:val="20"/>
        </w:rPr>
        <w:t>K této ceně bude připočtena DPH ve výši dle právního předpisu.</w:t>
      </w:r>
      <w:r>
        <w:rPr>
          <w:rFonts w:ascii="Calibri" w:hAnsi="Calibri" w:cs="Arial"/>
          <w:sz w:val="20"/>
        </w:rPr>
        <w:t xml:space="preserve"> Cena</w:t>
      </w:r>
      <w:r w:rsidRPr="006B545E">
        <w:rPr>
          <w:rFonts w:ascii="Calibri" w:hAnsi="Calibri" w:cs="Arial"/>
          <w:sz w:val="20"/>
        </w:rPr>
        <w:t xml:space="preserve"> je složena z</w:t>
      </w:r>
      <w:r>
        <w:rPr>
          <w:rFonts w:ascii="Calibri" w:hAnsi="Calibri" w:cs="Arial"/>
          <w:sz w:val="20"/>
        </w:rPr>
        <w:t> těchto dílčích částí:</w:t>
      </w:r>
    </w:p>
    <w:p w14:paraId="6548C50B" w14:textId="16B35816" w:rsidR="000836A0" w:rsidRDefault="000836A0" w:rsidP="00487586">
      <w:pPr>
        <w:pStyle w:val="Zkladntextodsazen"/>
        <w:numPr>
          <w:ilvl w:val="2"/>
          <w:numId w:val="7"/>
        </w:numPr>
        <w:spacing w:before="120" w:after="120" w:line="288" w:lineRule="auto"/>
        <w:rPr>
          <w:rFonts w:ascii="Calibri" w:hAnsi="Calibri"/>
          <w:sz w:val="20"/>
        </w:rPr>
      </w:pPr>
      <w:r>
        <w:rPr>
          <w:rFonts w:ascii="Calibri" w:hAnsi="Calibri"/>
          <w:sz w:val="20"/>
        </w:rPr>
        <w:t>240 000 Kč bez DPH za zpracování studie proveditelnosti,</w:t>
      </w:r>
    </w:p>
    <w:p w14:paraId="33BC2C56" w14:textId="4AFAB54A" w:rsidR="000836A0" w:rsidRPr="00DD52FB" w:rsidRDefault="000836A0" w:rsidP="00487586">
      <w:pPr>
        <w:pStyle w:val="Zkladntextodsazen"/>
        <w:numPr>
          <w:ilvl w:val="2"/>
          <w:numId w:val="7"/>
        </w:numPr>
        <w:spacing w:before="120" w:after="120" w:line="288" w:lineRule="auto"/>
        <w:rPr>
          <w:rFonts w:ascii="Calibri" w:hAnsi="Calibri" w:cs="Arial"/>
          <w:sz w:val="20"/>
        </w:rPr>
      </w:pPr>
      <w:r>
        <w:rPr>
          <w:rFonts w:ascii="Calibri" w:hAnsi="Calibri"/>
          <w:sz w:val="20"/>
        </w:rPr>
        <w:t xml:space="preserve">10 000 Kč bez DPH za </w:t>
      </w:r>
      <w:r w:rsidRPr="00334793">
        <w:rPr>
          <w:rFonts w:ascii="Calibri" w:hAnsi="Calibri"/>
          <w:sz w:val="20"/>
        </w:rPr>
        <w:t>zpracování žádosti o</w:t>
      </w:r>
      <w:r>
        <w:rPr>
          <w:rFonts w:ascii="Calibri" w:hAnsi="Calibri"/>
          <w:sz w:val="20"/>
        </w:rPr>
        <w:t xml:space="preserve"> dotaci.</w:t>
      </w:r>
    </w:p>
    <w:p w14:paraId="54FDA3F3" w14:textId="0D16C278"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 xml:space="preserve">V ceně jsou započítány veškeré náklady Zhotovitele na provedení díla. Cena díla bude uhrazena Objednatelem na základě faktury Zhotovitele </w:t>
      </w:r>
      <w:r>
        <w:rPr>
          <w:rFonts w:ascii="Calibri" w:hAnsi="Calibri" w:cs="Arial"/>
          <w:sz w:val="20"/>
        </w:rPr>
        <w:t xml:space="preserve">vystavené </w:t>
      </w:r>
      <w:r w:rsidRPr="00BC1362">
        <w:rPr>
          <w:rFonts w:ascii="Calibri" w:hAnsi="Calibri" w:cs="Arial"/>
          <w:sz w:val="20"/>
        </w:rPr>
        <w:t>po dokončení a předání</w:t>
      </w:r>
      <w:r>
        <w:rPr>
          <w:rFonts w:ascii="Calibri" w:hAnsi="Calibri" w:cs="Arial"/>
          <w:sz w:val="20"/>
        </w:rPr>
        <w:t xml:space="preserve"> </w:t>
      </w:r>
      <w:r w:rsidR="00E153F2">
        <w:rPr>
          <w:rFonts w:ascii="Calibri" w:hAnsi="Calibri" w:cs="Arial"/>
          <w:sz w:val="20"/>
        </w:rPr>
        <w:t>díla následovně:</w:t>
      </w:r>
    </w:p>
    <w:p w14:paraId="687D288E" w14:textId="77777777" w:rsidR="00E153F2" w:rsidRPr="00E153F2" w:rsidRDefault="00E153F2" w:rsidP="00487586">
      <w:pPr>
        <w:pStyle w:val="Zkladntextodsazen"/>
        <w:numPr>
          <w:ilvl w:val="0"/>
          <w:numId w:val="21"/>
        </w:numPr>
        <w:spacing w:before="120" w:after="120" w:line="288" w:lineRule="auto"/>
        <w:rPr>
          <w:rFonts w:ascii="Calibri" w:hAnsi="Calibri" w:cs="Arial"/>
          <w:sz w:val="20"/>
        </w:rPr>
      </w:pPr>
      <w:r w:rsidRPr="00E153F2">
        <w:rPr>
          <w:rFonts w:ascii="Calibri" w:hAnsi="Calibri" w:cs="Arial"/>
          <w:sz w:val="20"/>
        </w:rPr>
        <w:t xml:space="preserve">80 % z celkové ceny díla bude proplaceno zpracovateli na základě faktury, kterou zpracovatel vystaví po finalizaci projektu v IS KP14+, </w:t>
      </w:r>
    </w:p>
    <w:p w14:paraId="2489C3A7" w14:textId="77777777" w:rsidR="00E153F2" w:rsidRPr="00E153F2" w:rsidRDefault="00E153F2" w:rsidP="00487586">
      <w:pPr>
        <w:pStyle w:val="Zkladntextodsazen"/>
        <w:numPr>
          <w:ilvl w:val="0"/>
          <w:numId w:val="21"/>
        </w:numPr>
        <w:spacing w:before="120" w:after="120" w:line="288" w:lineRule="auto"/>
        <w:rPr>
          <w:rFonts w:ascii="Calibri" w:hAnsi="Calibri" w:cs="Arial"/>
          <w:sz w:val="20"/>
        </w:rPr>
      </w:pPr>
      <w:r w:rsidRPr="00E153F2">
        <w:rPr>
          <w:rFonts w:ascii="Calibri" w:hAnsi="Calibri" w:cs="Arial"/>
          <w:sz w:val="20"/>
        </w:rPr>
        <w:t>20 % z celkové ceny díla bude proplaceno zpracovateli na základě faktury, kterou zpracovatel vystaví po potvrzení poskytovatelem dotace, že projekt splnil podmínky přijatelnosti a formálních náležitostí.</w:t>
      </w:r>
    </w:p>
    <w:p w14:paraId="218790C6" w14:textId="77777777" w:rsidR="000836A0" w:rsidRDefault="000836A0" w:rsidP="00487586">
      <w:pPr>
        <w:pStyle w:val="Zkladntextodsazen"/>
        <w:numPr>
          <w:ilvl w:val="1"/>
          <w:numId w:val="6"/>
        </w:numPr>
        <w:spacing w:before="120" w:after="120" w:line="288" w:lineRule="auto"/>
        <w:ind w:left="426" w:hanging="426"/>
        <w:rPr>
          <w:rFonts w:ascii="Calibri" w:hAnsi="Calibri" w:cs="Arial"/>
          <w:sz w:val="20"/>
        </w:rPr>
      </w:pPr>
      <w:r w:rsidRPr="0081143B">
        <w:rPr>
          <w:rFonts w:ascii="Calibri" w:hAnsi="Calibri" w:cs="Arial"/>
          <w:sz w:val="20"/>
        </w:rPr>
        <w:t xml:space="preserve">Realizovaná zakázka bude </w:t>
      </w:r>
      <w:r>
        <w:rPr>
          <w:rFonts w:ascii="Calibri" w:hAnsi="Calibri" w:cs="Arial"/>
          <w:sz w:val="20"/>
        </w:rPr>
        <w:t xml:space="preserve">Objednatelem </w:t>
      </w:r>
      <w:r w:rsidRPr="0081143B">
        <w:rPr>
          <w:rFonts w:ascii="Calibri" w:hAnsi="Calibri" w:cs="Arial"/>
          <w:sz w:val="20"/>
        </w:rPr>
        <w:t>uhrazena zhotoviteli na základě faktury, která bude splňovat náležitosti daňového dokladu dle platných obecně závazných právních předpisů.</w:t>
      </w:r>
    </w:p>
    <w:p w14:paraId="68C9BA31" w14:textId="77777777" w:rsidR="000836A0" w:rsidRPr="001D588F" w:rsidRDefault="000836A0" w:rsidP="00487586">
      <w:pPr>
        <w:pStyle w:val="Zkladntextodsazen"/>
        <w:numPr>
          <w:ilvl w:val="1"/>
          <w:numId w:val="6"/>
        </w:numPr>
        <w:spacing w:before="120" w:after="120" w:line="288" w:lineRule="auto"/>
        <w:rPr>
          <w:rFonts w:ascii="Calibri" w:hAnsi="Calibri" w:cs="Arial"/>
          <w:sz w:val="20"/>
        </w:rPr>
      </w:pPr>
      <w:r w:rsidRPr="001D588F">
        <w:rPr>
          <w:rFonts w:ascii="Calibri" w:hAnsi="Calibri" w:cs="Arial"/>
          <w:sz w:val="20"/>
        </w:rPr>
        <w:t>Každý originální účetní doklad bude</w:t>
      </w:r>
      <w:r>
        <w:rPr>
          <w:rFonts w:ascii="Calibri" w:hAnsi="Calibri" w:cs="Arial"/>
          <w:sz w:val="20"/>
        </w:rPr>
        <w:t xml:space="preserve"> </w:t>
      </w:r>
      <w:r w:rsidRPr="001D588F">
        <w:rPr>
          <w:rFonts w:ascii="Calibri" w:hAnsi="Calibri" w:cs="Arial"/>
          <w:sz w:val="20"/>
        </w:rPr>
        <w:t>obsahovat registrační číslo projektu.</w:t>
      </w:r>
    </w:p>
    <w:p w14:paraId="1DF8E7D5" w14:textId="77777777" w:rsidR="000836A0" w:rsidRPr="0010048D" w:rsidRDefault="000836A0" w:rsidP="00487586">
      <w:pPr>
        <w:pStyle w:val="Zkladntextodsazen"/>
        <w:numPr>
          <w:ilvl w:val="1"/>
          <w:numId w:val="6"/>
        </w:numPr>
        <w:spacing w:before="120" w:after="120" w:line="288" w:lineRule="auto"/>
        <w:ind w:left="426" w:hanging="426"/>
        <w:rPr>
          <w:rFonts w:ascii="Calibri" w:hAnsi="Calibri" w:cs="Arial"/>
          <w:sz w:val="20"/>
        </w:rPr>
      </w:pPr>
      <w:r w:rsidRPr="0081143B">
        <w:rPr>
          <w:rFonts w:ascii="Calibri" w:hAnsi="Calibri" w:cs="Arial"/>
          <w:sz w:val="20"/>
        </w:rPr>
        <w:t xml:space="preserve">Splatnost faktury – daňového dokladu činí </w:t>
      </w:r>
      <w:r>
        <w:rPr>
          <w:rFonts w:ascii="Calibri" w:hAnsi="Calibri" w:cs="Arial"/>
          <w:sz w:val="20"/>
        </w:rPr>
        <w:t>30</w:t>
      </w:r>
      <w:r w:rsidRPr="0081143B">
        <w:rPr>
          <w:rFonts w:ascii="Calibri" w:hAnsi="Calibri" w:cs="Arial"/>
          <w:sz w:val="20"/>
        </w:rPr>
        <w:t xml:space="preserve"> kalendářních dní od jejího doručení Objednateli za předpokladu, že bude vystavena v souladu s platebními podmínkami a bude splňovat všechny uvedené náležitosti, týkající se vystavené faktury.</w:t>
      </w:r>
    </w:p>
    <w:p w14:paraId="70E29DC8" w14:textId="77777777" w:rsidR="000836A0" w:rsidRDefault="000836A0" w:rsidP="00487586">
      <w:pPr>
        <w:pStyle w:val="Zkladntextodsazen"/>
        <w:numPr>
          <w:ilvl w:val="1"/>
          <w:numId w:val="6"/>
        </w:numPr>
        <w:spacing w:before="120" w:after="120" w:line="288" w:lineRule="auto"/>
        <w:ind w:left="426" w:hanging="426"/>
        <w:rPr>
          <w:rFonts w:ascii="Calibri" w:hAnsi="Calibri" w:cs="Arial"/>
          <w:sz w:val="20"/>
        </w:rPr>
      </w:pPr>
      <w:r w:rsidRPr="0081143B">
        <w:rPr>
          <w:rFonts w:ascii="Calibri" w:hAnsi="Calibri" w:cs="Arial"/>
          <w:sz w:val="20"/>
        </w:rPr>
        <w:t xml:space="preserve">Objednatel má právo vrátit </w:t>
      </w:r>
      <w:r>
        <w:rPr>
          <w:rFonts w:ascii="Calibri" w:hAnsi="Calibri" w:cs="Arial"/>
          <w:sz w:val="20"/>
        </w:rPr>
        <w:t xml:space="preserve">Zhotoviteli </w:t>
      </w:r>
      <w:r w:rsidRPr="0081143B">
        <w:rPr>
          <w:rFonts w:ascii="Calibri" w:hAnsi="Calibri" w:cs="Arial"/>
          <w:sz w:val="20"/>
        </w:rPr>
        <w:t>před datem splatnosti fakturu neobsahující všechny zákonem i</w:t>
      </w:r>
      <w:r>
        <w:rPr>
          <w:rFonts w:ascii="Calibri" w:hAnsi="Calibri" w:cs="Arial"/>
          <w:sz w:val="20"/>
        </w:rPr>
        <w:t> </w:t>
      </w:r>
      <w:r w:rsidRPr="0081143B">
        <w:rPr>
          <w:rFonts w:ascii="Calibri" w:hAnsi="Calibri" w:cs="Arial"/>
          <w:sz w:val="20"/>
        </w:rPr>
        <w:t>smlouvou vyžadované náležitosti s tím, že Zhotovitel je povinen vystavit fakturu novou s novým termínem splatnosti a Objednatel není v takovém případě v prodlení s úhradou.</w:t>
      </w:r>
    </w:p>
    <w:p w14:paraId="40CC05D4" w14:textId="77777777" w:rsidR="000836A0" w:rsidRPr="0010048D" w:rsidRDefault="000836A0" w:rsidP="00487586">
      <w:pPr>
        <w:pStyle w:val="Zkladntextodsazen"/>
        <w:numPr>
          <w:ilvl w:val="1"/>
          <w:numId w:val="6"/>
        </w:numPr>
        <w:spacing w:before="120" w:after="120" w:line="288" w:lineRule="auto"/>
        <w:rPr>
          <w:rFonts w:ascii="Calibri" w:hAnsi="Calibri" w:cs="Arial"/>
          <w:sz w:val="20"/>
        </w:rPr>
      </w:pPr>
      <w:r>
        <w:rPr>
          <w:rFonts w:ascii="Calibri" w:hAnsi="Calibri" w:cs="Arial"/>
          <w:sz w:val="20"/>
        </w:rPr>
        <w:t xml:space="preserve">Platba bude provedena po akceptaci dílčích částí Objednatelem. </w:t>
      </w:r>
      <w:r w:rsidRPr="0081143B">
        <w:rPr>
          <w:rFonts w:ascii="Calibri" w:hAnsi="Calibri" w:cs="Arial"/>
          <w:sz w:val="20"/>
        </w:rPr>
        <w:t>Úhrada daňových dokladů bude splněna dnem odepsání částky z účtu Objednatele. Faktura musí obsahovat všechny náležitosti řádného účetního dokladu ve smyslu příslušných právních předpisů (zejména zákona o účetnictví č. 563/1991 Sb., a o dani z přidané hodnoty č. 235/2004 Sb., v platných zněních).</w:t>
      </w:r>
    </w:p>
    <w:p w14:paraId="6E087FBD" w14:textId="77777777" w:rsidR="000836A0" w:rsidRPr="00BC1362" w:rsidRDefault="000836A0" w:rsidP="00487586">
      <w:pPr>
        <w:pStyle w:val="Zkladntextodsazen"/>
        <w:numPr>
          <w:ilvl w:val="0"/>
          <w:numId w:val="6"/>
        </w:numPr>
        <w:spacing w:before="240" w:after="120" w:line="288" w:lineRule="auto"/>
        <w:ind w:left="357" w:hanging="357"/>
        <w:rPr>
          <w:rFonts w:ascii="Calibri" w:hAnsi="Calibri" w:cs="Arial"/>
          <w:b/>
          <w:sz w:val="20"/>
        </w:rPr>
      </w:pPr>
      <w:r w:rsidRPr="00BC1362">
        <w:rPr>
          <w:rFonts w:ascii="Calibri" w:hAnsi="Calibri" w:cs="Arial"/>
          <w:b/>
          <w:sz w:val="20"/>
        </w:rPr>
        <w:t>ZPŮSOB PŘEDÁNÍ A PŘEVZETÍ PŘEDMĚTU SMLOUVY</w:t>
      </w:r>
    </w:p>
    <w:p w14:paraId="57195AD0" w14:textId="77777777"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 xml:space="preserve">Předání a převzetí částí díla proběhne na základě akceptace plnění, která zahrnuje porovnání skutečných vlastností díla se specifikací díla uvedenou </w:t>
      </w:r>
      <w:r>
        <w:rPr>
          <w:rFonts w:ascii="Calibri" w:hAnsi="Calibri" w:cs="Arial"/>
          <w:sz w:val="20"/>
        </w:rPr>
        <w:t>čl. 1.</w:t>
      </w:r>
      <w:r w:rsidRPr="00BC1362">
        <w:rPr>
          <w:rFonts w:ascii="Calibri" w:hAnsi="Calibri" w:cs="Arial"/>
          <w:sz w:val="20"/>
        </w:rPr>
        <w:t>1</w:t>
      </w:r>
      <w:r>
        <w:rPr>
          <w:rFonts w:ascii="Calibri" w:hAnsi="Calibri" w:cs="Arial"/>
          <w:sz w:val="20"/>
        </w:rPr>
        <w:t xml:space="preserve"> této Smlouvy</w:t>
      </w:r>
      <w:r w:rsidRPr="00BC1362">
        <w:rPr>
          <w:rFonts w:ascii="Calibri" w:hAnsi="Calibri" w:cs="Arial"/>
          <w:sz w:val="20"/>
        </w:rPr>
        <w:t xml:space="preserve">. Akceptace plnění je potvrzena podpisem akceptačního protokolu Objednatelem. </w:t>
      </w:r>
    </w:p>
    <w:p w14:paraId="02BDBFCC" w14:textId="77777777"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Pr>
          <w:rFonts w:ascii="Calibri" w:hAnsi="Calibri" w:cs="Arial"/>
          <w:sz w:val="20"/>
        </w:rPr>
        <w:lastRenderedPageBreak/>
        <w:t>Pokud předmět dodávky nebude odpovídat výsledku, určeném ve smlouvě, má Objednatel právo tuto dodávku nepřevzít a Zhotovitel je povinen bez zbytečného odkladu (nejpozději však do 15 pracovních dnů) dodat nové plnění.</w:t>
      </w:r>
    </w:p>
    <w:p w14:paraId="24D7EB81" w14:textId="77777777" w:rsidR="000836A0" w:rsidRPr="00BC1362" w:rsidRDefault="000836A0" w:rsidP="00487586">
      <w:pPr>
        <w:pStyle w:val="Zkladntextodsazen"/>
        <w:numPr>
          <w:ilvl w:val="0"/>
          <w:numId w:val="6"/>
        </w:numPr>
        <w:spacing w:before="240" w:after="120" w:line="288" w:lineRule="auto"/>
        <w:ind w:left="357" w:hanging="357"/>
        <w:rPr>
          <w:rFonts w:ascii="Calibri" w:hAnsi="Calibri" w:cs="Arial"/>
          <w:b/>
          <w:sz w:val="20"/>
        </w:rPr>
      </w:pPr>
      <w:r w:rsidRPr="00BC1362">
        <w:rPr>
          <w:rFonts w:ascii="Calibri" w:hAnsi="Calibri" w:cs="Arial"/>
          <w:b/>
          <w:sz w:val="20"/>
        </w:rPr>
        <w:t>ODPOVĚDNOST ZA ŠKODU</w:t>
      </w:r>
    </w:p>
    <w:p w14:paraId="0A727654" w14:textId="77777777" w:rsidR="000836A0" w:rsidRPr="00BC1362"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Smluvní strany nesou odpovědnost za způsobenou škodu v rámci platných právních předpisů a této smlouvy. Smluvní strany se zavazují k vyvinutí maximálního úsilí k předcházení škodám a k minimalizaci vzniklých škod.</w:t>
      </w:r>
    </w:p>
    <w:p w14:paraId="64322C69" w14:textId="77777777" w:rsidR="000836A0" w:rsidRPr="00BC1362"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73DEA550" w14:textId="77777777" w:rsidR="000836A0" w:rsidRPr="00BC1362" w:rsidRDefault="000836A0" w:rsidP="00487586">
      <w:pPr>
        <w:pStyle w:val="Zkladntextodsazen"/>
        <w:numPr>
          <w:ilvl w:val="1"/>
          <w:numId w:val="6"/>
        </w:numPr>
        <w:spacing w:before="120" w:after="120" w:line="288" w:lineRule="auto"/>
        <w:ind w:left="425" w:hanging="431"/>
        <w:rPr>
          <w:rFonts w:ascii="Calibri" w:hAnsi="Calibri" w:cs="Arial"/>
          <w:sz w:val="20"/>
        </w:rPr>
      </w:pPr>
      <w:r>
        <w:rPr>
          <w:rFonts w:ascii="Calibri" w:hAnsi="Calibri" w:cs="Arial"/>
          <w:sz w:val="20"/>
        </w:rPr>
        <w:t>O</w:t>
      </w:r>
      <w:r w:rsidRPr="00BC1362">
        <w:rPr>
          <w:rFonts w:ascii="Calibri" w:hAnsi="Calibri" w:cs="Arial"/>
          <w:sz w:val="20"/>
        </w:rPr>
        <w:t xml:space="preserve">bě smluvní strany </w:t>
      </w:r>
      <w:r>
        <w:rPr>
          <w:rFonts w:ascii="Calibri" w:hAnsi="Calibri" w:cs="Arial"/>
          <w:sz w:val="20"/>
        </w:rPr>
        <w:t xml:space="preserve">konstatují </w:t>
      </w:r>
      <w:r w:rsidRPr="00BC1362">
        <w:rPr>
          <w:rFonts w:ascii="Calibri" w:hAnsi="Calibri" w:cs="Arial"/>
          <w:sz w:val="20"/>
        </w:rPr>
        <w:t>s ohledem na všechny okolnosti související s uzavřením této smlouvy, že úhrnná předvídatelná škoda, která by mohla vzniknout jako možný důsledek porušení povinností jedné smluvní strany, může činit maximálně částku, která byla na základě smlouvy zaplacena zhotoviteli do okamžiku vzniku škody jako cena plnění této smlouvy.</w:t>
      </w:r>
    </w:p>
    <w:p w14:paraId="3F78E0DA" w14:textId="77777777" w:rsidR="000836A0" w:rsidRPr="00BC1362" w:rsidRDefault="000836A0" w:rsidP="00487586">
      <w:pPr>
        <w:pStyle w:val="Zkladntextodsazen"/>
        <w:numPr>
          <w:ilvl w:val="0"/>
          <w:numId w:val="6"/>
        </w:numPr>
        <w:spacing w:before="240" w:after="120" w:line="288" w:lineRule="auto"/>
        <w:ind w:left="357" w:hanging="357"/>
        <w:rPr>
          <w:rFonts w:ascii="Calibri" w:hAnsi="Calibri" w:cs="Arial"/>
          <w:b/>
          <w:sz w:val="20"/>
        </w:rPr>
      </w:pPr>
      <w:r w:rsidRPr="00BC1362">
        <w:rPr>
          <w:rFonts w:ascii="Calibri" w:hAnsi="Calibri" w:cs="Arial"/>
          <w:b/>
          <w:sz w:val="20"/>
        </w:rPr>
        <w:t>DALŠÍ PRÁVA, POVINNOSTI A SOUČINNOST</w:t>
      </w:r>
    </w:p>
    <w:p w14:paraId="1B56EF87" w14:textId="77777777" w:rsidR="000836A0" w:rsidRPr="00BC1362"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Smluvní strany deklarují svůj úmysl spolupracovat na provádění díla i nad rámec vynutitelný dle této smlouvy, a to z důvodu, že jsou si vědomy, že kvalita díla závisí podstatnou měrou i na součinnosti Objednatele, poskytnutí dostatku vstupních informací a zpětné vazby Zhotoviteli.</w:t>
      </w:r>
    </w:p>
    <w:p w14:paraId="712FC9D5" w14:textId="146799D8"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Objednatel se zavazuje poskytnout, případně zajistit, plnění veškerých svých povinností vyplývajících z</w:t>
      </w:r>
      <w:r>
        <w:rPr>
          <w:rFonts w:ascii="Calibri" w:hAnsi="Calibri" w:cs="Arial"/>
          <w:sz w:val="20"/>
        </w:rPr>
        <w:t> </w:t>
      </w:r>
      <w:r w:rsidRPr="00BC1362">
        <w:rPr>
          <w:rFonts w:ascii="Calibri" w:hAnsi="Calibri" w:cs="Arial"/>
          <w:sz w:val="20"/>
        </w:rPr>
        <w:t>této smlouvy, zejména poskytnout obvyklou součinnost tak, aby mohl Zhotovitel řádně plnit své povinnosti stanovené v této smlouvě.</w:t>
      </w:r>
      <w:r>
        <w:rPr>
          <w:rFonts w:ascii="Calibri" w:hAnsi="Calibri" w:cs="Arial"/>
          <w:sz w:val="20"/>
        </w:rPr>
        <w:t xml:space="preserve"> Jedná se o:</w:t>
      </w:r>
    </w:p>
    <w:p w14:paraId="64C73792"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 xml:space="preserve">seznámení Zhotovitele s projektovým záměrem, definice cílů projektu, popis výchozí situace – aktuální stav v oblasti řešeného tématu – </w:t>
      </w:r>
      <w:r w:rsidRPr="00EE119D">
        <w:rPr>
          <w:rFonts w:ascii="Calibri" w:hAnsi="Calibri" w:cs="Arial"/>
          <w:i/>
          <w:sz w:val="20"/>
        </w:rPr>
        <w:t>písemná forma do 5 dnů od podpisu smlouvy</w:t>
      </w:r>
    </w:p>
    <w:p w14:paraId="49ABCD68"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 xml:space="preserve">popis projektů, které mají na předkládaný záměr vazbu a jasný popis této vazby, případně konstatování, že záměr nemá vazbu – </w:t>
      </w:r>
      <w:r w:rsidRPr="00EE119D">
        <w:rPr>
          <w:rFonts w:ascii="Calibri" w:hAnsi="Calibri" w:cs="Arial"/>
          <w:i/>
          <w:sz w:val="20"/>
        </w:rPr>
        <w:t>písemná forma do 5 dnů od podpisu smlouvy</w:t>
      </w:r>
    </w:p>
    <w:p w14:paraId="5EF3E1CD"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 xml:space="preserve">současný stav aplikační části objednatele (výčet využívaných aplikací) – </w:t>
      </w:r>
      <w:r w:rsidRPr="00EE119D">
        <w:rPr>
          <w:rFonts w:ascii="Calibri" w:hAnsi="Calibri" w:cs="Arial"/>
          <w:i/>
          <w:sz w:val="20"/>
        </w:rPr>
        <w:t>písemná forma do 5 dnů od</w:t>
      </w:r>
      <w:r>
        <w:rPr>
          <w:rFonts w:ascii="Calibri" w:hAnsi="Calibri" w:cs="Arial"/>
          <w:i/>
          <w:sz w:val="20"/>
        </w:rPr>
        <w:t> </w:t>
      </w:r>
      <w:r w:rsidRPr="00EE119D">
        <w:rPr>
          <w:rFonts w:ascii="Calibri" w:hAnsi="Calibri" w:cs="Arial"/>
          <w:i/>
          <w:sz w:val="20"/>
        </w:rPr>
        <w:t>podpisu smlouvy</w:t>
      </w:r>
    </w:p>
    <w:p w14:paraId="4D2A5934"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 xml:space="preserve">současný stav infrastrukturní a technologické část – schéma současné IT architektury objednatele – </w:t>
      </w:r>
      <w:r w:rsidRPr="00EE119D">
        <w:rPr>
          <w:rFonts w:ascii="Calibri" w:hAnsi="Calibri" w:cs="Arial"/>
          <w:i/>
          <w:sz w:val="20"/>
        </w:rPr>
        <w:t>písemná forma</w:t>
      </w:r>
      <w:r w:rsidRPr="00EE119D">
        <w:rPr>
          <w:rFonts w:ascii="Calibri" w:hAnsi="Calibri" w:cs="Arial"/>
          <w:sz w:val="20"/>
        </w:rPr>
        <w:t xml:space="preserve"> </w:t>
      </w:r>
      <w:r w:rsidRPr="00EE119D">
        <w:rPr>
          <w:rFonts w:ascii="Calibri" w:hAnsi="Calibri" w:cs="Arial"/>
          <w:i/>
          <w:sz w:val="20"/>
        </w:rPr>
        <w:t>do 5 dnů od podpisu smlouvy</w:t>
      </w:r>
    </w:p>
    <w:p w14:paraId="6CACF0A9"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 xml:space="preserve">výčet a popis přípravných aktivit (jaké aktivity proběhly, datum, kdo schválení, číslo usnesení atd. – </w:t>
      </w:r>
      <w:r w:rsidRPr="00EE119D">
        <w:rPr>
          <w:rFonts w:ascii="Calibri" w:hAnsi="Calibri" w:cs="Arial"/>
          <w:i/>
          <w:sz w:val="20"/>
        </w:rPr>
        <w:t xml:space="preserve">písemná forma do </w:t>
      </w:r>
      <w:r>
        <w:rPr>
          <w:rFonts w:ascii="Calibri" w:hAnsi="Calibri" w:cs="Arial"/>
          <w:i/>
          <w:sz w:val="20"/>
        </w:rPr>
        <w:t>10</w:t>
      </w:r>
      <w:r w:rsidRPr="00EE119D">
        <w:rPr>
          <w:rFonts w:ascii="Calibri" w:hAnsi="Calibri" w:cs="Arial"/>
          <w:i/>
          <w:sz w:val="20"/>
        </w:rPr>
        <w:t xml:space="preserve"> dnů od podpisu smlouvy</w:t>
      </w:r>
    </w:p>
    <w:p w14:paraId="41997C41"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zdůvodnění potřebnost projektu – popis, proč je nutné projekt realizovat –</w:t>
      </w:r>
      <w:r w:rsidRPr="00EE119D">
        <w:rPr>
          <w:rFonts w:ascii="Calibri" w:hAnsi="Calibri" w:cs="Arial"/>
          <w:i/>
          <w:sz w:val="20"/>
        </w:rPr>
        <w:t xml:space="preserve"> na úrovni ústní informace na jednání </w:t>
      </w:r>
    </w:p>
    <w:p w14:paraId="3840A301"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 xml:space="preserve">nominování osob do projektového týmu (pro role Projektový manažer, Administrátor projektu, Věcný gestor projektu, Technický gestor projektu, Manažer kvality, Právník projektu, Ekonom projektu, Dotační administrátor, Manažer publicity projektu) – </w:t>
      </w:r>
      <w:r w:rsidRPr="00EE119D">
        <w:rPr>
          <w:rFonts w:ascii="Calibri" w:hAnsi="Calibri" w:cs="Arial"/>
          <w:i/>
          <w:sz w:val="20"/>
        </w:rPr>
        <w:t xml:space="preserve">písemná forma do </w:t>
      </w:r>
      <w:r>
        <w:rPr>
          <w:rFonts w:ascii="Calibri" w:hAnsi="Calibri" w:cs="Arial"/>
          <w:i/>
          <w:sz w:val="20"/>
        </w:rPr>
        <w:t xml:space="preserve">15 dnů </w:t>
      </w:r>
      <w:r w:rsidRPr="00EE119D">
        <w:rPr>
          <w:rFonts w:ascii="Calibri" w:hAnsi="Calibri" w:cs="Arial"/>
          <w:i/>
          <w:sz w:val="20"/>
        </w:rPr>
        <w:t>od podpisu smlouvy</w:t>
      </w:r>
    </w:p>
    <w:p w14:paraId="22BA2B97"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lastRenderedPageBreak/>
        <w:t xml:space="preserve">dodání soupisu zkušeností, účasti na projektech a vzdělání u osob nominovaných do projektového týmu – </w:t>
      </w:r>
      <w:r w:rsidRPr="00EE119D">
        <w:rPr>
          <w:rFonts w:ascii="Calibri" w:hAnsi="Calibri" w:cs="Arial"/>
          <w:i/>
          <w:sz w:val="20"/>
        </w:rPr>
        <w:t xml:space="preserve">písemná forma do </w:t>
      </w:r>
      <w:r>
        <w:rPr>
          <w:rFonts w:ascii="Calibri" w:hAnsi="Calibri" w:cs="Arial"/>
          <w:i/>
          <w:sz w:val="20"/>
        </w:rPr>
        <w:t xml:space="preserve">15 dnů </w:t>
      </w:r>
      <w:r w:rsidRPr="00EE119D">
        <w:rPr>
          <w:rFonts w:ascii="Calibri" w:hAnsi="Calibri" w:cs="Arial"/>
          <w:i/>
          <w:sz w:val="20"/>
        </w:rPr>
        <w:t>od podpisu smlouvy</w:t>
      </w:r>
    </w:p>
    <w:p w14:paraId="5B270B9B"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využití nakupovaných služeb – co hodlá žadatel využít (zpracování zadávacích podmínek k zakázkám, organizace výběrových a zadávacích řízení, odborné konzultace a dozor při implementaci) –</w:t>
      </w:r>
      <w:r w:rsidRPr="00EE119D">
        <w:rPr>
          <w:rFonts w:ascii="Calibri" w:hAnsi="Calibri" w:cs="Arial"/>
          <w:i/>
          <w:sz w:val="20"/>
        </w:rPr>
        <w:t xml:space="preserve"> na úrovni ústní informace na jednání </w:t>
      </w:r>
    </w:p>
    <w:p w14:paraId="03F52BA7"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 xml:space="preserve">provedení průzkum trhu – </w:t>
      </w:r>
      <w:r w:rsidRPr="00EE119D">
        <w:rPr>
          <w:rFonts w:ascii="Calibri" w:hAnsi="Calibri" w:cs="Arial"/>
          <w:i/>
          <w:sz w:val="20"/>
        </w:rPr>
        <w:t>mailové odeslání podkladů na potenciální dodavatele dle zadání a instrukcí zhotovitele studie proveditelnosti</w:t>
      </w:r>
    </w:p>
    <w:p w14:paraId="6F98602F" w14:textId="77777777" w:rsidR="000836A0" w:rsidRPr="00EE119D" w:rsidRDefault="000836A0" w:rsidP="00487586">
      <w:pPr>
        <w:pStyle w:val="Zkladntextodsazen"/>
        <w:numPr>
          <w:ilvl w:val="0"/>
          <w:numId w:val="4"/>
        </w:numPr>
        <w:spacing w:before="120" w:after="120" w:line="288" w:lineRule="auto"/>
        <w:rPr>
          <w:rFonts w:ascii="Calibri" w:hAnsi="Calibri" w:cs="Arial"/>
          <w:sz w:val="20"/>
        </w:rPr>
      </w:pPr>
      <w:r w:rsidRPr="00EE119D">
        <w:rPr>
          <w:rFonts w:ascii="Calibri" w:hAnsi="Calibri" w:cs="Arial"/>
          <w:sz w:val="20"/>
        </w:rPr>
        <w:t>odeslání žádosti o souhlasné stanovisko na Odbor hlavního architekta zpracované zhotovitelem prostřednictvím datové schránky</w:t>
      </w:r>
    </w:p>
    <w:p w14:paraId="43AEE5F5" w14:textId="77777777" w:rsidR="000836A0" w:rsidRDefault="000836A0" w:rsidP="00487586">
      <w:pPr>
        <w:pStyle w:val="Zkladntextodsazen"/>
        <w:numPr>
          <w:ilvl w:val="0"/>
          <w:numId w:val="4"/>
        </w:numPr>
        <w:spacing w:before="120" w:after="120" w:line="288" w:lineRule="auto"/>
      </w:pPr>
      <w:r>
        <w:rPr>
          <w:rFonts w:ascii="Calibri" w:hAnsi="Calibri" w:cs="Arial"/>
          <w:sz w:val="20"/>
        </w:rPr>
        <w:t xml:space="preserve">založení účtu v systému MS2014+ a předání ID účtu na zpracovatele studie </w:t>
      </w:r>
      <w:r w:rsidRPr="00EE119D">
        <w:rPr>
          <w:rFonts w:ascii="Calibri" w:hAnsi="Calibri" w:cs="Arial"/>
          <w:sz w:val="20"/>
        </w:rPr>
        <w:t>–</w:t>
      </w:r>
      <w:r>
        <w:rPr>
          <w:rFonts w:ascii="Calibri" w:hAnsi="Calibri" w:cs="Arial"/>
          <w:sz w:val="20"/>
        </w:rPr>
        <w:t xml:space="preserve"> </w:t>
      </w:r>
      <w:r w:rsidRPr="00EE119D">
        <w:rPr>
          <w:rFonts w:ascii="Calibri" w:hAnsi="Calibri" w:cs="Arial"/>
          <w:i/>
          <w:sz w:val="20"/>
        </w:rPr>
        <w:t xml:space="preserve">do </w:t>
      </w:r>
      <w:r>
        <w:rPr>
          <w:rFonts w:ascii="Calibri" w:hAnsi="Calibri" w:cs="Arial"/>
          <w:i/>
          <w:sz w:val="20"/>
        </w:rPr>
        <w:t xml:space="preserve">21 dnů </w:t>
      </w:r>
      <w:r w:rsidRPr="00EE119D">
        <w:rPr>
          <w:rFonts w:ascii="Calibri" w:hAnsi="Calibri" w:cs="Arial"/>
          <w:i/>
          <w:sz w:val="20"/>
        </w:rPr>
        <w:t>od podpisu smlouvy</w:t>
      </w:r>
    </w:p>
    <w:p w14:paraId="30838E50" w14:textId="62F7ABA1" w:rsidR="000836A0" w:rsidRPr="000836A0" w:rsidRDefault="000836A0" w:rsidP="00487586">
      <w:pPr>
        <w:pStyle w:val="Zkladntextodsazen"/>
        <w:numPr>
          <w:ilvl w:val="0"/>
          <w:numId w:val="4"/>
        </w:numPr>
        <w:spacing w:before="120" w:after="120" w:line="288" w:lineRule="auto"/>
      </w:pPr>
      <w:r w:rsidRPr="00EE119D">
        <w:rPr>
          <w:rFonts w:ascii="Calibri" w:hAnsi="Calibri" w:cs="Arial"/>
          <w:sz w:val="20"/>
        </w:rPr>
        <w:t>podepsání plné moci (dokládá se v případě přenesení pravomocí na jinou osobu)</w:t>
      </w:r>
      <w:r w:rsidRPr="00DA622B">
        <w:rPr>
          <w:rFonts w:ascii="Calibri" w:hAnsi="Calibri" w:cs="Arial"/>
          <w:i/>
          <w:sz w:val="20"/>
        </w:rPr>
        <w:t xml:space="preserve"> </w:t>
      </w:r>
      <w:r w:rsidRPr="00EE119D">
        <w:rPr>
          <w:rFonts w:ascii="Calibri" w:hAnsi="Calibri" w:cs="Arial"/>
          <w:sz w:val="20"/>
        </w:rPr>
        <w:t>–</w:t>
      </w:r>
      <w:r>
        <w:rPr>
          <w:rFonts w:ascii="Calibri" w:hAnsi="Calibri" w:cs="Arial"/>
          <w:sz w:val="20"/>
        </w:rPr>
        <w:t xml:space="preserve"> </w:t>
      </w:r>
      <w:r w:rsidRPr="00EE119D">
        <w:rPr>
          <w:rFonts w:ascii="Calibri" w:hAnsi="Calibri" w:cs="Arial"/>
          <w:i/>
          <w:sz w:val="20"/>
        </w:rPr>
        <w:t xml:space="preserve">do </w:t>
      </w:r>
      <w:r>
        <w:rPr>
          <w:rFonts w:ascii="Calibri" w:hAnsi="Calibri" w:cs="Arial"/>
          <w:i/>
          <w:sz w:val="20"/>
        </w:rPr>
        <w:t xml:space="preserve">21 dnů </w:t>
      </w:r>
      <w:r w:rsidRPr="00EE119D">
        <w:rPr>
          <w:rFonts w:ascii="Calibri" w:hAnsi="Calibri" w:cs="Arial"/>
          <w:i/>
          <w:sz w:val="20"/>
        </w:rPr>
        <w:t>od podpisu smlouvy</w:t>
      </w:r>
    </w:p>
    <w:p w14:paraId="79C7D6A6" w14:textId="77777777" w:rsidR="000836A0" w:rsidRDefault="000836A0" w:rsidP="00487586">
      <w:pPr>
        <w:pStyle w:val="Zkladntextodsazen"/>
        <w:numPr>
          <w:ilvl w:val="1"/>
          <w:numId w:val="6"/>
        </w:numPr>
        <w:spacing w:before="120" w:after="120" w:line="288" w:lineRule="auto"/>
        <w:rPr>
          <w:rFonts w:ascii="Calibri" w:hAnsi="Calibri" w:cs="Arial"/>
          <w:sz w:val="20"/>
        </w:rPr>
      </w:pPr>
      <w:r w:rsidRPr="00BC1362">
        <w:rPr>
          <w:rFonts w:ascii="Calibri" w:hAnsi="Calibri" w:cs="Arial"/>
          <w:sz w:val="20"/>
        </w:rPr>
        <w:t>Smluvní strany se zavazují</w:t>
      </w:r>
      <w:r>
        <w:rPr>
          <w:rFonts w:ascii="Calibri" w:hAnsi="Calibri" w:cs="Arial"/>
          <w:sz w:val="20"/>
        </w:rPr>
        <w:t>, že</w:t>
      </w:r>
      <w:r w:rsidRPr="00BC1362">
        <w:rPr>
          <w:rFonts w:ascii="Calibri" w:hAnsi="Calibri" w:cs="Arial"/>
          <w:sz w:val="20"/>
        </w:rPr>
        <w:t xml:space="preserve"> </w:t>
      </w:r>
      <w:r w:rsidRPr="001D588F">
        <w:rPr>
          <w:rFonts w:ascii="Calibri" w:hAnsi="Calibri" w:cs="Arial"/>
          <w:sz w:val="20"/>
        </w:rPr>
        <w:t xml:space="preserve">veškerou dokumentaci a účetní doklady, související s realizací projektu, </w:t>
      </w:r>
      <w:r>
        <w:rPr>
          <w:rFonts w:ascii="Calibri" w:hAnsi="Calibri" w:cs="Arial"/>
          <w:sz w:val="20"/>
        </w:rPr>
        <w:t>budou archivovat</w:t>
      </w:r>
      <w:r w:rsidRPr="001D588F">
        <w:rPr>
          <w:rFonts w:ascii="Calibri" w:hAnsi="Calibri" w:cs="Arial"/>
          <w:sz w:val="20"/>
        </w:rPr>
        <w:t xml:space="preserve"> minimálně do konce roku 2028 a </w:t>
      </w:r>
      <w:r>
        <w:rPr>
          <w:rFonts w:ascii="Calibri" w:hAnsi="Calibri" w:cs="Arial"/>
          <w:sz w:val="20"/>
        </w:rPr>
        <w:t>že</w:t>
      </w:r>
      <w:r w:rsidRPr="001D588F">
        <w:rPr>
          <w:rFonts w:ascii="Calibri" w:hAnsi="Calibri" w:cs="Arial"/>
          <w:sz w:val="20"/>
        </w:rPr>
        <w:t xml:space="preserve"> k této dokumentaci umožn</w:t>
      </w:r>
      <w:r>
        <w:rPr>
          <w:rFonts w:ascii="Calibri" w:hAnsi="Calibri" w:cs="Arial"/>
          <w:sz w:val="20"/>
        </w:rPr>
        <w:t>í</w:t>
      </w:r>
      <w:r w:rsidRPr="001D588F">
        <w:rPr>
          <w:rFonts w:ascii="Calibri" w:hAnsi="Calibri" w:cs="Arial"/>
          <w:sz w:val="20"/>
        </w:rPr>
        <w:t xml:space="preserve"> minimálně do konce roku 2028 přístup.</w:t>
      </w:r>
    </w:p>
    <w:p w14:paraId="0282893B" w14:textId="77777777" w:rsidR="000836A0" w:rsidRPr="001D588F" w:rsidRDefault="000836A0" w:rsidP="00487586">
      <w:pPr>
        <w:pStyle w:val="Zkladntextodsazen"/>
        <w:numPr>
          <w:ilvl w:val="1"/>
          <w:numId w:val="6"/>
        </w:numPr>
        <w:spacing w:before="120" w:after="120" w:line="288" w:lineRule="auto"/>
        <w:rPr>
          <w:rFonts w:ascii="Calibri" w:hAnsi="Calibri" w:cs="Arial"/>
          <w:sz w:val="20"/>
        </w:rPr>
      </w:pPr>
      <w:r>
        <w:rPr>
          <w:rFonts w:ascii="Calibri" w:hAnsi="Calibri" w:cs="Arial"/>
          <w:sz w:val="20"/>
        </w:rPr>
        <w:t>Zhotovitel</w:t>
      </w:r>
      <w:r w:rsidRPr="001D588F">
        <w:rPr>
          <w:rFonts w:ascii="Calibri" w:hAnsi="Calibri" w:cs="Arial"/>
          <w:sz w:val="20"/>
        </w:rPr>
        <w:t xml:space="preserve"> je povinen minimálně do konce roku 2028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w:t>
      </w:r>
      <w:r>
        <w:rPr>
          <w:rFonts w:ascii="Calibri" w:hAnsi="Calibri" w:cs="Arial"/>
          <w:sz w:val="20"/>
        </w:rPr>
        <w:t xml:space="preserve">prostřednictvím Objednatele </w:t>
      </w:r>
      <w:r w:rsidRPr="001D588F">
        <w:rPr>
          <w:rFonts w:ascii="Calibri" w:hAnsi="Calibri" w:cs="Arial"/>
          <w:sz w:val="20"/>
        </w:rPr>
        <w:t>poskytovatele</w:t>
      </w:r>
      <w:r w:rsidRPr="001D588F">
        <w:t xml:space="preserve"> </w:t>
      </w:r>
      <w:r w:rsidRPr="001D588F">
        <w:rPr>
          <w:rFonts w:ascii="Calibri" w:hAnsi="Calibri" w:cs="Arial"/>
          <w:sz w:val="20"/>
        </w:rPr>
        <w:t>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 A zároveň vytvořit podmínky k provedení kontroly a poskytnout při provádění kontroly součinnost.</w:t>
      </w:r>
    </w:p>
    <w:p w14:paraId="64D757B3" w14:textId="77777777" w:rsidR="000836A0" w:rsidRPr="00BC1362" w:rsidRDefault="000836A0" w:rsidP="00487586">
      <w:pPr>
        <w:pStyle w:val="Zkladntextodsazen"/>
        <w:numPr>
          <w:ilvl w:val="0"/>
          <w:numId w:val="6"/>
        </w:numPr>
        <w:spacing w:before="240" w:after="120" w:line="288" w:lineRule="auto"/>
        <w:ind w:left="357" w:hanging="357"/>
        <w:rPr>
          <w:rFonts w:ascii="Calibri" w:hAnsi="Calibri" w:cs="Arial"/>
          <w:b/>
          <w:sz w:val="20"/>
        </w:rPr>
      </w:pPr>
      <w:r w:rsidRPr="00BC1362">
        <w:rPr>
          <w:rFonts w:ascii="Calibri" w:hAnsi="Calibri" w:cs="Arial"/>
          <w:b/>
          <w:sz w:val="20"/>
        </w:rPr>
        <w:t>VZÁJEMNÁ KOMUNIKACE A OPRÁVNĚNÉ OSOBY</w:t>
      </w:r>
    </w:p>
    <w:p w14:paraId="344C61DF" w14:textId="77777777" w:rsidR="000836A0" w:rsidRPr="00BC1362"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Všechna oznámení mezi smluvními stranami budou učiněna v písemné podobě a druhé straně doručena buď osobně, nebo doporučeným dopisem, není-li mezi smluvními stranami dohodnuto jinak.</w:t>
      </w:r>
    </w:p>
    <w:p w14:paraId="71536B72" w14:textId="77777777" w:rsidR="000836A0" w:rsidRPr="00133071" w:rsidRDefault="000836A0" w:rsidP="00487586">
      <w:pPr>
        <w:pStyle w:val="Zkladntextodsazen"/>
        <w:numPr>
          <w:ilvl w:val="1"/>
          <w:numId w:val="6"/>
        </w:numPr>
        <w:spacing w:before="120" w:after="120" w:line="288" w:lineRule="auto"/>
        <w:rPr>
          <w:rFonts w:ascii="Calibri" w:hAnsi="Calibri" w:cs="Arial"/>
          <w:sz w:val="20"/>
          <w:u w:val="single"/>
        </w:rPr>
      </w:pPr>
      <w:r w:rsidRPr="00E070EF">
        <w:rPr>
          <w:rFonts w:ascii="Calibri" w:hAnsi="Calibri" w:cs="Arial"/>
          <w:sz w:val="20"/>
        </w:rPr>
        <w:t>Každá ze smluvních stran jmenuje oprávněnou osobu, která bude zastupovat smluvní stranu v projektových, odborných a obchodních záležitostech souvisejících s plněním této smlouvy.</w:t>
      </w:r>
    </w:p>
    <w:p w14:paraId="284DE08A" w14:textId="77777777" w:rsidR="000836A0" w:rsidRDefault="000836A0" w:rsidP="000836A0">
      <w:pPr>
        <w:pStyle w:val="Zkladntextodsazen"/>
        <w:keepNext/>
        <w:spacing w:before="120" w:after="120" w:line="288" w:lineRule="auto"/>
        <w:ind w:left="431"/>
        <w:rPr>
          <w:rFonts w:ascii="Calibri" w:hAnsi="Calibri" w:cs="Arial"/>
          <w:sz w:val="20"/>
        </w:rPr>
      </w:pPr>
      <w:r w:rsidRPr="003B43AB">
        <w:rPr>
          <w:rFonts w:ascii="Calibri" w:hAnsi="Calibri" w:cs="Arial"/>
          <w:sz w:val="20"/>
        </w:rPr>
        <w:t>Oprávněná osoba za Objednatele:</w:t>
      </w:r>
    </w:p>
    <w:p w14:paraId="4EABC5CE" w14:textId="4057CCE2" w:rsidR="000836A0" w:rsidRPr="003502C7" w:rsidRDefault="00503254" w:rsidP="00487586">
      <w:pPr>
        <w:pStyle w:val="Zkladntextodsazen"/>
        <w:keepNext/>
        <w:numPr>
          <w:ilvl w:val="0"/>
          <w:numId w:val="9"/>
        </w:numPr>
        <w:spacing w:before="120" w:after="120" w:line="288" w:lineRule="auto"/>
        <w:rPr>
          <w:rFonts w:ascii="Calibri" w:hAnsi="Calibri" w:cs="Arial"/>
          <w:sz w:val="20"/>
          <w:highlight w:val="yellow"/>
          <w:u w:val="single"/>
        </w:rPr>
      </w:pPr>
      <w:r w:rsidRPr="00503254">
        <w:rPr>
          <w:rFonts w:ascii="Calibri" w:hAnsi="Calibri" w:cs="Arial"/>
          <w:sz w:val="20"/>
        </w:rPr>
        <w:t>Ing. Václav Minářů, tel</w:t>
      </w:r>
      <w:r w:rsidRPr="00503254">
        <w:rPr>
          <w:rFonts w:asciiTheme="minorHAnsi" w:hAnsiTheme="minorHAnsi" w:cs="Arial"/>
          <w:sz w:val="20"/>
        </w:rPr>
        <w:t xml:space="preserve">: </w:t>
      </w:r>
    </w:p>
    <w:p w14:paraId="2ED0481A" w14:textId="77777777" w:rsidR="000836A0" w:rsidRDefault="000836A0" w:rsidP="000836A0">
      <w:pPr>
        <w:pStyle w:val="Zkladntextodsazen"/>
        <w:spacing w:before="120" w:after="120" w:line="276" w:lineRule="auto"/>
        <w:ind w:left="432"/>
        <w:jc w:val="left"/>
        <w:rPr>
          <w:rFonts w:ascii="Calibri" w:hAnsi="Calibri" w:cs="Arial"/>
          <w:sz w:val="20"/>
        </w:rPr>
      </w:pPr>
      <w:r w:rsidRPr="00001AC6">
        <w:rPr>
          <w:rFonts w:ascii="Calibri" w:hAnsi="Calibri" w:cs="Arial"/>
          <w:sz w:val="20"/>
        </w:rPr>
        <w:t>Oprávněná osoba za Zhotovitele:</w:t>
      </w:r>
    </w:p>
    <w:p w14:paraId="076AE63D" w14:textId="636075EB" w:rsidR="000836A0" w:rsidRPr="00DF40AA" w:rsidRDefault="000836A0" w:rsidP="00487586">
      <w:pPr>
        <w:pStyle w:val="Zkladntextodsazen"/>
        <w:numPr>
          <w:ilvl w:val="0"/>
          <w:numId w:val="8"/>
        </w:numPr>
        <w:spacing w:before="120" w:after="120" w:line="276" w:lineRule="auto"/>
        <w:jc w:val="left"/>
        <w:rPr>
          <w:rFonts w:ascii="Calibri" w:hAnsi="Calibri" w:cs="Arial"/>
          <w:sz w:val="20"/>
          <w:u w:val="single"/>
        </w:rPr>
      </w:pPr>
      <w:r w:rsidRPr="003502C7">
        <w:rPr>
          <w:rFonts w:ascii="Calibri" w:hAnsi="Calibri" w:cs="Arial"/>
          <w:sz w:val="20"/>
        </w:rPr>
        <w:t>Ing. Tomáš Marek, kontakt:</w:t>
      </w:r>
      <w:r w:rsidR="00AF2D82" w:rsidRPr="003502C7" w:rsidDel="00AF2D82">
        <w:rPr>
          <w:rFonts w:ascii="Calibri" w:hAnsi="Calibri" w:cs="Arial"/>
          <w:sz w:val="20"/>
        </w:rPr>
        <w:t xml:space="preserve"> </w:t>
      </w:r>
      <w:bookmarkStart w:id="8" w:name="_GoBack"/>
      <w:bookmarkEnd w:id="8"/>
    </w:p>
    <w:p w14:paraId="0A223FB9" w14:textId="77777777" w:rsidR="000836A0" w:rsidRPr="00BC1362" w:rsidRDefault="000836A0" w:rsidP="00AF2D82">
      <w:pPr>
        <w:pStyle w:val="Zkladntextodsazen"/>
        <w:numPr>
          <w:ilvl w:val="0"/>
          <w:numId w:val="8"/>
        </w:numPr>
        <w:spacing w:before="120" w:after="120" w:line="276" w:lineRule="auto"/>
        <w:jc w:val="left"/>
        <w:rPr>
          <w:rFonts w:ascii="Calibri" w:hAnsi="Calibri" w:cs="Arial"/>
          <w:sz w:val="20"/>
        </w:rPr>
      </w:pPr>
      <w:r w:rsidRPr="00BC1362">
        <w:rPr>
          <w:rFonts w:ascii="Calibri" w:hAnsi="Calibri" w:cs="Arial"/>
          <w:sz w:val="20"/>
        </w:rPr>
        <w:t>Veškerá projektová komunikace mezi smluvními stranami bude probíhat prostřednictvím nebo s vědomím oprávněných osob smluvních stran.</w:t>
      </w:r>
    </w:p>
    <w:p w14:paraId="5EF36530" w14:textId="77777777" w:rsidR="000836A0" w:rsidRPr="00BC1362" w:rsidRDefault="000836A0" w:rsidP="00487586">
      <w:pPr>
        <w:pStyle w:val="Zkladntextodsazen"/>
        <w:keepNext/>
        <w:keepLines/>
        <w:numPr>
          <w:ilvl w:val="0"/>
          <w:numId w:val="6"/>
        </w:numPr>
        <w:spacing w:before="240" w:after="120" w:line="288" w:lineRule="auto"/>
        <w:ind w:left="357" w:hanging="357"/>
        <w:rPr>
          <w:rFonts w:ascii="Calibri" w:hAnsi="Calibri" w:cs="Arial"/>
          <w:b/>
          <w:sz w:val="20"/>
        </w:rPr>
      </w:pPr>
      <w:r w:rsidRPr="00BC1362">
        <w:rPr>
          <w:rFonts w:ascii="Calibri" w:hAnsi="Calibri" w:cs="Arial"/>
          <w:b/>
          <w:sz w:val="20"/>
        </w:rPr>
        <w:lastRenderedPageBreak/>
        <w:t>ZÁVĚREČNÁ USTANOVENÍ</w:t>
      </w:r>
    </w:p>
    <w:p w14:paraId="3A7DB921" w14:textId="77777777"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 xml:space="preserve">Tato smlouva se řídí </w:t>
      </w:r>
      <w:r w:rsidRPr="009E0FEA">
        <w:rPr>
          <w:rFonts w:ascii="Calibri" w:hAnsi="Calibri" w:cs="Arial"/>
          <w:sz w:val="20"/>
        </w:rPr>
        <w:t>právním řádem České republiky, a to zejména ustanovením § 2586 a násl. zákona č.</w:t>
      </w:r>
      <w:r>
        <w:rPr>
          <w:rFonts w:ascii="Calibri" w:hAnsi="Calibri" w:cs="Arial"/>
          <w:sz w:val="20"/>
        </w:rPr>
        <w:t> </w:t>
      </w:r>
      <w:r w:rsidRPr="009E0FEA">
        <w:rPr>
          <w:rFonts w:ascii="Calibri" w:hAnsi="Calibri" w:cs="Arial"/>
          <w:sz w:val="20"/>
        </w:rPr>
        <w:t>89/2012 Sb., občanský zákoník</w:t>
      </w:r>
      <w:r w:rsidRPr="00BC1362">
        <w:rPr>
          <w:rFonts w:ascii="Calibri" w:hAnsi="Calibri" w:cs="Arial"/>
          <w:sz w:val="20"/>
        </w:rPr>
        <w:t>.</w:t>
      </w:r>
    </w:p>
    <w:p w14:paraId="043406E7" w14:textId="77777777"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81143B">
        <w:rPr>
          <w:rFonts w:ascii="Calibri" w:hAnsi="Calibri" w:cs="Arial"/>
          <w:sz w:val="20"/>
        </w:rPr>
        <w:t>Zhotovitel souhlasí s tím, aby subjekty oprávněné dle zákona č. 320/2001 Sb., o finanční kontrole ve veřejné správě a o změně některých zákonů (zákon o finanční kontrole), ve znění pozdějších předpisů, provedli finanční kontrolu závazkového stavu vyplývajícího ze smlouvy s tím, že se Zhotovitel podrobí této kontrole, a bude působit jako osoba povinná ve smyslu ustanovení §2 písm. e) uvedeného zákona.</w:t>
      </w:r>
    </w:p>
    <w:p w14:paraId="5AF96C36" w14:textId="77777777"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81143B">
        <w:rPr>
          <w:rFonts w:ascii="Calibri" w:hAnsi="Calibri" w:cs="Arial"/>
          <w:sz w:val="20"/>
        </w:rPr>
        <w:t xml:space="preserve">Povinností Zhotovitele je řádně uschovávat veškerou dokumentaci související s realizací Projektu, včetně účetních dokladů v souladu s článkem 90 Nařízení Rady (ES) č. 1083/2006. </w:t>
      </w:r>
    </w:p>
    <w:p w14:paraId="2DB93879" w14:textId="77777777" w:rsidR="000836A0" w:rsidRPr="00AE47D2" w:rsidRDefault="000836A0" w:rsidP="00487586">
      <w:pPr>
        <w:pStyle w:val="Zkladntextodsazen"/>
        <w:numPr>
          <w:ilvl w:val="1"/>
          <w:numId w:val="6"/>
        </w:numPr>
        <w:spacing w:before="120" w:after="120" w:line="288" w:lineRule="auto"/>
        <w:ind w:left="425" w:hanging="431"/>
        <w:rPr>
          <w:rFonts w:ascii="Calibri" w:hAnsi="Calibri" w:cs="Arial"/>
          <w:sz w:val="20"/>
        </w:rPr>
      </w:pPr>
      <w:r w:rsidRPr="0081143B">
        <w:rPr>
          <w:rFonts w:ascii="Calibri" w:hAnsi="Calibri" w:cs="Arial"/>
          <w:sz w:val="20"/>
        </w:rPr>
        <w:t>Zhotovitel je povinen zachovávat po dobu trvání smluvního vztahu i po jeho ukončení mlčenlivost o všech skutečnostech, které se od Objednatele v souvislosti s plněním smlouvy dozví.</w:t>
      </w:r>
    </w:p>
    <w:p w14:paraId="35B8402A" w14:textId="77777777" w:rsidR="000836A0" w:rsidRPr="00BC1362"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Tuto smlouvu je možné měnit pouze písemnou dohodou smluvních stran ve formě číslovaných dodatků.</w:t>
      </w:r>
    </w:p>
    <w:p w14:paraId="78826CA9" w14:textId="77777777"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Strany prohlašují, že si tuto smlouvu přečetly, že s jejím obsahem souhlasí a na důkaz toho k ní připojují svoje podpisy.</w:t>
      </w:r>
    </w:p>
    <w:p w14:paraId="3E8F94B1" w14:textId="77777777" w:rsidR="000836A0" w:rsidRPr="00BC1362"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Nedílnou souč</w:t>
      </w:r>
      <w:r>
        <w:rPr>
          <w:rFonts w:ascii="Calibri" w:hAnsi="Calibri" w:cs="Arial"/>
          <w:sz w:val="20"/>
        </w:rPr>
        <w:t xml:space="preserve">ást smlouvy tvoří Příloha č. 1 </w:t>
      </w:r>
      <w:r w:rsidRPr="00BC1362">
        <w:rPr>
          <w:rFonts w:ascii="Calibri" w:hAnsi="Calibri" w:cs="Arial"/>
          <w:sz w:val="20"/>
        </w:rPr>
        <w:t>Specifikace předmětu plnění</w:t>
      </w:r>
      <w:r>
        <w:rPr>
          <w:rFonts w:ascii="Calibri" w:hAnsi="Calibri" w:cs="Arial"/>
          <w:sz w:val="20"/>
        </w:rPr>
        <w:t>.</w:t>
      </w:r>
    </w:p>
    <w:p w14:paraId="25482989" w14:textId="77777777" w:rsidR="000836A0" w:rsidRDefault="000836A0" w:rsidP="00487586">
      <w:pPr>
        <w:pStyle w:val="Zkladntextodsazen"/>
        <w:numPr>
          <w:ilvl w:val="1"/>
          <w:numId w:val="6"/>
        </w:numPr>
        <w:spacing w:before="120" w:after="120" w:line="288" w:lineRule="auto"/>
        <w:ind w:left="425" w:hanging="431"/>
        <w:rPr>
          <w:rFonts w:ascii="Calibri" w:hAnsi="Calibri" w:cs="Arial"/>
          <w:sz w:val="20"/>
        </w:rPr>
      </w:pPr>
      <w:r w:rsidRPr="00BC1362">
        <w:rPr>
          <w:rFonts w:ascii="Calibri" w:hAnsi="Calibri" w:cs="Arial"/>
          <w:sz w:val="20"/>
        </w:rPr>
        <w:t>Tato smlouva je vyhotovena ve dvou originálních výtiscích.</w:t>
      </w:r>
      <w:bookmarkStart w:id="9" w:name="_Ref504558368"/>
      <w:bookmarkStart w:id="10" w:name="_Toc535653574"/>
      <w:bookmarkEnd w:id="3"/>
      <w:bookmarkEnd w:id="4"/>
    </w:p>
    <w:bookmarkEnd w:id="5"/>
    <w:bookmarkEnd w:id="6"/>
    <w:bookmarkEnd w:id="7"/>
    <w:bookmarkEnd w:id="9"/>
    <w:bookmarkEnd w:id="10"/>
    <w:p w14:paraId="5C6E4170" w14:textId="77777777" w:rsidR="000836A0" w:rsidRDefault="000836A0" w:rsidP="000836A0">
      <w:pPr>
        <w:rPr>
          <w:rFonts w:ascii="Calibri" w:hAnsi="Calibri"/>
          <w:sz w:val="20"/>
        </w:rPr>
      </w:pPr>
    </w:p>
    <w:p w14:paraId="0CD14945" w14:textId="77777777" w:rsidR="000836A0" w:rsidRDefault="000836A0" w:rsidP="000836A0">
      <w:pPr>
        <w:rPr>
          <w:rFonts w:ascii="Calibri" w:hAnsi="Calibri"/>
          <w:sz w:val="20"/>
        </w:rPr>
      </w:pPr>
    </w:p>
    <w:p w14:paraId="53F49EE7" w14:textId="77777777" w:rsidR="000836A0" w:rsidRDefault="000836A0" w:rsidP="000836A0">
      <w:pPr>
        <w:rPr>
          <w:rFonts w:ascii="Calibri" w:hAnsi="Calibri"/>
          <w:sz w:val="20"/>
        </w:rPr>
      </w:pPr>
      <w:r>
        <w:rPr>
          <w:rFonts w:ascii="Calibri" w:hAnsi="Calibri"/>
          <w:sz w:val="20"/>
        </w:rPr>
        <w:t>Zhotovitel:</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Objednatel:</w:t>
      </w:r>
    </w:p>
    <w:p w14:paraId="6A80DEA7" w14:textId="77777777" w:rsidR="000836A0" w:rsidRDefault="000836A0" w:rsidP="000836A0">
      <w:pPr>
        <w:rPr>
          <w:rFonts w:ascii="Calibri" w:hAnsi="Calibri"/>
          <w:sz w:val="20"/>
        </w:rPr>
      </w:pPr>
    </w:p>
    <w:p w14:paraId="6CEAAB98" w14:textId="77777777" w:rsidR="000836A0" w:rsidRDefault="000836A0" w:rsidP="000836A0">
      <w:pPr>
        <w:rPr>
          <w:rFonts w:ascii="Calibri" w:hAnsi="Calibri"/>
          <w:sz w:val="20"/>
        </w:rPr>
      </w:pPr>
    </w:p>
    <w:p w14:paraId="01C5DAE3" w14:textId="77777777" w:rsidR="000836A0" w:rsidRDefault="000836A0" w:rsidP="000836A0">
      <w:pPr>
        <w:rPr>
          <w:rFonts w:ascii="Calibri" w:hAnsi="Calibri"/>
          <w:sz w:val="20"/>
        </w:rPr>
      </w:pPr>
    </w:p>
    <w:p w14:paraId="1E6AE2E6" w14:textId="77777777" w:rsidR="000836A0" w:rsidRDefault="000836A0" w:rsidP="000836A0">
      <w:pPr>
        <w:rPr>
          <w:rFonts w:ascii="Calibri" w:hAnsi="Calibri"/>
          <w:sz w:val="20"/>
        </w:rPr>
      </w:pPr>
    </w:p>
    <w:p w14:paraId="058F6063" w14:textId="5980B53D" w:rsidR="000836A0" w:rsidRDefault="000836A0" w:rsidP="000836A0">
      <w:pPr>
        <w:spacing w:after="120"/>
        <w:rPr>
          <w:rFonts w:ascii="Calibri" w:hAnsi="Calibri"/>
          <w:sz w:val="20"/>
        </w:rPr>
      </w:pPr>
      <w:r w:rsidRPr="0046559E">
        <w:rPr>
          <w:rFonts w:ascii="Calibri" w:hAnsi="Calibri"/>
          <w:sz w:val="20"/>
        </w:rPr>
        <w:t>V Holýšově dne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Pr="0046559E">
        <w:rPr>
          <w:rFonts w:ascii="Calibri" w:hAnsi="Calibri"/>
          <w:sz w:val="20"/>
        </w:rPr>
        <w:t>V</w:t>
      </w:r>
      <w:r>
        <w:rPr>
          <w:rFonts w:ascii="Calibri" w:hAnsi="Calibri"/>
          <w:sz w:val="20"/>
        </w:rPr>
        <w:t xml:space="preserve"> Praze</w:t>
      </w:r>
      <w:r w:rsidRPr="0046559E">
        <w:rPr>
          <w:rFonts w:ascii="Calibri" w:hAnsi="Calibri"/>
          <w:sz w:val="20"/>
        </w:rPr>
        <w:t xml:space="preserve"> dne </w:t>
      </w:r>
      <w:r w:rsidRPr="0001634A">
        <w:rPr>
          <w:rFonts w:ascii="Calibri" w:hAnsi="Calibri"/>
          <w:sz w:val="20"/>
        </w:rPr>
        <w:t>….………………..</w:t>
      </w:r>
    </w:p>
    <w:p w14:paraId="68715D60" w14:textId="2B2E8A5D" w:rsidR="000836A0" w:rsidRDefault="000836A0" w:rsidP="000836A0">
      <w:pPr>
        <w:rPr>
          <w:rFonts w:ascii="Calibri" w:hAnsi="Calibri"/>
          <w:sz w:val="20"/>
        </w:rPr>
      </w:pPr>
      <w:r w:rsidRPr="0046559E">
        <w:rPr>
          <w:rFonts w:ascii="Calibri" w:hAnsi="Calibri"/>
          <w:sz w:val="20"/>
        </w:rPr>
        <w:t>Ing. Petra Lavičková</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670993" w:rsidRPr="0001634A">
        <w:rPr>
          <w:rFonts w:ascii="Calibri" w:hAnsi="Calibri"/>
          <w:sz w:val="20"/>
        </w:rPr>
        <w:t>Ing.</w:t>
      </w:r>
      <w:r w:rsidR="003213A7">
        <w:rPr>
          <w:rFonts w:ascii="Calibri" w:hAnsi="Calibri"/>
          <w:sz w:val="20"/>
        </w:rPr>
        <w:t xml:space="preserve"> Pavel Jirka</w:t>
      </w:r>
      <w:r w:rsidR="00670993" w:rsidRPr="0001634A">
        <w:rPr>
          <w:rFonts w:ascii="Calibri" w:hAnsi="Calibri"/>
          <w:sz w:val="20"/>
        </w:rPr>
        <w:t xml:space="preserve"> </w:t>
      </w:r>
    </w:p>
    <w:p w14:paraId="60181A8B" w14:textId="3DBECB7D" w:rsidR="000836A0" w:rsidRDefault="000836A0" w:rsidP="000836A0">
      <w:pPr>
        <w:rPr>
          <w:rFonts w:ascii="Calibri" w:hAnsi="Calibri"/>
          <w:sz w:val="20"/>
        </w:rPr>
      </w:pPr>
      <w:r w:rsidRPr="0046559E">
        <w:rPr>
          <w:rFonts w:ascii="Calibri" w:hAnsi="Calibri"/>
          <w:sz w:val="18"/>
          <w:szCs w:val="18"/>
        </w:rPr>
        <w:t>jednatelka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3213A7">
        <w:rPr>
          <w:rFonts w:ascii="Calibri" w:hAnsi="Calibri"/>
          <w:sz w:val="20"/>
        </w:rPr>
        <w:t>vedoucí ONVZ</w:t>
      </w:r>
    </w:p>
    <w:p w14:paraId="17BF2B34" w14:textId="77777777" w:rsidR="000836A0" w:rsidRPr="00112C80" w:rsidRDefault="000836A0" w:rsidP="000836A0">
      <w:pPr>
        <w:pageBreakBefore/>
        <w:spacing w:before="120" w:after="240"/>
        <w:rPr>
          <w:rFonts w:ascii="Calibri" w:hAnsi="Calibri" w:cs="Arial"/>
          <w:b/>
          <w:szCs w:val="24"/>
        </w:rPr>
      </w:pPr>
      <w:r w:rsidRPr="00112C80">
        <w:rPr>
          <w:rFonts w:ascii="Calibri" w:hAnsi="Calibri" w:cs="Arial"/>
          <w:b/>
          <w:szCs w:val="24"/>
        </w:rPr>
        <w:lastRenderedPageBreak/>
        <w:t>Příloha č. 1 Specifikace předmětu plnění</w:t>
      </w:r>
    </w:p>
    <w:p w14:paraId="1BE9222A" w14:textId="77777777" w:rsidR="000836A0" w:rsidRPr="001A2C01" w:rsidRDefault="000836A0" w:rsidP="000836A0">
      <w:pPr>
        <w:spacing w:before="120" w:after="120" w:line="276" w:lineRule="auto"/>
        <w:rPr>
          <w:rFonts w:ascii="Calibri" w:hAnsi="Calibri"/>
          <w:sz w:val="20"/>
        </w:rPr>
      </w:pPr>
      <w:r w:rsidRPr="001A2C01">
        <w:rPr>
          <w:rFonts w:ascii="Calibri" w:hAnsi="Calibri"/>
          <w:sz w:val="20"/>
        </w:rPr>
        <w:t>Předmětem plnění je příprava a zp</w:t>
      </w:r>
      <w:r>
        <w:rPr>
          <w:rFonts w:ascii="Calibri" w:hAnsi="Calibri"/>
          <w:sz w:val="20"/>
        </w:rPr>
        <w:t>racování studie proveditelnosti a</w:t>
      </w:r>
      <w:r w:rsidRPr="001A2C01">
        <w:rPr>
          <w:rFonts w:ascii="Calibri" w:hAnsi="Calibri"/>
          <w:sz w:val="20"/>
        </w:rPr>
        <w:t xml:space="preserve"> žádosti o </w:t>
      </w:r>
      <w:r>
        <w:rPr>
          <w:rFonts w:ascii="Calibri" w:hAnsi="Calibri"/>
          <w:sz w:val="20"/>
        </w:rPr>
        <w:t xml:space="preserve">podporu </w:t>
      </w:r>
      <w:r w:rsidRPr="001A2C01">
        <w:rPr>
          <w:rFonts w:ascii="Calibri" w:hAnsi="Calibri"/>
          <w:sz w:val="20"/>
        </w:rPr>
        <w:t xml:space="preserve">dle podmínek aktuální verze výzvy </w:t>
      </w:r>
      <w:r>
        <w:rPr>
          <w:rFonts w:ascii="Calibri" w:hAnsi="Calibri"/>
          <w:sz w:val="20"/>
        </w:rPr>
        <w:t xml:space="preserve">číslo 10 IROP </w:t>
      </w:r>
      <w:r w:rsidRPr="001A2C01">
        <w:rPr>
          <w:rFonts w:ascii="Calibri" w:hAnsi="Calibri"/>
          <w:sz w:val="20"/>
        </w:rPr>
        <w:t>k předkládání žádostí o podporu z IROP, Obecných pravidel pro žadatele a příjemce a</w:t>
      </w:r>
      <w:r>
        <w:rPr>
          <w:rFonts w:ascii="Calibri" w:hAnsi="Calibri"/>
          <w:sz w:val="20"/>
        </w:rPr>
        <w:t> </w:t>
      </w:r>
      <w:r w:rsidRPr="001A2C01">
        <w:rPr>
          <w:rFonts w:ascii="Calibri" w:hAnsi="Calibri"/>
          <w:sz w:val="20"/>
        </w:rPr>
        <w:t>dalších relevantních dokumentů k výzvě.</w:t>
      </w:r>
    </w:p>
    <w:p w14:paraId="59D0688B" w14:textId="77777777" w:rsidR="000836A0" w:rsidRPr="001A2C01" w:rsidRDefault="000836A0" w:rsidP="000836A0">
      <w:pPr>
        <w:spacing w:line="276" w:lineRule="auto"/>
        <w:rPr>
          <w:rFonts w:ascii="Calibri" w:hAnsi="Calibri"/>
          <w:sz w:val="20"/>
        </w:rPr>
      </w:pPr>
      <w:r w:rsidRPr="001A2C01">
        <w:rPr>
          <w:rFonts w:ascii="Calibri" w:hAnsi="Calibri"/>
          <w:sz w:val="20"/>
        </w:rPr>
        <w:t xml:space="preserve">Předmět plnění zahrnuje: </w:t>
      </w:r>
    </w:p>
    <w:p w14:paraId="2B477AAF" w14:textId="77777777" w:rsidR="000836A0" w:rsidRPr="001A2C01" w:rsidRDefault="000836A0" w:rsidP="00487586">
      <w:pPr>
        <w:widowControl w:val="0"/>
        <w:numPr>
          <w:ilvl w:val="0"/>
          <w:numId w:val="3"/>
        </w:numPr>
        <w:spacing w:before="40" w:after="20" w:line="276" w:lineRule="auto"/>
        <w:jc w:val="both"/>
        <w:rPr>
          <w:rFonts w:ascii="Calibri" w:hAnsi="Calibri"/>
          <w:sz w:val="20"/>
        </w:rPr>
      </w:pPr>
      <w:r w:rsidRPr="001A2C01">
        <w:rPr>
          <w:rFonts w:ascii="Calibri" w:hAnsi="Calibri"/>
          <w:sz w:val="20"/>
        </w:rPr>
        <w:t>zpracování vlastní Studie pro</w:t>
      </w:r>
      <w:r>
        <w:rPr>
          <w:rFonts w:ascii="Calibri" w:hAnsi="Calibri"/>
          <w:sz w:val="20"/>
        </w:rPr>
        <w:t>veditelnosti v povinném rozsahu</w:t>
      </w:r>
    </w:p>
    <w:p w14:paraId="703A4B69" w14:textId="77777777" w:rsidR="000836A0" w:rsidRPr="00D00C55" w:rsidRDefault="000836A0" w:rsidP="00487586">
      <w:pPr>
        <w:widowControl w:val="0"/>
        <w:numPr>
          <w:ilvl w:val="0"/>
          <w:numId w:val="3"/>
        </w:numPr>
        <w:spacing w:before="40" w:after="20" w:line="276" w:lineRule="auto"/>
        <w:jc w:val="both"/>
        <w:rPr>
          <w:rFonts w:ascii="Calibri" w:hAnsi="Calibri"/>
          <w:sz w:val="20"/>
        </w:rPr>
      </w:pPr>
      <w:r>
        <w:rPr>
          <w:rFonts w:ascii="Calibri" w:hAnsi="Calibri"/>
          <w:sz w:val="20"/>
        </w:rPr>
        <w:t>zpracování žádosti o dotaci</w:t>
      </w:r>
    </w:p>
    <w:p w14:paraId="076BF20F" w14:textId="77777777" w:rsidR="000836A0" w:rsidRDefault="000836A0" w:rsidP="000836A0">
      <w:pPr>
        <w:spacing w:before="120" w:after="120" w:line="276" w:lineRule="auto"/>
        <w:rPr>
          <w:rFonts w:ascii="Calibri" w:hAnsi="Calibri"/>
          <w:sz w:val="20"/>
        </w:rPr>
      </w:pPr>
      <w:r>
        <w:rPr>
          <w:rFonts w:ascii="Calibri" w:hAnsi="Calibri"/>
          <w:sz w:val="20"/>
        </w:rPr>
        <w:t>Věcným předmětem projektu jsou následující aktivity:</w:t>
      </w:r>
    </w:p>
    <w:p w14:paraId="0E1BDEEC" w14:textId="528E26A2" w:rsidR="000836A0" w:rsidRDefault="00670993" w:rsidP="00487586">
      <w:pPr>
        <w:pStyle w:val="Odstavecseseznamem"/>
        <w:widowControl w:val="0"/>
        <w:numPr>
          <w:ilvl w:val="0"/>
          <w:numId w:val="10"/>
        </w:numPr>
        <w:spacing w:before="120" w:after="120" w:line="276" w:lineRule="auto"/>
        <w:jc w:val="both"/>
        <w:rPr>
          <w:rFonts w:ascii="Calibri" w:hAnsi="Calibri"/>
          <w:sz w:val="20"/>
        </w:rPr>
      </w:pPr>
      <w:r w:rsidRPr="00E34642">
        <w:rPr>
          <w:rFonts w:ascii="Calibri" w:hAnsi="Calibri"/>
          <w:sz w:val="20"/>
        </w:rPr>
        <w:t>F</w:t>
      </w:r>
      <w:r w:rsidR="000836A0" w:rsidRPr="00E34642">
        <w:rPr>
          <w:rFonts w:ascii="Calibri" w:hAnsi="Calibri"/>
          <w:sz w:val="20"/>
        </w:rPr>
        <w:t>yzická bezpečnost</w:t>
      </w:r>
    </w:p>
    <w:p w14:paraId="7D40715F" w14:textId="2C4A4153" w:rsidR="00670993" w:rsidRDefault="00670993"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Nástroj pro ochranu integrity komunikačních sítí</w:t>
      </w:r>
    </w:p>
    <w:p w14:paraId="37B8D1B6" w14:textId="664CF596" w:rsidR="00670993" w:rsidRDefault="00670993"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 xml:space="preserve">Nástroj </w:t>
      </w:r>
      <w:r w:rsidR="00C00E29">
        <w:rPr>
          <w:rFonts w:ascii="Calibri" w:hAnsi="Calibri"/>
          <w:sz w:val="20"/>
        </w:rPr>
        <w:t xml:space="preserve">pro </w:t>
      </w:r>
      <w:r>
        <w:rPr>
          <w:rFonts w:ascii="Calibri" w:hAnsi="Calibri"/>
          <w:sz w:val="20"/>
        </w:rPr>
        <w:t>ověřování identity uživatelů</w:t>
      </w:r>
    </w:p>
    <w:p w14:paraId="317670D5" w14:textId="4B9D48AD" w:rsidR="00C00E29" w:rsidRDefault="00C00E29"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Nástroj pro řízení přístupových oprávnění</w:t>
      </w:r>
    </w:p>
    <w:p w14:paraId="485214AC" w14:textId="3780CB2F" w:rsidR="00670993" w:rsidRDefault="00670993"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Nástroj pro ochranu před škodlivým kódem</w:t>
      </w:r>
    </w:p>
    <w:p w14:paraId="6A5E1CB9" w14:textId="47F58BF2" w:rsidR="00670993" w:rsidRDefault="008566BB"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Nástroj pro zaznamenávání činnosti kritické informační infrastruktury a významných informačních systémů, jejich uživatelů a administrátorů</w:t>
      </w:r>
    </w:p>
    <w:p w14:paraId="544A784A" w14:textId="3B0FCAB0" w:rsidR="008566BB" w:rsidRDefault="00C905FF"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Nástroj pro detekci kybernetických bezpečnostních událostí</w:t>
      </w:r>
    </w:p>
    <w:p w14:paraId="2F67C57B" w14:textId="1C233C0A" w:rsidR="00C905FF" w:rsidRDefault="00C905FF"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Nástroj pro sběr a vyhodnocení kybernetických bezpečnostních událostí</w:t>
      </w:r>
    </w:p>
    <w:p w14:paraId="63D92311" w14:textId="69AD87BF" w:rsidR="00C905FF" w:rsidRDefault="00C905FF"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Kryptografické prostředky</w:t>
      </w:r>
    </w:p>
    <w:p w14:paraId="0EC2FE96" w14:textId="4176DD95" w:rsidR="00C905FF" w:rsidRDefault="00C905FF" w:rsidP="00487586">
      <w:pPr>
        <w:pStyle w:val="Odstavecseseznamem"/>
        <w:widowControl w:val="0"/>
        <w:numPr>
          <w:ilvl w:val="0"/>
          <w:numId w:val="10"/>
        </w:numPr>
        <w:spacing w:before="120" w:after="120" w:line="276" w:lineRule="auto"/>
        <w:jc w:val="both"/>
        <w:rPr>
          <w:rFonts w:ascii="Calibri" w:hAnsi="Calibri"/>
          <w:sz w:val="20"/>
        </w:rPr>
      </w:pPr>
      <w:r>
        <w:rPr>
          <w:rFonts w:ascii="Calibri" w:hAnsi="Calibri"/>
          <w:sz w:val="20"/>
        </w:rPr>
        <w:t>Nástroj pro zajišťování úrovně dostupnosti informací</w:t>
      </w:r>
    </w:p>
    <w:p w14:paraId="0544F4FA" w14:textId="77777777" w:rsidR="00C905FF" w:rsidRPr="00E34642" w:rsidRDefault="00C905FF" w:rsidP="00E34642">
      <w:pPr>
        <w:pStyle w:val="Odstavecseseznamem"/>
        <w:widowControl w:val="0"/>
        <w:spacing w:before="120" w:after="120" w:line="276" w:lineRule="auto"/>
        <w:jc w:val="both"/>
        <w:rPr>
          <w:rFonts w:ascii="Calibri" w:hAnsi="Calibri"/>
          <w:sz w:val="20"/>
        </w:rPr>
      </w:pPr>
    </w:p>
    <w:p w14:paraId="1CDF72A1" w14:textId="5D3D5202" w:rsidR="00CC663F" w:rsidRDefault="00CC663F" w:rsidP="003E414A"/>
    <w:p w14:paraId="0498F1E5" w14:textId="2883FDCA" w:rsidR="00336608" w:rsidRPr="00D7408A" w:rsidRDefault="00336608" w:rsidP="00336608">
      <w:pPr>
        <w:pageBreakBefore/>
        <w:spacing w:before="120" w:after="240"/>
        <w:rPr>
          <w:rFonts w:ascii="Times New Roman" w:eastAsia="Times New Roman" w:hAnsi="Times New Roman" w:cs="Times New Roman"/>
          <w:b/>
          <w:color w:val="000000"/>
          <w:lang w:eastAsia="cs-CZ"/>
        </w:rPr>
      </w:pPr>
      <w:r w:rsidRPr="00D7408A">
        <w:rPr>
          <w:rFonts w:ascii="Calibri" w:hAnsi="Calibri" w:cs="Arial"/>
          <w:b/>
        </w:rPr>
        <w:lastRenderedPageBreak/>
        <w:t xml:space="preserve">Příloha č. 2 Obchodní podmínky </w:t>
      </w:r>
      <w:r w:rsidR="00C27FC5" w:rsidRPr="00D7408A">
        <w:rPr>
          <w:rFonts w:ascii="Calibri" w:eastAsia="Times New Roman" w:hAnsi="Calibri" w:cs="Calibri"/>
          <w:b/>
          <w:color w:val="000000"/>
          <w:lang w:eastAsia="cs-CZ"/>
        </w:rPr>
        <w:t>Nemocnice Na Homolce</w:t>
      </w:r>
    </w:p>
    <w:p w14:paraId="02D86E23" w14:textId="77777777" w:rsidR="00C27FC5" w:rsidRPr="00C27FC5" w:rsidRDefault="00C27FC5" w:rsidP="00C27FC5">
      <w:pPr>
        <w:keepNext/>
        <w:keepLines/>
        <w:spacing w:after="248" w:line="276" w:lineRule="auto"/>
        <w:ind w:left="1092" w:hanging="732"/>
        <w:jc w:val="both"/>
        <w:outlineLvl w:val="0"/>
        <w:rPr>
          <w:rFonts w:ascii="Calibri" w:eastAsia="Times New Roman" w:hAnsi="Calibri" w:cs="Calibri"/>
          <w:b/>
          <w:color w:val="000000"/>
          <w:sz w:val="18"/>
          <w:szCs w:val="18"/>
          <w:lang w:eastAsia="cs-CZ"/>
        </w:rPr>
      </w:pPr>
      <w:bookmarkStart w:id="11" w:name="_Toc488673301"/>
      <w:r w:rsidRPr="00C27FC5">
        <w:rPr>
          <w:rFonts w:ascii="Calibri" w:eastAsia="Times New Roman" w:hAnsi="Calibri" w:cs="Calibri"/>
          <w:b/>
          <w:color w:val="000000"/>
          <w:sz w:val="18"/>
          <w:szCs w:val="18"/>
          <w:lang w:eastAsia="cs-CZ"/>
        </w:rPr>
        <w:t>Definice pojmů a základní ustanovení</w:t>
      </w:r>
      <w:bookmarkEnd w:id="11"/>
      <w:r w:rsidRPr="00C27FC5">
        <w:rPr>
          <w:rFonts w:ascii="Calibri" w:eastAsia="Times New Roman" w:hAnsi="Calibri" w:cs="Calibri"/>
          <w:b/>
          <w:color w:val="000000"/>
          <w:sz w:val="18"/>
          <w:szCs w:val="18"/>
          <w:lang w:eastAsia="cs-CZ"/>
        </w:rPr>
        <w:t xml:space="preserve"> </w:t>
      </w:r>
    </w:p>
    <w:p w14:paraId="4405E831" w14:textId="77777777" w:rsidR="00C27FC5" w:rsidRPr="00C27FC5" w:rsidRDefault="00C27FC5" w:rsidP="00C27FC5">
      <w:pPr>
        <w:spacing w:after="0"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31A9717A" w14:textId="77777777" w:rsidR="00C27FC5" w:rsidRPr="00C27FC5" w:rsidRDefault="00C27FC5" w:rsidP="00487586">
      <w:pPr>
        <w:numPr>
          <w:ilvl w:val="0"/>
          <w:numId w:val="11"/>
        </w:numPr>
        <w:spacing w:after="0"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b/>
          <w:color w:val="000000"/>
          <w:sz w:val="18"/>
          <w:szCs w:val="18"/>
          <w:lang w:eastAsia="cs-CZ"/>
        </w:rPr>
        <w:t xml:space="preserve">Tyto obchodní podmínky jsou nedílnou součástí smlouvy, jejíž jsou přílohou. </w:t>
      </w:r>
    </w:p>
    <w:p w14:paraId="4C731F59" w14:textId="77777777" w:rsidR="00C27FC5" w:rsidRPr="00C27FC5" w:rsidRDefault="00C27FC5" w:rsidP="00C27FC5">
      <w:pPr>
        <w:spacing w:after="121" w:line="276" w:lineRule="auto"/>
        <w:ind w:left="1237" w:hanging="10"/>
        <w:jc w:val="both"/>
        <w:rPr>
          <w:rFonts w:ascii="Calibri" w:eastAsia="Times New Roman" w:hAnsi="Calibri" w:cs="Calibri"/>
          <w:color w:val="000000"/>
          <w:sz w:val="18"/>
          <w:szCs w:val="18"/>
          <w:lang w:eastAsia="cs-CZ"/>
        </w:rPr>
      </w:pPr>
      <w:r w:rsidRPr="00C27FC5">
        <w:rPr>
          <w:rFonts w:ascii="Calibri" w:eastAsia="Times New Roman" w:hAnsi="Calibri" w:cs="Calibri"/>
          <w:b/>
          <w:color w:val="000000"/>
          <w:sz w:val="18"/>
          <w:szCs w:val="18"/>
          <w:lang w:eastAsia="cs-CZ"/>
        </w:rPr>
        <w:t xml:space="preserve">Smluvní strany tedy bezvýhradně akceptují ustanovení těchto OP a uzavírají Smlouvu s tím, že ustanovení těchto OP mají přednost před odchylnými ustanoveními Smlouvy, není-li v těchto OP výslovně uvedeno jinak.  </w:t>
      </w:r>
    </w:p>
    <w:p w14:paraId="778684DA" w14:textId="77777777" w:rsidR="00C27FC5" w:rsidRPr="00C27FC5" w:rsidRDefault="00C27FC5" w:rsidP="00487586">
      <w:pPr>
        <w:numPr>
          <w:ilvl w:val="0"/>
          <w:numId w:val="11"/>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b/>
          <w:color w:val="000000"/>
          <w:sz w:val="18"/>
          <w:szCs w:val="18"/>
          <w:lang w:eastAsia="cs-CZ"/>
        </w:rPr>
        <w:t>Nemocnice Na Homolce</w:t>
      </w:r>
      <w:r w:rsidRPr="00C27FC5">
        <w:rPr>
          <w:rFonts w:ascii="Calibri" w:eastAsia="Times New Roman" w:hAnsi="Calibri" w:cs="Calibri"/>
          <w:color w:val="000000"/>
          <w:sz w:val="18"/>
          <w:szCs w:val="18"/>
          <w:lang w:eastAsia="cs-CZ"/>
        </w:rPr>
        <w:t xml:space="preserve">, je státní příspěvková organizace, jejímž zřizovatelem je Ministerstvo zdravotnictví České republiky, jež vydalo zřizovací listinu podle ust. § 39 odst. 1 zákona č. 20/1966 Sb., o péči o zdraví lidu, ve znění pozdějších předpisů, následně změněnou a doplněnou v souladu s ust. § 2 odst. 1 a ust. § 4 odst. 1 zákona č. 372/2011 Sb., o zdravotních službách a podmínkách jejich poskytování, ve znění pozdějších předpisů, dále pak podle ust. § 54 odst. 2 zákona č. 219/2000 Sb., o majetku České republiky a jejím vystupování v právních vztazích, ve znění pozdějších předpisů. Úplné znění zřizovací listiny bylo vydáno 29. 5. 2012 pod č. j. MZDR 17268XVII/2012. </w:t>
      </w:r>
    </w:p>
    <w:p w14:paraId="7EA39222" w14:textId="77777777" w:rsidR="00C27FC5" w:rsidRPr="00C27FC5" w:rsidRDefault="00C27FC5" w:rsidP="00C27FC5">
      <w:pPr>
        <w:spacing w:after="0"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642A14C4" w14:textId="77777777" w:rsidR="00C27FC5" w:rsidRPr="00C27FC5" w:rsidRDefault="00C27FC5" w:rsidP="00487586">
      <w:pPr>
        <w:numPr>
          <w:ilvl w:val="0"/>
          <w:numId w:val="11"/>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Z důvodu standardizace označení smluvních stran a dalších pojmů budou v těchto obchodních používány pojmy s dále uvedenými významy: </w:t>
      </w:r>
    </w:p>
    <w:p w14:paraId="3D6B8B21" w14:textId="77777777" w:rsidR="00C27FC5" w:rsidRPr="00C27FC5" w:rsidRDefault="00C27FC5" w:rsidP="00C27FC5">
      <w:pPr>
        <w:spacing w:after="0"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61C5485A" w14:textId="77777777" w:rsidR="00C27FC5" w:rsidRPr="00C27FC5" w:rsidRDefault="00C27FC5" w:rsidP="00C27FC5">
      <w:pPr>
        <w:spacing w:after="5" w:line="276" w:lineRule="auto"/>
        <w:ind w:left="1222"/>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Nemocnice Na Homolce označována jako </w:t>
      </w:r>
      <w:r w:rsidRPr="00C27FC5">
        <w:rPr>
          <w:rFonts w:ascii="Calibri" w:eastAsia="Times New Roman" w:hAnsi="Calibri" w:cs="Calibri"/>
          <w:i/>
          <w:color w:val="000000"/>
          <w:sz w:val="18"/>
          <w:szCs w:val="18"/>
          <w:lang w:eastAsia="cs-CZ"/>
        </w:rPr>
        <w:t>„NNH“</w:t>
      </w:r>
      <w:r w:rsidRPr="00C27FC5">
        <w:rPr>
          <w:rFonts w:ascii="Calibri" w:eastAsia="Times New Roman" w:hAnsi="Calibri" w:cs="Calibri"/>
          <w:color w:val="000000"/>
          <w:sz w:val="18"/>
          <w:szCs w:val="18"/>
          <w:lang w:eastAsia="cs-CZ"/>
        </w:rPr>
        <w:t xml:space="preserve"> nebo </w:t>
      </w:r>
      <w:r w:rsidRPr="00C27FC5">
        <w:rPr>
          <w:rFonts w:ascii="Calibri" w:eastAsia="Times New Roman" w:hAnsi="Calibri" w:cs="Calibri"/>
          <w:i/>
          <w:color w:val="000000"/>
          <w:sz w:val="18"/>
          <w:szCs w:val="18"/>
          <w:lang w:eastAsia="cs-CZ"/>
        </w:rPr>
        <w:t xml:space="preserve">„Nemocnice Na Homolce“.  </w:t>
      </w:r>
    </w:p>
    <w:p w14:paraId="68759CF4" w14:textId="77777777" w:rsidR="00C27FC5" w:rsidRPr="00C27FC5" w:rsidRDefault="00C27FC5" w:rsidP="00C27FC5">
      <w:pPr>
        <w:spacing w:after="0" w:line="276" w:lineRule="auto"/>
        <w:ind w:left="1222"/>
        <w:rPr>
          <w:rFonts w:ascii="Calibri" w:eastAsia="Times New Roman" w:hAnsi="Calibri" w:cs="Calibri"/>
          <w:color w:val="000000"/>
          <w:sz w:val="18"/>
          <w:szCs w:val="18"/>
          <w:lang w:eastAsia="cs-CZ"/>
        </w:rPr>
      </w:pPr>
      <w:r w:rsidRPr="00C27FC5">
        <w:rPr>
          <w:rFonts w:ascii="Calibri" w:eastAsia="Times New Roman" w:hAnsi="Calibri" w:cs="Calibri"/>
          <w:i/>
          <w:color w:val="000000"/>
          <w:sz w:val="18"/>
          <w:szCs w:val="18"/>
          <w:lang w:eastAsia="cs-CZ"/>
        </w:rPr>
        <w:t xml:space="preserve"> </w:t>
      </w:r>
    </w:p>
    <w:p w14:paraId="03132AF0" w14:textId="77777777" w:rsidR="00C27FC5" w:rsidRPr="00C27FC5" w:rsidRDefault="00C27FC5" w:rsidP="00C27FC5">
      <w:pPr>
        <w:spacing w:after="5" w:line="276" w:lineRule="auto"/>
        <w:ind w:left="1222"/>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Druhá smluvní strana označována jako </w:t>
      </w:r>
      <w:r w:rsidRPr="00C27FC5">
        <w:rPr>
          <w:rFonts w:ascii="Calibri" w:eastAsia="Times New Roman" w:hAnsi="Calibri" w:cs="Calibri"/>
          <w:i/>
          <w:color w:val="000000"/>
          <w:sz w:val="18"/>
          <w:szCs w:val="18"/>
          <w:lang w:eastAsia="cs-CZ"/>
        </w:rPr>
        <w:t>„druhá smluvní strana“</w:t>
      </w:r>
      <w:r w:rsidRPr="00C27FC5">
        <w:rPr>
          <w:rFonts w:ascii="Calibri" w:eastAsia="Times New Roman" w:hAnsi="Calibri" w:cs="Calibri"/>
          <w:color w:val="000000"/>
          <w:sz w:val="18"/>
          <w:szCs w:val="18"/>
          <w:lang w:eastAsia="cs-CZ"/>
        </w:rPr>
        <w:t xml:space="preserve"> nebo </w:t>
      </w:r>
      <w:r w:rsidRPr="00C27FC5">
        <w:rPr>
          <w:rFonts w:ascii="Calibri" w:eastAsia="Times New Roman" w:hAnsi="Calibri" w:cs="Calibri"/>
          <w:i/>
          <w:color w:val="000000"/>
          <w:sz w:val="18"/>
          <w:szCs w:val="18"/>
          <w:lang w:eastAsia="cs-CZ"/>
        </w:rPr>
        <w:t>„Dodavatel“</w:t>
      </w:r>
      <w:r w:rsidRPr="00C27FC5">
        <w:rPr>
          <w:rFonts w:ascii="Calibri" w:eastAsia="Times New Roman" w:hAnsi="Calibri" w:cs="Calibri"/>
          <w:color w:val="000000"/>
          <w:sz w:val="18"/>
          <w:szCs w:val="18"/>
          <w:lang w:eastAsia="cs-CZ"/>
        </w:rPr>
        <w:t xml:space="preserve">, a to bez ohledu na to, jak jsou smluvní strany označeny ve Smlouvě. Pokud vystupuje ve smlouvě více smluvních stran, vztahují se výše uvedená označení na jednotlivé všechny smluvní strany odlišné od NNH obdobně. </w:t>
      </w:r>
    </w:p>
    <w:p w14:paraId="1162FB0D" w14:textId="77777777" w:rsidR="00C27FC5" w:rsidRPr="00C27FC5" w:rsidRDefault="00C27FC5" w:rsidP="00C27FC5">
      <w:pPr>
        <w:spacing w:after="0" w:line="276" w:lineRule="auto"/>
        <w:ind w:left="1222"/>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1D45EE9B" w14:textId="77777777" w:rsidR="00C27FC5" w:rsidRPr="00C27FC5" w:rsidRDefault="00C27FC5" w:rsidP="00C27FC5">
      <w:pPr>
        <w:spacing w:after="5" w:line="276" w:lineRule="auto"/>
        <w:ind w:left="1222"/>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Tyto obchodní podmínky budou označovány jako </w:t>
      </w:r>
      <w:r w:rsidRPr="00C27FC5">
        <w:rPr>
          <w:rFonts w:ascii="Calibri" w:eastAsia="Times New Roman" w:hAnsi="Calibri" w:cs="Calibri"/>
          <w:i/>
          <w:color w:val="000000"/>
          <w:sz w:val="18"/>
          <w:szCs w:val="18"/>
          <w:lang w:eastAsia="cs-CZ"/>
        </w:rPr>
        <w:t>„Obchodní podmínky“</w:t>
      </w:r>
      <w:r w:rsidRPr="00C27FC5">
        <w:rPr>
          <w:rFonts w:ascii="Calibri" w:eastAsia="Times New Roman" w:hAnsi="Calibri" w:cs="Calibri"/>
          <w:color w:val="000000"/>
          <w:sz w:val="18"/>
          <w:szCs w:val="18"/>
          <w:lang w:eastAsia="cs-CZ"/>
        </w:rPr>
        <w:t xml:space="preserve"> nebo </w:t>
      </w:r>
      <w:r w:rsidRPr="00C27FC5">
        <w:rPr>
          <w:rFonts w:ascii="Calibri" w:eastAsia="Times New Roman" w:hAnsi="Calibri" w:cs="Calibri"/>
          <w:i/>
          <w:color w:val="000000"/>
          <w:sz w:val="18"/>
          <w:szCs w:val="18"/>
          <w:lang w:eastAsia="cs-CZ"/>
        </w:rPr>
        <w:t>„OP“</w:t>
      </w:r>
      <w:r w:rsidRPr="00C27FC5">
        <w:rPr>
          <w:rFonts w:ascii="Calibri" w:eastAsia="Times New Roman" w:hAnsi="Calibri" w:cs="Calibri"/>
          <w:color w:val="000000"/>
          <w:sz w:val="18"/>
          <w:szCs w:val="18"/>
          <w:lang w:eastAsia="cs-CZ"/>
        </w:rPr>
        <w:t xml:space="preserve"> </w:t>
      </w:r>
    </w:p>
    <w:p w14:paraId="1EDF625D" w14:textId="77777777" w:rsidR="00C27FC5" w:rsidRPr="00C27FC5" w:rsidRDefault="00C27FC5" w:rsidP="00C27FC5">
      <w:pPr>
        <w:spacing w:after="0" w:line="276" w:lineRule="auto"/>
        <w:ind w:left="1222"/>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7ACD4A25" w14:textId="77777777" w:rsidR="00C27FC5" w:rsidRPr="00C27FC5" w:rsidRDefault="00C27FC5" w:rsidP="00C27FC5">
      <w:pPr>
        <w:spacing w:after="5" w:line="276" w:lineRule="auto"/>
        <w:ind w:left="1222"/>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Smlouva, kterou tyto obchodní podmínky doplňují, bude označována jako </w:t>
      </w:r>
      <w:r w:rsidRPr="00C27FC5">
        <w:rPr>
          <w:rFonts w:ascii="Calibri" w:eastAsia="Times New Roman" w:hAnsi="Calibri" w:cs="Calibri"/>
          <w:i/>
          <w:color w:val="000000"/>
          <w:sz w:val="18"/>
          <w:szCs w:val="18"/>
          <w:lang w:eastAsia="cs-CZ"/>
        </w:rPr>
        <w:t>„Smlouva“</w:t>
      </w:r>
      <w:r w:rsidRPr="00C27FC5">
        <w:rPr>
          <w:rFonts w:ascii="Calibri" w:eastAsia="Times New Roman" w:hAnsi="Calibri" w:cs="Calibri"/>
          <w:color w:val="000000"/>
          <w:sz w:val="18"/>
          <w:szCs w:val="18"/>
          <w:lang w:eastAsia="cs-CZ"/>
        </w:rPr>
        <w:t xml:space="preserve"> nebo </w:t>
      </w:r>
      <w:r w:rsidRPr="00C27FC5">
        <w:rPr>
          <w:rFonts w:ascii="Calibri" w:eastAsia="Times New Roman" w:hAnsi="Calibri" w:cs="Calibri"/>
          <w:i/>
          <w:color w:val="000000"/>
          <w:sz w:val="18"/>
          <w:szCs w:val="18"/>
          <w:lang w:eastAsia="cs-CZ"/>
        </w:rPr>
        <w:t>„tato smlouva“</w:t>
      </w:r>
      <w:r w:rsidRPr="00C27FC5">
        <w:rPr>
          <w:rFonts w:ascii="Calibri" w:eastAsia="Times New Roman" w:hAnsi="Calibri" w:cs="Calibri"/>
          <w:color w:val="000000"/>
          <w:sz w:val="18"/>
          <w:szCs w:val="18"/>
          <w:lang w:eastAsia="cs-CZ"/>
        </w:rPr>
        <w:t xml:space="preserve">. Je-li odkazována na práva či povinnosti vyplývající ze Smlouvy, znamená to práva vyplývající ze Smlouvy zahrnující její případné dodatky či přílohy (vč. těchto OP), nevyplývá-li z kontextu odkazu, že se jedná o odkaz výhradně na text smlouvy. </w:t>
      </w:r>
    </w:p>
    <w:p w14:paraId="30A26EC5" w14:textId="77777777" w:rsidR="00C27FC5" w:rsidRPr="00C27FC5" w:rsidRDefault="00C27FC5" w:rsidP="00C27FC5">
      <w:pPr>
        <w:spacing w:after="0" w:line="276" w:lineRule="auto"/>
        <w:ind w:left="1222"/>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628042D2" w14:textId="77777777" w:rsidR="00C27FC5" w:rsidRPr="00C27FC5" w:rsidRDefault="00C27FC5" w:rsidP="00C27FC5">
      <w:pPr>
        <w:spacing w:after="0" w:line="276" w:lineRule="auto"/>
        <w:ind w:left="1222"/>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6D906886" w14:textId="77777777" w:rsidR="00C27FC5" w:rsidRPr="00C27FC5" w:rsidRDefault="00C27FC5" w:rsidP="00C27FC5">
      <w:pPr>
        <w:spacing w:after="175" w:line="276" w:lineRule="auto"/>
        <w:ind w:left="1222"/>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V těchto obchodních podmínkách jsou dále užívány následující zkratky a odkazy na právní předpisy: </w:t>
      </w:r>
    </w:p>
    <w:p w14:paraId="5806CEA5" w14:textId="77777777" w:rsidR="00C27FC5" w:rsidRPr="00C27FC5" w:rsidRDefault="00C27FC5" w:rsidP="00487586">
      <w:pPr>
        <w:numPr>
          <w:ilvl w:val="0"/>
          <w:numId w:val="12"/>
        </w:numPr>
        <w:spacing w:after="5" w:line="276" w:lineRule="auto"/>
        <w:ind w:right="1" w:hanging="36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Zákon č. 134/2016 Sb., o zadávání veřejných zakázek (dále jen „</w:t>
      </w:r>
      <w:r w:rsidRPr="00C27FC5">
        <w:rPr>
          <w:rFonts w:ascii="Calibri" w:eastAsia="Times New Roman" w:hAnsi="Calibri" w:cs="Calibri"/>
          <w:i/>
          <w:color w:val="000000"/>
          <w:sz w:val="18"/>
          <w:szCs w:val="18"/>
          <w:lang w:eastAsia="cs-CZ"/>
        </w:rPr>
        <w:t>ZVZ</w:t>
      </w:r>
      <w:r w:rsidRPr="00C27FC5">
        <w:rPr>
          <w:rFonts w:ascii="Calibri" w:eastAsia="Times New Roman" w:hAnsi="Calibri" w:cs="Calibri"/>
          <w:color w:val="000000"/>
          <w:sz w:val="18"/>
          <w:szCs w:val="18"/>
          <w:lang w:eastAsia="cs-CZ"/>
        </w:rPr>
        <w:t xml:space="preserve">“). </w:t>
      </w:r>
    </w:p>
    <w:p w14:paraId="1832746C" w14:textId="77777777" w:rsidR="00C27FC5" w:rsidRPr="00C27FC5" w:rsidRDefault="00C27FC5" w:rsidP="00487586">
      <w:pPr>
        <w:numPr>
          <w:ilvl w:val="0"/>
          <w:numId w:val="12"/>
        </w:numPr>
        <w:spacing w:after="5" w:line="276" w:lineRule="auto"/>
        <w:ind w:right="1" w:hanging="36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Zákon č. 219/2000 Sb., o majetku České republiky a jejím zastupování v právních vztazích, ve znění pozdějších předpisů (dále jen „</w:t>
      </w:r>
      <w:r w:rsidRPr="00C27FC5">
        <w:rPr>
          <w:rFonts w:ascii="Calibri" w:eastAsia="Times New Roman" w:hAnsi="Calibri" w:cs="Calibri"/>
          <w:i/>
          <w:color w:val="000000"/>
          <w:sz w:val="18"/>
          <w:szCs w:val="18"/>
          <w:lang w:eastAsia="cs-CZ"/>
        </w:rPr>
        <w:t>zákon o majetku ČR</w:t>
      </w:r>
      <w:r w:rsidRPr="00C27FC5">
        <w:rPr>
          <w:rFonts w:ascii="Calibri" w:eastAsia="Times New Roman" w:hAnsi="Calibri" w:cs="Calibri"/>
          <w:color w:val="000000"/>
          <w:sz w:val="18"/>
          <w:szCs w:val="18"/>
          <w:lang w:eastAsia="cs-CZ"/>
        </w:rPr>
        <w:t xml:space="preserve">“). </w:t>
      </w:r>
    </w:p>
    <w:p w14:paraId="62A91CF6" w14:textId="77777777" w:rsidR="00C27FC5" w:rsidRPr="00C27FC5" w:rsidRDefault="00C27FC5" w:rsidP="00487586">
      <w:pPr>
        <w:numPr>
          <w:ilvl w:val="0"/>
          <w:numId w:val="12"/>
        </w:numPr>
        <w:spacing w:after="5" w:line="276" w:lineRule="auto"/>
        <w:ind w:right="1" w:hanging="36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Zákon č. 218/2000 Sb., o rozpočtových pravidlech a o změně některých souvisejících zákonů, ve znění pozdějších předpisů (dále jen „</w:t>
      </w:r>
      <w:r w:rsidRPr="00C27FC5">
        <w:rPr>
          <w:rFonts w:ascii="Calibri" w:eastAsia="Times New Roman" w:hAnsi="Calibri" w:cs="Calibri"/>
          <w:i/>
          <w:color w:val="000000"/>
          <w:sz w:val="18"/>
          <w:szCs w:val="18"/>
          <w:lang w:eastAsia="cs-CZ"/>
        </w:rPr>
        <w:t>zákon o rozpočtových pravidlech</w:t>
      </w:r>
      <w:r w:rsidRPr="00C27FC5">
        <w:rPr>
          <w:rFonts w:ascii="Calibri" w:eastAsia="Times New Roman" w:hAnsi="Calibri" w:cs="Calibri"/>
          <w:color w:val="000000"/>
          <w:sz w:val="18"/>
          <w:szCs w:val="18"/>
          <w:lang w:eastAsia="cs-CZ"/>
        </w:rPr>
        <w:t xml:space="preserve">“). </w:t>
      </w:r>
    </w:p>
    <w:p w14:paraId="0CC8FF62" w14:textId="77777777" w:rsidR="00C27FC5" w:rsidRPr="00C27FC5" w:rsidRDefault="00C27FC5" w:rsidP="00487586">
      <w:pPr>
        <w:numPr>
          <w:ilvl w:val="0"/>
          <w:numId w:val="12"/>
        </w:numPr>
        <w:spacing w:after="5" w:line="276" w:lineRule="auto"/>
        <w:ind w:right="1" w:hanging="36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Zákon č. 89/2012 Sb., občanský zákoník, ve znění pozdějších předpisů (dále jen </w:t>
      </w:r>
    </w:p>
    <w:p w14:paraId="15FA094D" w14:textId="77777777" w:rsidR="00C27FC5" w:rsidRPr="00C27FC5" w:rsidRDefault="00C27FC5" w:rsidP="00C27FC5">
      <w:pPr>
        <w:spacing w:after="0" w:line="276" w:lineRule="auto"/>
        <w:ind w:left="1222"/>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w:t>
      </w:r>
      <w:r w:rsidRPr="00C27FC5">
        <w:rPr>
          <w:rFonts w:ascii="Calibri" w:eastAsia="Times New Roman" w:hAnsi="Calibri" w:cs="Calibri"/>
          <w:i/>
          <w:color w:val="000000"/>
          <w:sz w:val="18"/>
          <w:szCs w:val="18"/>
          <w:lang w:eastAsia="cs-CZ"/>
        </w:rPr>
        <w:t>občanský zákoník</w:t>
      </w:r>
      <w:r w:rsidRPr="00C27FC5">
        <w:rPr>
          <w:rFonts w:ascii="Calibri" w:eastAsia="Times New Roman" w:hAnsi="Calibri" w:cs="Calibri"/>
          <w:color w:val="000000"/>
          <w:sz w:val="18"/>
          <w:szCs w:val="18"/>
          <w:lang w:eastAsia="cs-CZ"/>
        </w:rPr>
        <w:t>“ nebo „</w:t>
      </w:r>
      <w:r w:rsidRPr="00C27FC5">
        <w:rPr>
          <w:rFonts w:ascii="Calibri" w:eastAsia="Times New Roman" w:hAnsi="Calibri" w:cs="Calibri"/>
          <w:i/>
          <w:color w:val="000000"/>
          <w:sz w:val="18"/>
          <w:szCs w:val="18"/>
          <w:lang w:eastAsia="cs-CZ"/>
        </w:rPr>
        <w:t>ObčZ</w:t>
      </w:r>
      <w:r w:rsidRPr="00C27FC5">
        <w:rPr>
          <w:rFonts w:ascii="Calibri" w:eastAsia="Times New Roman" w:hAnsi="Calibri" w:cs="Calibri"/>
          <w:color w:val="000000"/>
          <w:sz w:val="18"/>
          <w:szCs w:val="18"/>
          <w:lang w:eastAsia="cs-CZ"/>
        </w:rPr>
        <w:t xml:space="preserve">“).  </w:t>
      </w:r>
    </w:p>
    <w:p w14:paraId="34439961" w14:textId="77777777" w:rsidR="00C27FC5" w:rsidRPr="00C27FC5" w:rsidRDefault="00C27FC5" w:rsidP="00487586">
      <w:pPr>
        <w:numPr>
          <w:ilvl w:val="0"/>
          <w:numId w:val="12"/>
        </w:numPr>
        <w:spacing w:after="5" w:line="276" w:lineRule="auto"/>
        <w:ind w:right="1" w:hanging="36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Nařízení vlády č. 351/2013 Sb., kterým se určuje výše úroků z prodlení a nákladů spojených s uplatněním pohledávky, určuje odměnu likvidátora, likvidačního správce a člena orgánu právnické osoby jmenovaného soudem a upravují některých otázky Obchodní věstníku a veřejných rejstříků právnických a fyzických osob v platném znění (dále jen „nařízení vlády č. 351/2013 Sb.“). </w:t>
      </w:r>
    </w:p>
    <w:p w14:paraId="205FDFE1" w14:textId="77777777" w:rsidR="00C27FC5" w:rsidRPr="00C27FC5" w:rsidRDefault="00C27FC5" w:rsidP="00C27FC5">
      <w:pPr>
        <w:spacing w:after="256" w:line="276" w:lineRule="auto"/>
        <w:ind w:left="1222"/>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191C72B6" w14:textId="77777777" w:rsidR="00C27FC5" w:rsidRPr="00C27FC5" w:rsidRDefault="00C27FC5" w:rsidP="00C27FC5">
      <w:pPr>
        <w:keepNext/>
        <w:keepLines/>
        <w:spacing w:after="248" w:line="276" w:lineRule="auto"/>
        <w:ind w:left="1092" w:hanging="826"/>
        <w:jc w:val="both"/>
        <w:outlineLvl w:val="0"/>
        <w:rPr>
          <w:rFonts w:ascii="Calibri" w:eastAsia="Times New Roman" w:hAnsi="Calibri" w:cs="Calibri"/>
          <w:b/>
          <w:color w:val="000000"/>
          <w:sz w:val="18"/>
          <w:szCs w:val="18"/>
          <w:lang w:eastAsia="cs-CZ"/>
        </w:rPr>
      </w:pPr>
      <w:bookmarkStart w:id="12" w:name="_Toc488673302"/>
      <w:r w:rsidRPr="00C27FC5">
        <w:rPr>
          <w:rFonts w:ascii="Calibri" w:eastAsia="Times New Roman" w:hAnsi="Calibri" w:cs="Calibri"/>
          <w:b/>
          <w:color w:val="000000"/>
          <w:sz w:val="18"/>
          <w:szCs w:val="18"/>
          <w:lang w:eastAsia="cs-CZ"/>
        </w:rPr>
        <w:lastRenderedPageBreak/>
        <w:t>Některá ustanovení o zániku závazku, jeho splnění a odpovědnosti</w:t>
      </w:r>
      <w:bookmarkEnd w:id="12"/>
      <w:r w:rsidRPr="00C27FC5">
        <w:rPr>
          <w:rFonts w:ascii="Calibri" w:eastAsia="Times New Roman" w:hAnsi="Calibri" w:cs="Calibri"/>
          <w:b/>
          <w:color w:val="000000"/>
          <w:sz w:val="18"/>
          <w:szCs w:val="18"/>
          <w:lang w:eastAsia="cs-CZ"/>
        </w:rPr>
        <w:t xml:space="preserve"> </w:t>
      </w:r>
    </w:p>
    <w:p w14:paraId="73697DE4" w14:textId="77777777" w:rsidR="00C27FC5" w:rsidRPr="00C27FC5" w:rsidRDefault="00C27FC5" w:rsidP="00487586">
      <w:pPr>
        <w:numPr>
          <w:ilvl w:val="0"/>
          <w:numId w:val="13"/>
        </w:numPr>
        <w:spacing w:after="117"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 </w:t>
      </w:r>
    </w:p>
    <w:p w14:paraId="310F8280" w14:textId="77777777" w:rsidR="00C27FC5" w:rsidRPr="00C27FC5" w:rsidRDefault="00C27FC5" w:rsidP="00487586">
      <w:pPr>
        <w:numPr>
          <w:ilvl w:val="0"/>
          <w:numId w:val="13"/>
        </w:numPr>
        <w:spacing w:after="117"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Úroky z prodlení s úhradou peněžitého plnění ze strany NNH mohou být dohodnuty maximálně ve výši stanovené v nařízení vlády č. 351/2013 Sb. Úroky dohodnuté ve Smlouvě nad rámec této výše se považují v rozsahu, ve kterém by výsledná částka úroků převyšovala částku stanovenou dle nařízení vlády č. 351/2013 Sb., za nesjednané. </w:t>
      </w:r>
    </w:p>
    <w:p w14:paraId="3B0E26EA" w14:textId="77777777" w:rsidR="00C27FC5" w:rsidRPr="00C27FC5" w:rsidRDefault="00C27FC5" w:rsidP="00487586">
      <w:pPr>
        <w:numPr>
          <w:ilvl w:val="0"/>
          <w:numId w:val="13"/>
        </w:numPr>
        <w:spacing w:after="117"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Jakékoli ustanovení Smlouvy o smluvních pokutách nezbavuje žádnou ze smluvních stran povinnosti k náhradě škody. Nevyplývá-li ze Smlouvy něco jiného, stanoví se smluvní pokuta z částky bez daně z přidané hodnoty. </w:t>
      </w:r>
    </w:p>
    <w:p w14:paraId="28F7C49D" w14:textId="77777777" w:rsidR="00C27FC5" w:rsidRPr="00C27FC5" w:rsidRDefault="00C27FC5" w:rsidP="00487586">
      <w:pPr>
        <w:numPr>
          <w:ilvl w:val="0"/>
          <w:numId w:val="13"/>
        </w:numPr>
        <w:spacing w:after="117"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NNH neakceptuje sjednání smluvních pokut ve svůj neprospěch, jakákoli ujednání o smluvních pokutách, které by měla hradit NNH, se tedy ve smlouvě považují za nesjednané. </w:t>
      </w:r>
    </w:p>
    <w:p w14:paraId="443E7A33" w14:textId="77777777" w:rsidR="00C27FC5" w:rsidRPr="00C27FC5" w:rsidRDefault="00C27FC5" w:rsidP="00487586">
      <w:pPr>
        <w:numPr>
          <w:ilvl w:val="0"/>
          <w:numId w:val="13"/>
        </w:numPr>
        <w:spacing w:after="117"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I v případě, kdy Dodavatel plní svůj závazek prostřednictví třetí osoby, zodpovídá za řádné a včasné splnění závazku stejně, jako by závazek plnil sám. </w:t>
      </w:r>
    </w:p>
    <w:p w14:paraId="2BE2D517" w14:textId="77777777" w:rsidR="00C27FC5" w:rsidRPr="00C27FC5" w:rsidRDefault="00C27FC5" w:rsidP="00487586">
      <w:pPr>
        <w:numPr>
          <w:ilvl w:val="0"/>
          <w:numId w:val="13"/>
        </w:numPr>
        <w:spacing w:after="117"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Práva vzniklá ze Smlouvy nesmí být postoupena bez předchozího písemného souhlasu NNH. Totéž platí o postoupení Smlouvy. </w:t>
      </w:r>
    </w:p>
    <w:p w14:paraId="38158FAC" w14:textId="77777777" w:rsidR="00C27FC5" w:rsidRPr="00C27FC5" w:rsidRDefault="00C27FC5" w:rsidP="00487586">
      <w:pPr>
        <w:numPr>
          <w:ilvl w:val="0"/>
          <w:numId w:val="13"/>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NNH nepřipouští sjednaní omezení rozsahu náhrady škody. Jakékoli vyloučení či omezení rozsahu náhrady škody způsobené výrobkem uvedené ve Smlouvě se považuje za nesjednané. </w:t>
      </w:r>
    </w:p>
    <w:p w14:paraId="2E359BCB" w14:textId="77777777" w:rsidR="00C27FC5" w:rsidRPr="00C27FC5" w:rsidRDefault="00C27FC5" w:rsidP="00C27FC5">
      <w:pPr>
        <w:spacing w:after="278"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59A67A36" w14:textId="77777777" w:rsidR="00C27FC5" w:rsidRPr="00C27FC5" w:rsidRDefault="00C27FC5" w:rsidP="00C27FC5">
      <w:pPr>
        <w:keepNext/>
        <w:keepLines/>
        <w:spacing w:after="248" w:line="276" w:lineRule="auto"/>
        <w:ind w:left="1092" w:hanging="920"/>
        <w:jc w:val="both"/>
        <w:outlineLvl w:val="0"/>
        <w:rPr>
          <w:rFonts w:ascii="Calibri" w:eastAsia="Times New Roman" w:hAnsi="Calibri" w:cs="Calibri"/>
          <w:b/>
          <w:color w:val="000000"/>
          <w:sz w:val="18"/>
          <w:szCs w:val="18"/>
          <w:lang w:eastAsia="cs-CZ"/>
        </w:rPr>
      </w:pPr>
      <w:bookmarkStart w:id="13" w:name="_Toc488673303"/>
      <w:r w:rsidRPr="00C27FC5">
        <w:rPr>
          <w:rFonts w:ascii="Calibri" w:eastAsia="Times New Roman" w:hAnsi="Calibri" w:cs="Calibri"/>
          <w:b/>
          <w:color w:val="000000"/>
          <w:sz w:val="18"/>
          <w:szCs w:val="18"/>
          <w:lang w:eastAsia="cs-CZ"/>
        </w:rPr>
        <w:t>Práva NNH dle zákona o majetku ČR</w:t>
      </w:r>
      <w:bookmarkEnd w:id="13"/>
      <w:r w:rsidRPr="00C27FC5">
        <w:rPr>
          <w:rFonts w:ascii="Calibri" w:eastAsia="Times New Roman" w:hAnsi="Calibri" w:cs="Calibri"/>
          <w:b/>
          <w:color w:val="000000"/>
          <w:sz w:val="18"/>
          <w:szCs w:val="18"/>
          <w:lang w:eastAsia="cs-CZ"/>
        </w:rPr>
        <w:t xml:space="preserve"> </w:t>
      </w:r>
    </w:p>
    <w:p w14:paraId="62AB3DAF" w14:textId="77777777" w:rsidR="00C27FC5" w:rsidRPr="00C27FC5" w:rsidRDefault="00C27FC5" w:rsidP="00C27FC5">
      <w:pPr>
        <w:spacing w:after="5" w:line="276" w:lineRule="auto"/>
        <w:ind w:left="1224" w:hanging="36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1.</w:t>
      </w:r>
      <w:r w:rsidRPr="00C27FC5">
        <w:rPr>
          <w:rFonts w:ascii="Calibri" w:eastAsia="Arial" w:hAnsi="Calibri" w:cs="Calibri"/>
          <w:color w:val="000000"/>
          <w:sz w:val="18"/>
          <w:szCs w:val="18"/>
          <w:lang w:eastAsia="cs-CZ"/>
        </w:rPr>
        <w:t xml:space="preserve"> </w:t>
      </w:r>
      <w:r w:rsidRPr="00C27FC5">
        <w:rPr>
          <w:rFonts w:ascii="Calibri" w:eastAsia="Times New Roman" w:hAnsi="Calibri" w:cs="Calibri"/>
          <w:color w:val="000000"/>
          <w:sz w:val="18"/>
          <w:szCs w:val="18"/>
          <w:lang w:eastAsia="cs-CZ"/>
        </w:rPr>
        <w:t xml:space="preserve">Jakékoli zřízení zástavního práva k věci NNH se považuje za nesjednané s ohledem na ustanovení § 25 zákona o majetku ČR. </w:t>
      </w:r>
    </w:p>
    <w:p w14:paraId="5E6A5B22" w14:textId="77777777" w:rsidR="00C27FC5" w:rsidRPr="00C27FC5" w:rsidRDefault="00C27FC5" w:rsidP="00C27FC5">
      <w:pPr>
        <w:spacing w:after="275" w:line="276" w:lineRule="auto"/>
        <w:ind w:left="123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31370B28" w14:textId="77777777" w:rsidR="00C27FC5" w:rsidRPr="00C27FC5" w:rsidRDefault="00C27FC5" w:rsidP="00C27FC5">
      <w:pPr>
        <w:keepNext/>
        <w:keepLines/>
        <w:spacing w:after="248" w:line="276" w:lineRule="auto"/>
        <w:ind w:left="1077" w:hanging="905"/>
        <w:jc w:val="both"/>
        <w:outlineLvl w:val="0"/>
        <w:rPr>
          <w:rFonts w:ascii="Calibri" w:eastAsia="Times New Roman" w:hAnsi="Calibri" w:cs="Calibri"/>
          <w:b/>
          <w:color w:val="000000"/>
          <w:sz w:val="18"/>
          <w:szCs w:val="18"/>
          <w:lang w:eastAsia="cs-CZ"/>
        </w:rPr>
      </w:pPr>
      <w:bookmarkStart w:id="14" w:name="_Toc488673304"/>
      <w:r w:rsidRPr="00C27FC5">
        <w:rPr>
          <w:rFonts w:ascii="Calibri" w:eastAsia="Times New Roman" w:hAnsi="Calibri" w:cs="Calibri"/>
          <w:b/>
          <w:color w:val="000000"/>
          <w:sz w:val="18"/>
          <w:szCs w:val="18"/>
          <w:lang w:eastAsia="cs-CZ"/>
        </w:rPr>
        <w:t>Volba práva a prorogace</w:t>
      </w:r>
      <w:bookmarkEnd w:id="14"/>
      <w:r w:rsidRPr="00C27FC5">
        <w:rPr>
          <w:rFonts w:ascii="Calibri" w:eastAsia="Times New Roman" w:hAnsi="Calibri" w:cs="Calibri"/>
          <w:b/>
          <w:color w:val="000000"/>
          <w:sz w:val="18"/>
          <w:szCs w:val="18"/>
          <w:lang w:eastAsia="cs-CZ"/>
        </w:rPr>
        <w:t xml:space="preserve"> </w:t>
      </w:r>
    </w:p>
    <w:p w14:paraId="27B3D546" w14:textId="77777777" w:rsidR="00C27FC5" w:rsidRPr="00C27FC5" w:rsidRDefault="00C27FC5" w:rsidP="00487586">
      <w:pPr>
        <w:numPr>
          <w:ilvl w:val="0"/>
          <w:numId w:val="14"/>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Smluvní strany ve smyslu ustanovení § 85 zákona č. 91/2012 Sb., o mezinárodním právu soukromém, se dohodly na pravomoci soudů České republiky. </w:t>
      </w:r>
    </w:p>
    <w:p w14:paraId="3909ACCE" w14:textId="77777777" w:rsidR="00C27FC5" w:rsidRPr="00C27FC5" w:rsidRDefault="00C27FC5" w:rsidP="00C27FC5">
      <w:pPr>
        <w:spacing w:after="0"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43373486" w14:textId="77777777" w:rsidR="00C27FC5" w:rsidRPr="00C27FC5" w:rsidRDefault="00C27FC5" w:rsidP="00487586">
      <w:pPr>
        <w:numPr>
          <w:ilvl w:val="0"/>
          <w:numId w:val="14"/>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Smluvní strany se ve smyslu ustanovení § 87 odst. 1 zákona č. 91/2012 Sb., o mezinárodním právu soukromém, dohodly, že tato smlouva a práva a povinnosti z ní vyplývající se řídí a vykládají v souladu se zákony České republiky, zejména </w:t>
      </w:r>
    </w:p>
    <w:p w14:paraId="37E6E2C7" w14:textId="77777777" w:rsidR="00C27FC5" w:rsidRPr="00C27FC5" w:rsidRDefault="00C27FC5" w:rsidP="00C27FC5">
      <w:pPr>
        <w:spacing w:after="117" w:line="276" w:lineRule="auto"/>
        <w:ind w:left="1234"/>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 příslušnými ustanoveními občanského zákoníku. Ke kolizním ustanovením českého právního řádu se přitom nepřihlíží. </w:t>
      </w:r>
    </w:p>
    <w:p w14:paraId="2F96CDED" w14:textId="77777777" w:rsidR="00C27FC5" w:rsidRPr="00C27FC5" w:rsidRDefault="00C27FC5" w:rsidP="00487586">
      <w:pPr>
        <w:numPr>
          <w:ilvl w:val="0"/>
          <w:numId w:val="14"/>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Smluvní strany se zavazují řešit veškeré spory smírnou cestou. Nedojde-li ke smírnému vyřešení sporu, bude spor předložen k projednání a rozhodnutí příslušnému soudu. Smluvní strany se proto dohodly na ujednání o místní příslušnosti (prorogace) v následujícím znění: </w:t>
      </w:r>
    </w:p>
    <w:p w14:paraId="4766CA93" w14:textId="77777777" w:rsidR="00C27FC5" w:rsidRPr="00C27FC5" w:rsidRDefault="00C27FC5" w:rsidP="00C27FC5">
      <w:pPr>
        <w:spacing w:after="5" w:line="276" w:lineRule="auto"/>
        <w:ind w:left="1234"/>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Smluvní strany se ve smyslu ustanovení § 89a zákona č. 99/1963 Sb., občanský soudní řád, dohodly, že místně příslušným soudem k projednání a rozhodnutí sporů a jiných právních věcí vyplývajících z touto smlouvou založeného právního vztahu, jakož i ze vztahů s tímto vztahem souvisejících, je v případě, že k projednání je věcně příslušný krajský soud, Městský soud v Praze, a v případě, že k projednání je věcně příslušný okresní soud, Obvodní soud pro Prahu 5. </w:t>
      </w:r>
    </w:p>
    <w:p w14:paraId="4D763C33" w14:textId="77777777" w:rsidR="00C27FC5" w:rsidRPr="00C27FC5" w:rsidRDefault="00C27FC5" w:rsidP="00C27FC5">
      <w:pPr>
        <w:spacing w:after="278"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4BF03F5A" w14:textId="77777777" w:rsidR="00C27FC5" w:rsidRPr="00C27FC5" w:rsidRDefault="00C27FC5" w:rsidP="00C27FC5">
      <w:pPr>
        <w:keepNext/>
        <w:keepLines/>
        <w:spacing w:after="248" w:line="276" w:lineRule="auto"/>
        <w:ind w:left="1093" w:hanging="812"/>
        <w:jc w:val="both"/>
        <w:outlineLvl w:val="0"/>
        <w:rPr>
          <w:rFonts w:ascii="Calibri" w:eastAsia="Times New Roman" w:hAnsi="Calibri" w:cs="Calibri"/>
          <w:b/>
          <w:color w:val="000000"/>
          <w:sz w:val="18"/>
          <w:szCs w:val="18"/>
          <w:lang w:eastAsia="cs-CZ"/>
        </w:rPr>
      </w:pPr>
      <w:bookmarkStart w:id="15" w:name="_Toc488673305"/>
      <w:r w:rsidRPr="00C27FC5">
        <w:rPr>
          <w:rFonts w:ascii="Calibri" w:eastAsia="Times New Roman" w:hAnsi="Calibri" w:cs="Calibri"/>
          <w:b/>
          <w:color w:val="000000"/>
          <w:sz w:val="18"/>
          <w:szCs w:val="18"/>
          <w:lang w:eastAsia="cs-CZ"/>
        </w:rPr>
        <w:lastRenderedPageBreak/>
        <w:t>Některá ustanovení o fakturaci</w:t>
      </w:r>
      <w:bookmarkEnd w:id="15"/>
      <w:r w:rsidRPr="00C27FC5">
        <w:rPr>
          <w:rFonts w:ascii="Calibri" w:eastAsia="Times New Roman" w:hAnsi="Calibri" w:cs="Calibri"/>
          <w:b/>
          <w:color w:val="000000"/>
          <w:sz w:val="18"/>
          <w:szCs w:val="18"/>
          <w:lang w:eastAsia="cs-CZ"/>
        </w:rPr>
        <w:t xml:space="preserve"> </w:t>
      </w:r>
    </w:p>
    <w:p w14:paraId="5ABB3CD4" w14:textId="77777777" w:rsidR="00C27FC5" w:rsidRPr="00C27FC5" w:rsidRDefault="00C27FC5" w:rsidP="00487586">
      <w:pPr>
        <w:numPr>
          <w:ilvl w:val="0"/>
          <w:numId w:val="15"/>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NNH je povinna zaplatit Dodavateli za plnění vždy až na základě vystavení a doručení daňového dokladu – faktury. Dodavatel je povinen vystavit daňový doklad (fakturu) do 15 dnů po uskutečnění zdanitelného plnění a nejpozději do dvou pracovních dnů po jeho vystavení doručit tuto fakturu na adresu sídla NNH. V případě opožděného zaslání daňového dokladu (faktury) je Dodavatel povinen NNH uhradit vzniklou škodu v plné výši. To se vztahuje zejména na případy přenesené daňové povinnosti, kdy by NNH byla v důsledku nevystavení faktury řádně a včas v prodlení s odvedením daně. </w:t>
      </w:r>
    </w:p>
    <w:p w14:paraId="5C1988C0" w14:textId="77777777" w:rsidR="00C27FC5" w:rsidRPr="00C27FC5" w:rsidRDefault="00C27FC5" w:rsidP="00487586">
      <w:pPr>
        <w:numPr>
          <w:ilvl w:val="0"/>
          <w:numId w:val="15"/>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Účetní daňové doklady (faktury) musejí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V případě, že zaslaná faktura nebude mít náležitosti daňového dokladu nebo na ní nebudou uvedeny údaje specifikované ve Smlouvě, nebo bude jinak neúplná či nesprávná, je jí NNH oprávněna vrátit k opravě či doplnění, nejpozději však do 20 pracovních dnů od data jejího převzetí. Tím se NNH nedostává do prodlení s úhradou kupní ceny. V takovém případě začíná běžet lhůta splatnosti až dnem doručení opravené faktury NNH za obdobných podmínek jako u původní faktury. </w:t>
      </w:r>
    </w:p>
    <w:p w14:paraId="5AA011A1" w14:textId="77777777" w:rsidR="00C27FC5" w:rsidRPr="00C27FC5" w:rsidRDefault="00C27FC5" w:rsidP="00487586">
      <w:pPr>
        <w:numPr>
          <w:ilvl w:val="0"/>
          <w:numId w:val="15"/>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Nedílnou součástí daňového dokladu (faktury) musí být potvrzení o řádném splnění závazku (dle typu plnění zejm. dodací list, předávací protokol díla, potvrzený výkaz práce, zjišťovací protokol apod.), který musí být potvrzen osobou oprávněnou jednat za </w:t>
      </w:r>
    </w:p>
    <w:p w14:paraId="49D12C33" w14:textId="77777777" w:rsidR="00C27FC5" w:rsidRPr="00C27FC5" w:rsidRDefault="00C27FC5" w:rsidP="00C27FC5">
      <w:pPr>
        <w:spacing w:after="5" w:line="276" w:lineRule="auto"/>
        <w:ind w:left="1234"/>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NNH. </w:t>
      </w:r>
    </w:p>
    <w:p w14:paraId="78996AC7" w14:textId="77777777" w:rsidR="00C27FC5" w:rsidRPr="00C27FC5" w:rsidRDefault="00C27FC5" w:rsidP="00487586">
      <w:pPr>
        <w:numPr>
          <w:ilvl w:val="0"/>
          <w:numId w:val="15"/>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Splatnost musí být stanovena na 60 dní ode dne doručení řádného daňového dokladu (faktury) do NNH.  </w:t>
      </w:r>
    </w:p>
    <w:p w14:paraId="30A254B9" w14:textId="77777777" w:rsidR="00C27FC5" w:rsidRPr="00C27FC5" w:rsidRDefault="00C27FC5" w:rsidP="00487586">
      <w:pPr>
        <w:numPr>
          <w:ilvl w:val="0"/>
          <w:numId w:val="15"/>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Není-li ve Smlouvě dohodnuto jinak, NNH uhradí faktury bezhotovostně převodem na účet druhé smluvní strany. </w:t>
      </w:r>
      <w:r w:rsidRPr="00C27FC5">
        <w:rPr>
          <w:rFonts w:ascii="Calibri" w:eastAsia="Times New Roman" w:hAnsi="Calibri" w:cs="Calibri"/>
          <w:b/>
          <w:color w:val="000000"/>
          <w:sz w:val="18"/>
          <w:szCs w:val="18"/>
          <w:lang w:eastAsia="cs-CZ"/>
        </w:rPr>
        <w:t xml:space="preserve"> </w:t>
      </w:r>
    </w:p>
    <w:p w14:paraId="5E98FD92" w14:textId="77777777" w:rsidR="00C27FC5" w:rsidRPr="00C27FC5" w:rsidRDefault="00C27FC5" w:rsidP="00C27FC5">
      <w:pPr>
        <w:spacing w:after="273" w:line="276" w:lineRule="auto"/>
        <w:ind w:left="1234"/>
        <w:rPr>
          <w:rFonts w:ascii="Calibri" w:eastAsia="Times New Roman" w:hAnsi="Calibri" w:cs="Calibri"/>
          <w:color w:val="000000"/>
          <w:sz w:val="18"/>
          <w:szCs w:val="18"/>
          <w:lang w:eastAsia="cs-CZ"/>
        </w:rPr>
      </w:pPr>
      <w:r w:rsidRPr="00C27FC5">
        <w:rPr>
          <w:rFonts w:ascii="Calibri" w:eastAsia="Times New Roman" w:hAnsi="Calibri" w:cs="Calibri"/>
          <w:b/>
          <w:color w:val="000000"/>
          <w:sz w:val="18"/>
          <w:szCs w:val="18"/>
          <w:lang w:eastAsia="cs-CZ"/>
        </w:rPr>
        <w:t xml:space="preserve"> </w:t>
      </w:r>
    </w:p>
    <w:p w14:paraId="2E44A501" w14:textId="77777777" w:rsidR="00C27FC5" w:rsidRPr="00C27FC5" w:rsidRDefault="00C27FC5" w:rsidP="00C27FC5">
      <w:pPr>
        <w:keepNext/>
        <w:keepLines/>
        <w:spacing w:after="248" w:line="276" w:lineRule="auto"/>
        <w:ind w:left="1077" w:hanging="905"/>
        <w:jc w:val="both"/>
        <w:outlineLvl w:val="0"/>
        <w:rPr>
          <w:rFonts w:ascii="Calibri" w:eastAsia="Times New Roman" w:hAnsi="Calibri" w:cs="Calibri"/>
          <w:b/>
          <w:color w:val="000000"/>
          <w:sz w:val="18"/>
          <w:szCs w:val="18"/>
          <w:lang w:eastAsia="cs-CZ"/>
        </w:rPr>
      </w:pPr>
      <w:bookmarkStart w:id="16" w:name="_Toc488673306"/>
      <w:r w:rsidRPr="00C27FC5">
        <w:rPr>
          <w:rFonts w:ascii="Calibri" w:eastAsia="Times New Roman" w:hAnsi="Calibri" w:cs="Calibri"/>
          <w:b/>
          <w:color w:val="000000"/>
          <w:sz w:val="18"/>
          <w:szCs w:val="18"/>
          <w:lang w:eastAsia="cs-CZ"/>
        </w:rPr>
        <w:t>Ustanovení vztahující se koupi věci</w:t>
      </w:r>
      <w:bookmarkEnd w:id="16"/>
      <w:r w:rsidRPr="00C27FC5">
        <w:rPr>
          <w:rFonts w:ascii="Calibri" w:eastAsia="Times New Roman" w:hAnsi="Calibri" w:cs="Calibri"/>
          <w:b/>
          <w:color w:val="000000"/>
          <w:sz w:val="18"/>
          <w:szCs w:val="18"/>
          <w:lang w:eastAsia="cs-CZ"/>
        </w:rPr>
        <w:t xml:space="preserve"> </w:t>
      </w:r>
    </w:p>
    <w:p w14:paraId="1A7ADE79" w14:textId="77777777" w:rsidR="00C27FC5" w:rsidRPr="00C27FC5" w:rsidRDefault="00C27FC5" w:rsidP="00487586">
      <w:pPr>
        <w:numPr>
          <w:ilvl w:val="0"/>
          <w:numId w:val="16"/>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Pokud je předmětem Smlouvy koupě věci, k přechodu vlastnického práva k věci dochází jejím písemným protokolárním předáním NNH. </w:t>
      </w:r>
    </w:p>
    <w:p w14:paraId="76B589E4" w14:textId="77777777" w:rsidR="00C27FC5" w:rsidRPr="00C27FC5" w:rsidRDefault="00C27FC5" w:rsidP="00487586">
      <w:pPr>
        <w:numPr>
          <w:ilvl w:val="0"/>
          <w:numId w:val="16"/>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Dodavatel (prodávající) v takovém případě poskytuje záruku za jakost ve smyslu § 2113 ObčZ, přičemž věc si musí po záruční dobu zachovat obvyklé vlastnosti a vlastnosti, které jsou vymíněny ve Smlouvě. Záruční doba je zpravidla sjednána ve Smlouvě, a to i odchylně od těchto OP, přičemž není-li ve Smlouvě tato doba sjednána, nebo nenabízíli Dodavatel svým prohlášením záruku delší, poskytuje Dodavatel záruku za jakost: </w:t>
      </w:r>
    </w:p>
    <w:p w14:paraId="2D77EA0A" w14:textId="77777777" w:rsidR="00C27FC5" w:rsidRPr="00C27FC5" w:rsidRDefault="00C27FC5" w:rsidP="00487586">
      <w:pPr>
        <w:numPr>
          <w:ilvl w:val="1"/>
          <w:numId w:val="16"/>
        </w:numPr>
        <w:spacing w:after="5" w:line="276" w:lineRule="auto"/>
        <w:ind w:right="1" w:hanging="286"/>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u věcí, u kterých je výrobcem stanovena doba použitelnosti (zejm. exspirace léčiv či zdravotnických prostředků), po dobu této exspirace, </w:t>
      </w:r>
    </w:p>
    <w:p w14:paraId="6C5A3EFF" w14:textId="77777777" w:rsidR="00C27FC5" w:rsidRPr="00C27FC5" w:rsidRDefault="00C27FC5" w:rsidP="00487586">
      <w:pPr>
        <w:numPr>
          <w:ilvl w:val="1"/>
          <w:numId w:val="16"/>
        </w:numPr>
        <w:spacing w:after="5" w:line="276" w:lineRule="auto"/>
        <w:ind w:right="1" w:hanging="286"/>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u movitých věcí, u nichž není výrobcem stanovena doba použitelnosti, a které nepodléhají rychlé zkáze, 24 měsíců, </w:t>
      </w:r>
    </w:p>
    <w:p w14:paraId="5D2FB3C5" w14:textId="77777777" w:rsidR="00C27FC5" w:rsidRPr="00C27FC5" w:rsidRDefault="00C27FC5" w:rsidP="00487586">
      <w:pPr>
        <w:numPr>
          <w:ilvl w:val="1"/>
          <w:numId w:val="16"/>
        </w:numPr>
        <w:spacing w:after="5" w:line="276" w:lineRule="auto"/>
        <w:ind w:right="1" w:hanging="286"/>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u movitých věcí, u nichž není výrobcem stanovena doba použitelnosti, a které podléhají rychlé zkáze, se záruka neposkytuje, nevyplývá-li z právního předpisu, nebo není-li ujednána ve Smlouvě, </w:t>
      </w:r>
    </w:p>
    <w:p w14:paraId="0A108594" w14:textId="77777777" w:rsidR="00C27FC5" w:rsidRPr="00C27FC5" w:rsidRDefault="00C27FC5" w:rsidP="00487586">
      <w:pPr>
        <w:numPr>
          <w:ilvl w:val="1"/>
          <w:numId w:val="16"/>
        </w:numPr>
        <w:spacing w:after="5" w:line="276" w:lineRule="auto"/>
        <w:ind w:right="1" w:hanging="286"/>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u nemovitých věcí 5 let. </w:t>
      </w:r>
    </w:p>
    <w:p w14:paraId="36E13FA8" w14:textId="77777777" w:rsidR="00C27FC5" w:rsidRPr="00C27FC5" w:rsidRDefault="00C27FC5" w:rsidP="00487586">
      <w:pPr>
        <w:numPr>
          <w:ilvl w:val="0"/>
          <w:numId w:val="16"/>
        </w:numPr>
        <w:spacing w:after="169"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Pokud je předmětem koupě hromadně vyráběný léčivý přípravek, požaduje NNH aby doba exspirace ode dne dodání činila alespoň 6 měsíců. Od tohoto ujednání se lze ve Smlouvě odchýlit. </w:t>
      </w:r>
    </w:p>
    <w:p w14:paraId="7A53CF0B" w14:textId="77777777" w:rsidR="00C27FC5" w:rsidRPr="00C27FC5" w:rsidRDefault="00C27FC5" w:rsidP="00C27FC5">
      <w:pPr>
        <w:spacing w:after="256"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7C3ACFFB" w14:textId="77777777" w:rsidR="00C27FC5" w:rsidRPr="00C27FC5" w:rsidRDefault="00C27FC5" w:rsidP="00C27FC5">
      <w:pPr>
        <w:keepNext/>
        <w:keepLines/>
        <w:spacing w:after="248" w:line="276" w:lineRule="auto"/>
        <w:ind w:left="1093" w:hanging="999"/>
        <w:jc w:val="both"/>
        <w:outlineLvl w:val="0"/>
        <w:rPr>
          <w:rFonts w:ascii="Calibri" w:eastAsia="Times New Roman" w:hAnsi="Calibri" w:cs="Calibri"/>
          <w:b/>
          <w:color w:val="000000"/>
          <w:sz w:val="18"/>
          <w:szCs w:val="18"/>
          <w:lang w:eastAsia="cs-CZ"/>
        </w:rPr>
      </w:pPr>
      <w:bookmarkStart w:id="17" w:name="_Toc488673307"/>
      <w:r w:rsidRPr="00C27FC5">
        <w:rPr>
          <w:rFonts w:ascii="Calibri" w:eastAsia="Times New Roman" w:hAnsi="Calibri" w:cs="Calibri"/>
          <w:b/>
          <w:color w:val="000000"/>
          <w:sz w:val="18"/>
          <w:szCs w:val="18"/>
          <w:lang w:eastAsia="cs-CZ"/>
        </w:rPr>
        <w:t>Ustanovení o licencích a autorských částech předmětu plnění</w:t>
      </w:r>
      <w:bookmarkEnd w:id="17"/>
      <w:r w:rsidRPr="00C27FC5">
        <w:rPr>
          <w:rFonts w:ascii="Calibri" w:eastAsia="Times New Roman" w:hAnsi="Calibri" w:cs="Calibri"/>
          <w:b/>
          <w:color w:val="000000"/>
          <w:sz w:val="18"/>
          <w:szCs w:val="18"/>
          <w:lang w:eastAsia="cs-CZ"/>
        </w:rPr>
        <w:t xml:space="preserve"> </w:t>
      </w:r>
    </w:p>
    <w:p w14:paraId="7749BB1A" w14:textId="77777777" w:rsidR="00C27FC5" w:rsidRPr="00C27FC5" w:rsidRDefault="00C27FC5" w:rsidP="00487586">
      <w:pPr>
        <w:numPr>
          <w:ilvl w:val="0"/>
          <w:numId w:val="17"/>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Pokud je při plnění Smlouvy předáno, zpřístupněno či jinak NNH nabídnuto dílo chráněné právy k duševnímu vlastnictví (dále jen „duševní vlastnictví“), druhá smluvní strana odpovídá za to, že NNH bude oprávněna duševní vlastnictví užívat, a to bez časového a územního omezení a minimálně v rozsahu nezbytném pro řádné užívání předmětu této smlouvy k účelu, který je ve smlouvě stanoven a není-li účel stanoven, pak k účelu obvyklému (dále jen „účel převodu práv k duševnímu vlastnictví“). </w:t>
      </w:r>
    </w:p>
    <w:p w14:paraId="629BDC70" w14:textId="77777777" w:rsidR="00C27FC5" w:rsidRPr="00C27FC5" w:rsidRDefault="00C27FC5" w:rsidP="00487586">
      <w:pPr>
        <w:numPr>
          <w:ilvl w:val="0"/>
          <w:numId w:val="17"/>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lastRenderedPageBreak/>
        <w:t xml:space="preserve">Za tímto účelem druhá smluvní strana: </w:t>
      </w:r>
    </w:p>
    <w:p w14:paraId="1064A89B" w14:textId="77777777" w:rsidR="00C27FC5" w:rsidRPr="00C27FC5" w:rsidRDefault="00C27FC5" w:rsidP="00487586">
      <w:pPr>
        <w:numPr>
          <w:ilvl w:val="1"/>
          <w:numId w:val="17"/>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uděluje NNH k duševnímu vlastnictví časově a územně neomezenou licenci opravňující NNH užívat duševní vlastnictví v nejširším možném rozsahu, v jakém lze podle právních předpisů oprávnění k užití udělit. V pochybnostech bude pojem užití vykládán jako užití v rozsahu umožněném autorským zákonem</w:t>
      </w:r>
      <w:r w:rsidRPr="00C27FC5">
        <w:rPr>
          <w:rFonts w:ascii="Calibri" w:eastAsia="Times New Roman" w:hAnsi="Calibri" w:cs="Calibri"/>
          <w:b/>
          <w:color w:val="000000"/>
          <w:sz w:val="18"/>
          <w:szCs w:val="18"/>
          <w:vertAlign w:val="superscript"/>
          <w:lang w:eastAsia="cs-CZ"/>
        </w:rPr>
        <w:footnoteReference w:id="1"/>
      </w:r>
      <w:r w:rsidRPr="00C27FC5">
        <w:rPr>
          <w:rFonts w:ascii="Calibri" w:eastAsia="Times New Roman" w:hAnsi="Calibri" w:cs="Calibri"/>
          <w:color w:val="000000"/>
          <w:sz w:val="18"/>
          <w:szCs w:val="18"/>
          <w:lang w:eastAsia="cs-CZ"/>
        </w:rPr>
        <w:t xml:space="preserve">. Licence se poskytuje za cenu ve Smlouvě výslovně ujednanou, přičemž pro vyloučení pochybností se stanoví, že není-li sjednána cena licence v této Smlouvě, pak se poskytuje licence bezúplatně. Druhá smluvní strana souhlasí s poskytnutím podlicence i s převodem licence NNH na třetí osobu.  </w:t>
      </w:r>
    </w:p>
    <w:p w14:paraId="00A4F5B7" w14:textId="77777777" w:rsidR="00C27FC5" w:rsidRPr="00C27FC5" w:rsidRDefault="00C27FC5" w:rsidP="00487586">
      <w:pPr>
        <w:numPr>
          <w:ilvl w:val="1"/>
          <w:numId w:val="17"/>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v rozsahu, ve kterém není oprávněna poskytnout licenci podle bodu (a), zajistí NNH oprávnění k užití duševního vlastnictví (dále také jen „licenci“) v rozsahu a za podmínek v předchozím bodě uvedených</w:t>
      </w:r>
      <w:r w:rsidRPr="00C27FC5">
        <w:rPr>
          <w:rFonts w:ascii="Calibri" w:eastAsia="Times New Roman" w:hAnsi="Calibri" w:cs="Calibri"/>
          <w:b/>
          <w:color w:val="000000"/>
          <w:sz w:val="18"/>
          <w:szCs w:val="18"/>
          <w:vertAlign w:val="superscript"/>
          <w:lang w:eastAsia="cs-CZ"/>
        </w:rPr>
        <w:footnoteReference w:id="2"/>
      </w:r>
      <w:r w:rsidRPr="00C27FC5">
        <w:rPr>
          <w:rFonts w:ascii="Calibri" w:eastAsia="Times New Roman" w:hAnsi="Calibri" w:cs="Calibri"/>
          <w:color w:val="000000"/>
          <w:sz w:val="18"/>
          <w:szCs w:val="18"/>
          <w:lang w:eastAsia="cs-CZ"/>
        </w:rPr>
        <w:t xml:space="preserve">. </w:t>
      </w:r>
    </w:p>
    <w:p w14:paraId="537311D2" w14:textId="77777777" w:rsidR="00C27FC5" w:rsidRPr="00C27FC5" w:rsidRDefault="00C27FC5" w:rsidP="00C27FC5">
      <w:pPr>
        <w:spacing w:after="3" w:line="276" w:lineRule="auto"/>
        <w:ind w:left="123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007F82CE" w14:textId="77777777" w:rsidR="00C27FC5" w:rsidRPr="00C27FC5" w:rsidRDefault="00C27FC5" w:rsidP="00487586">
      <w:pPr>
        <w:numPr>
          <w:ilvl w:val="0"/>
          <w:numId w:val="17"/>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Nedovolují-li konkrétní omezení vyplývající z právních předpisů, či mezinárodních smluv udělení oprávnění k užití v rozsahu dle tohoto ustanovení, uděluje se licence v nejširším rozsahu, v jakém je to dle příslušných předpisů možné. Nebude-li dle tohoto ustanovení udělena licence v rozsahu, který je dostatečný pro dosažení účelu převodu práv k duševnímu vlastnictví, zavazuje se druhá smluvní strana provést bezodkladně právní jednání k udělení licence NNH v rozsahu odpovídajícímu tomuto účelu, a to za cenu, která je výslovně sjednána ve Smlouvě a není-li cena licence ve Smlouvě sjednána, pak bezúplatně.  </w:t>
      </w:r>
    </w:p>
    <w:p w14:paraId="36C9CBCA" w14:textId="77777777" w:rsidR="00C27FC5" w:rsidRPr="00C27FC5" w:rsidRDefault="00C27FC5" w:rsidP="00487586">
      <w:pPr>
        <w:numPr>
          <w:ilvl w:val="0"/>
          <w:numId w:val="17"/>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NNH není povinna duševní vlastnictví užívat ani nijak zhodnocovat. </w:t>
      </w:r>
    </w:p>
    <w:p w14:paraId="769BCBA3" w14:textId="77777777" w:rsidR="00C27FC5" w:rsidRPr="00C27FC5" w:rsidRDefault="00C27FC5" w:rsidP="00487586">
      <w:pPr>
        <w:numPr>
          <w:ilvl w:val="0"/>
          <w:numId w:val="17"/>
        </w:numPr>
        <w:spacing w:after="109"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Smlouva může obsahovat jinou úpravu licenčních ujednání, vždy však musí být poskytnuta licence v takové míře, která je nezbytná pro splnění účelu smlouvy. </w:t>
      </w:r>
    </w:p>
    <w:p w14:paraId="51E02DEA" w14:textId="77777777" w:rsidR="00C27FC5" w:rsidRPr="00C27FC5" w:rsidRDefault="00C27FC5" w:rsidP="00C27FC5">
      <w:pPr>
        <w:spacing w:after="256"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204E5409" w14:textId="77777777" w:rsidR="00C27FC5" w:rsidRPr="00C27FC5" w:rsidRDefault="00C27FC5" w:rsidP="00C27FC5">
      <w:pPr>
        <w:keepNext/>
        <w:keepLines/>
        <w:spacing w:after="248" w:line="276" w:lineRule="auto"/>
        <w:ind w:left="1092" w:hanging="1092"/>
        <w:jc w:val="both"/>
        <w:outlineLvl w:val="0"/>
        <w:rPr>
          <w:rFonts w:ascii="Calibri" w:eastAsia="Times New Roman" w:hAnsi="Calibri" w:cs="Calibri"/>
          <w:b/>
          <w:color w:val="000000"/>
          <w:sz w:val="18"/>
          <w:szCs w:val="18"/>
          <w:lang w:eastAsia="cs-CZ"/>
        </w:rPr>
      </w:pPr>
      <w:bookmarkStart w:id="18" w:name="_Toc488673308"/>
      <w:r w:rsidRPr="00C27FC5">
        <w:rPr>
          <w:rFonts w:ascii="Calibri" w:eastAsia="Times New Roman" w:hAnsi="Calibri" w:cs="Calibri"/>
          <w:b/>
          <w:color w:val="000000"/>
          <w:sz w:val="18"/>
          <w:szCs w:val="18"/>
          <w:lang w:eastAsia="cs-CZ"/>
        </w:rPr>
        <w:t>Ustanovení k zajištění kvality a předávání dat o kvalitě</w:t>
      </w:r>
      <w:bookmarkEnd w:id="18"/>
      <w:r w:rsidRPr="00C27FC5">
        <w:rPr>
          <w:rFonts w:ascii="Calibri" w:eastAsia="Times New Roman" w:hAnsi="Calibri" w:cs="Calibri"/>
          <w:b/>
          <w:color w:val="000000"/>
          <w:sz w:val="18"/>
          <w:szCs w:val="18"/>
          <w:lang w:eastAsia="cs-CZ"/>
        </w:rPr>
        <w:t xml:space="preserve"> </w:t>
      </w:r>
    </w:p>
    <w:p w14:paraId="77FA9191" w14:textId="77777777" w:rsidR="00C27FC5" w:rsidRPr="00C27FC5" w:rsidRDefault="00C27FC5" w:rsidP="00487586">
      <w:pPr>
        <w:numPr>
          <w:ilvl w:val="0"/>
          <w:numId w:val="18"/>
        </w:numPr>
        <w:spacing w:after="108"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Pokud je předmětem smlouvy dodávka či služba</w:t>
      </w:r>
      <w:r w:rsidRPr="00C27FC5">
        <w:rPr>
          <w:rFonts w:ascii="Calibri" w:eastAsia="Times New Roman" w:hAnsi="Calibri" w:cs="Calibri"/>
          <w:color w:val="000000"/>
          <w:sz w:val="18"/>
          <w:szCs w:val="18"/>
          <w:vertAlign w:val="superscript"/>
          <w:lang w:eastAsia="cs-CZ"/>
        </w:rPr>
        <w:footnoteReference w:id="3"/>
      </w:r>
      <w:r w:rsidRPr="00C27FC5">
        <w:rPr>
          <w:rFonts w:ascii="Calibri" w:eastAsia="Times New Roman" w:hAnsi="Calibri" w:cs="Calibri"/>
          <w:color w:val="000000"/>
          <w:sz w:val="18"/>
          <w:szCs w:val="18"/>
          <w:lang w:eastAsia="cs-CZ"/>
        </w:rPr>
        <w:t xml:space="preserve">, nebo je předmětem smlouvy bezúplatné užívání movité věci, pak se Dodavatel zavazuje, že: </w:t>
      </w:r>
    </w:p>
    <w:p w14:paraId="62AF5FA2" w14:textId="77777777" w:rsidR="00C27FC5" w:rsidRPr="00C27FC5" w:rsidRDefault="00C27FC5" w:rsidP="00C27FC5">
      <w:pPr>
        <w:spacing w:after="0"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7CF4C2B5" w14:textId="77777777" w:rsidR="00C27FC5" w:rsidRPr="00C27FC5" w:rsidRDefault="00C27FC5" w:rsidP="00487586">
      <w:pPr>
        <w:numPr>
          <w:ilvl w:val="1"/>
          <w:numId w:val="18"/>
        </w:numPr>
        <w:spacing w:after="5" w:line="276" w:lineRule="auto"/>
        <w:ind w:right="1" w:hanging="42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předá NNH veškerá data o kvalitě, která jsou požadována (a) právními předpisy, nebo (b) byla požadována NNH v rámci zadávacích podmínek, na jejichž základě NNH uzavřela tuto smlouvu s Dodavatelem, jsou-li takové, nebo (c) jsou požadována ustanoveními této Smlouvy, nebo (d) jsou požadována NNH po uzavření této Smlouvy prostřednictvím kontaktní osoby, uvedené ve Smlouvě, nebo pracovníků NNH s jejichž funkcí vykonávanou v NNH souvisí užívání, zajišťování, údržba nebo kontrola kvality plnění smlouvy či kontrola kvality v NNH; </w:t>
      </w:r>
    </w:p>
    <w:p w14:paraId="54DE996E" w14:textId="77777777" w:rsidR="00C27FC5" w:rsidRPr="00C27FC5" w:rsidRDefault="00C27FC5" w:rsidP="00487586">
      <w:pPr>
        <w:numPr>
          <w:ilvl w:val="1"/>
          <w:numId w:val="18"/>
        </w:numPr>
        <w:spacing w:after="5" w:line="276" w:lineRule="auto"/>
        <w:ind w:right="1" w:hanging="42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v případě neschopnosti dodržet své povinnosti vyplývající z této Smlouvy, zejména plnit předmět Smlouvy v kvalitě stanovené touto Smlouvou a v souladu s technickými podmínkami stanovenými v rámci zadávacích podmínek, které byly podkladem pro uzavření této Smlouvy (jsou-li takové), bude o této skutečnosti neprodleně prokazatelně informovat NNH. Práva vyplývající z odpovědnosti za porušení Smlouvy tímto nejsou dotčena; </w:t>
      </w:r>
    </w:p>
    <w:p w14:paraId="7AB0FE94" w14:textId="77777777" w:rsidR="00C27FC5" w:rsidRPr="00C27FC5" w:rsidRDefault="00C27FC5" w:rsidP="00487586">
      <w:pPr>
        <w:numPr>
          <w:ilvl w:val="1"/>
          <w:numId w:val="18"/>
        </w:numPr>
        <w:spacing w:after="5" w:line="276" w:lineRule="auto"/>
        <w:ind w:right="1" w:hanging="42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oznámí NNH veškeré odchylky od kvality a technických podmínek, které se vztahují k plnění předmětu této Smlouvy a které zjistí v průběhu plnění této Smlouvy. V takovém případě NNH může uplatnit práva z vadného plnění ihned poté, co se o vadném plnění dozvěděla;  </w:t>
      </w:r>
    </w:p>
    <w:p w14:paraId="73236A00" w14:textId="77777777" w:rsidR="00C27FC5" w:rsidRPr="00C27FC5" w:rsidRDefault="00C27FC5" w:rsidP="00487586">
      <w:pPr>
        <w:numPr>
          <w:ilvl w:val="1"/>
          <w:numId w:val="18"/>
        </w:numPr>
        <w:spacing w:after="5" w:line="276" w:lineRule="auto"/>
        <w:ind w:right="1" w:hanging="42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v dostatečném předstihu před plánovanými změnami výrobních metod, postupů či použitých materiálů, majících potenciální vliv na kvalitu plnění předmětu Smlouvy, bude NNH o této skutečnosti informovat a umožní NNH ověření, zda deklarované změny nemohou ovlivnit výslednou kvalitu kupujícím poskytovaných služeb. </w:t>
      </w:r>
    </w:p>
    <w:p w14:paraId="30A6741E" w14:textId="77777777" w:rsidR="00C27FC5" w:rsidRPr="00C27FC5" w:rsidRDefault="00C27FC5" w:rsidP="00C27FC5">
      <w:pPr>
        <w:spacing w:after="0"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7CC16EF3" w14:textId="77777777" w:rsidR="00C27FC5" w:rsidRPr="00C27FC5" w:rsidRDefault="00C27FC5" w:rsidP="00487586">
      <w:pPr>
        <w:numPr>
          <w:ilvl w:val="0"/>
          <w:numId w:val="18"/>
        </w:numPr>
        <w:spacing w:after="117"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lastRenderedPageBreak/>
        <w:t xml:space="preserve">NNH je oprávněna v případě zjištění nedostatků při plnění této Smlouvy (zjištěných např. v rámci hodnocení), zahájit s Dodavatelem neprodleně jednání směřující k nápravě vzniklého stavu. V případě potřeby je NNH oprávněna prostřednictvím svých pověřených osob, vystupujících v roli externího pozorovatele, účastnit se kontroly kvality v prostorách druhé smluvní strany. </w:t>
      </w:r>
    </w:p>
    <w:p w14:paraId="23CA4821" w14:textId="77777777" w:rsidR="00C27FC5" w:rsidRPr="00C27FC5" w:rsidRDefault="00C27FC5" w:rsidP="00487586">
      <w:pPr>
        <w:numPr>
          <w:ilvl w:val="0"/>
          <w:numId w:val="18"/>
        </w:numPr>
        <w:spacing w:after="109"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V případě rozporu s plněním podmínek stanovených v této Smlouvě bude NNH uplatňovat práva z odpovědnosti za vadné plnění v souladu s touto Smlouvou a příslušnými právními předpisy. </w:t>
      </w:r>
    </w:p>
    <w:p w14:paraId="223DEA8A" w14:textId="77777777" w:rsidR="00C27FC5" w:rsidRPr="00C27FC5" w:rsidRDefault="00C27FC5" w:rsidP="00C27FC5">
      <w:pPr>
        <w:spacing w:after="106" w:line="276" w:lineRule="auto"/>
        <w:ind w:left="514"/>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Smluvní strany se mohou ve smlouvě od těchto ustanovení odchýlit. </w:t>
      </w:r>
    </w:p>
    <w:p w14:paraId="3C5B6DB9" w14:textId="77777777" w:rsidR="00C27FC5" w:rsidRPr="00C27FC5" w:rsidRDefault="00C27FC5" w:rsidP="00C27FC5">
      <w:pPr>
        <w:spacing w:after="0"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1A8D37E3" w14:textId="77777777" w:rsidR="00C27FC5" w:rsidRPr="00C27FC5" w:rsidRDefault="00C27FC5" w:rsidP="00C27FC5">
      <w:pPr>
        <w:keepNext/>
        <w:keepLines/>
        <w:spacing w:after="248" w:line="276" w:lineRule="auto"/>
        <w:ind w:left="1077" w:hanging="905"/>
        <w:jc w:val="both"/>
        <w:outlineLvl w:val="0"/>
        <w:rPr>
          <w:rFonts w:ascii="Calibri" w:eastAsia="Times New Roman" w:hAnsi="Calibri" w:cs="Calibri"/>
          <w:b/>
          <w:color w:val="000000"/>
          <w:sz w:val="18"/>
          <w:szCs w:val="18"/>
          <w:lang w:eastAsia="cs-CZ"/>
        </w:rPr>
      </w:pPr>
      <w:bookmarkStart w:id="19" w:name="_Toc488673309"/>
      <w:r w:rsidRPr="00C27FC5">
        <w:rPr>
          <w:rFonts w:ascii="Calibri" w:eastAsia="Times New Roman" w:hAnsi="Calibri" w:cs="Calibri"/>
          <w:b/>
          <w:color w:val="000000"/>
          <w:sz w:val="18"/>
          <w:szCs w:val="18"/>
          <w:lang w:eastAsia="cs-CZ"/>
        </w:rPr>
        <w:t>Ustanovení o formě, počtu stejnopisů smlouvy a zveřejnění smluv</w:t>
      </w:r>
      <w:bookmarkEnd w:id="19"/>
      <w:r w:rsidRPr="00C27FC5">
        <w:rPr>
          <w:rFonts w:ascii="Calibri" w:eastAsia="Times New Roman" w:hAnsi="Calibri" w:cs="Calibri"/>
          <w:b/>
          <w:color w:val="000000"/>
          <w:sz w:val="18"/>
          <w:szCs w:val="18"/>
          <w:lang w:eastAsia="cs-CZ"/>
        </w:rPr>
        <w:t xml:space="preserve"> </w:t>
      </w:r>
    </w:p>
    <w:p w14:paraId="36A5C599" w14:textId="77777777" w:rsidR="00C27FC5" w:rsidRPr="00C27FC5" w:rsidRDefault="00C27FC5" w:rsidP="00487586">
      <w:pPr>
        <w:numPr>
          <w:ilvl w:val="0"/>
          <w:numId w:val="19"/>
        </w:numPr>
        <w:spacing w:after="11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Pro NNH musejí být vyhotoveny vždy minimálně dvě originální vyhotovení Smlouvy. Stanoví-li smlouva větší počet vyhotovení, užije se ustanovení Smlouvy. </w:t>
      </w:r>
    </w:p>
    <w:p w14:paraId="109A5906" w14:textId="77777777" w:rsidR="00C27FC5" w:rsidRPr="00C27FC5" w:rsidRDefault="00C27FC5" w:rsidP="00487586">
      <w:pPr>
        <w:numPr>
          <w:ilvl w:val="0"/>
          <w:numId w:val="19"/>
        </w:numPr>
        <w:spacing w:after="117"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Smluvní strany souhlasí se zveřejněním všech náležitostí smluvního vztahu, založeného touto smlouvou, jakož i se zveřejněním celé této smlouvy. Pokud z objektivních důvodů druhá strana trvá na nezveřejnění Smlouvy či některé její části, nebo není zveřejnění Smlouvy či některé její části v zájmu NNH (např. z důvodů zachování soutěže mezi účastníky rámcové smlouvy v minitenderech), musí být konkrétní části Smlouvy, které nemají být zveřejněny, uvedeny v samostatném ustanovení Smlouvy v závěrečných ustanoveních smlouvy (v poslední části smlouvy). </w:t>
      </w:r>
    </w:p>
    <w:p w14:paraId="0C55F7E0" w14:textId="77777777" w:rsidR="00C27FC5" w:rsidRPr="00C27FC5" w:rsidRDefault="00C27FC5" w:rsidP="00487586">
      <w:pPr>
        <w:numPr>
          <w:ilvl w:val="0"/>
          <w:numId w:val="19"/>
        </w:numPr>
        <w:spacing w:after="5" w:line="276" w:lineRule="auto"/>
        <w:ind w:right="1" w:hanging="360"/>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Jakékoli změny Smlouvy mohou být provedeny pouze písemnou dohodou smluvních stran, přičemž tato dohoda musí být zachycena formou písemných, vzestupně číslovaných dodatků Smlouvy. To neplatí u změn adres pro doručování a změny kontaktních osob a jejich kontaktních údajů, které jsou účinné doručením písemného oznámením této změny druhé smluvní straně. </w:t>
      </w:r>
    </w:p>
    <w:p w14:paraId="591304CB" w14:textId="77777777" w:rsidR="00C27FC5" w:rsidRPr="00C27FC5" w:rsidRDefault="00C27FC5" w:rsidP="00C27FC5">
      <w:pPr>
        <w:spacing w:after="278" w:line="276" w:lineRule="auto"/>
        <w:ind w:left="514"/>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 </w:t>
      </w:r>
    </w:p>
    <w:p w14:paraId="49ABD755" w14:textId="77777777" w:rsidR="00C27FC5" w:rsidRPr="00C27FC5" w:rsidRDefault="00C27FC5" w:rsidP="00C27FC5">
      <w:pPr>
        <w:keepNext/>
        <w:keepLines/>
        <w:spacing w:after="248" w:line="276" w:lineRule="auto"/>
        <w:ind w:left="1093" w:hanging="812"/>
        <w:jc w:val="both"/>
        <w:outlineLvl w:val="0"/>
        <w:rPr>
          <w:rFonts w:ascii="Calibri" w:eastAsia="Times New Roman" w:hAnsi="Calibri" w:cs="Calibri"/>
          <w:b/>
          <w:color w:val="000000"/>
          <w:sz w:val="18"/>
          <w:szCs w:val="18"/>
          <w:lang w:eastAsia="cs-CZ"/>
        </w:rPr>
      </w:pPr>
      <w:bookmarkStart w:id="20" w:name="_Toc488673310"/>
      <w:r w:rsidRPr="00C27FC5">
        <w:rPr>
          <w:rFonts w:ascii="Calibri" w:eastAsia="Times New Roman" w:hAnsi="Calibri" w:cs="Calibri"/>
          <w:b/>
          <w:color w:val="000000"/>
          <w:sz w:val="18"/>
          <w:szCs w:val="18"/>
          <w:lang w:eastAsia="cs-CZ"/>
        </w:rPr>
        <w:t>Výklad Smlouvy, závěrečná ustanovení o těchto obchodních podmínkách</w:t>
      </w:r>
      <w:bookmarkEnd w:id="20"/>
      <w:r w:rsidRPr="00C27FC5">
        <w:rPr>
          <w:rFonts w:ascii="Calibri" w:eastAsia="Times New Roman" w:hAnsi="Calibri" w:cs="Calibri"/>
          <w:b/>
          <w:color w:val="000000"/>
          <w:sz w:val="18"/>
          <w:szCs w:val="18"/>
          <w:lang w:eastAsia="cs-CZ"/>
        </w:rPr>
        <w:t xml:space="preserve"> </w:t>
      </w:r>
    </w:p>
    <w:p w14:paraId="6070ADD2" w14:textId="77777777" w:rsidR="00C27FC5" w:rsidRPr="00C27FC5" w:rsidRDefault="00C27FC5" w:rsidP="00C27FC5">
      <w:pPr>
        <w:spacing w:after="5" w:line="276" w:lineRule="auto"/>
        <w:ind w:left="859" w:firstLine="2"/>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1.</w:t>
      </w:r>
      <w:r w:rsidRPr="00C27FC5">
        <w:rPr>
          <w:rFonts w:ascii="Calibri" w:eastAsia="Arial" w:hAnsi="Calibri" w:cs="Calibri"/>
          <w:color w:val="000000"/>
          <w:sz w:val="18"/>
          <w:szCs w:val="18"/>
          <w:lang w:eastAsia="cs-CZ"/>
        </w:rPr>
        <w:t xml:space="preserve"> </w:t>
      </w:r>
      <w:r w:rsidRPr="00C27FC5">
        <w:rPr>
          <w:rFonts w:ascii="Calibri" w:eastAsia="Times New Roman" w:hAnsi="Calibri" w:cs="Calibri"/>
          <w:color w:val="000000"/>
          <w:sz w:val="18"/>
          <w:szCs w:val="18"/>
          <w:lang w:eastAsia="cs-CZ"/>
        </w:rPr>
        <w:t>Smluvní strany stanoví, že pokud je Smlouva uzavřena na základě zadávacího řízení, výběrového řízení veřejné zakázky malého rozsahu či obchodní veřejné soutěže, budou vykládat tuto smlouvu s ohledem na jednání stran v řízení, na základě kterého byla Smlouva uzavřena, zejména s ohledem na obsah nabídky Dodavatele, zadávací podmínky a odpovědi na případné žádosti o informace k těmto zadávacím podmínkám. 2.</w:t>
      </w:r>
      <w:r w:rsidRPr="00C27FC5">
        <w:rPr>
          <w:rFonts w:ascii="Calibri" w:eastAsia="Arial" w:hAnsi="Calibri" w:cs="Calibri"/>
          <w:color w:val="000000"/>
          <w:sz w:val="18"/>
          <w:szCs w:val="18"/>
          <w:lang w:eastAsia="cs-CZ"/>
        </w:rPr>
        <w:t xml:space="preserve"> </w:t>
      </w:r>
      <w:r w:rsidRPr="00C27FC5">
        <w:rPr>
          <w:rFonts w:ascii="Calibri" w:eastAsia="Times New Roman" w:hAnsi="Calibri" w:cs="Calibri"/>
          <w:color w:val="000000"/>
          <w:sz w:val="18"/>
          <w:szCs w:val="18"/>
          <w:lang w:eastAsia="cs-CZ"/>
        </w:rPr>
        <w:t xml:space="preserve">Smluvní strany vylučují použití ustanovení § 1799 a 1800 občanského zákoníku. </w:t>
      </w:r>
    </w:p>
    <w:p w14:paraId="5DC9383D" w14:textId="77777777" w:rsidR="00C27FC5" w:rsidRPr="00C27FC5" w:rsidRDefault="00C27FC5" w:rsidP="00487586">
      <w:pPr>
        <w:numPr>
          <w:ilvl w:val="0"/>
          <w:numId w:val="20"/>
        </w:numPr>
        <w:spacing w:after="5" w:line="276" w:lineRule="auto"/>
        <w:ind w:right="1" w:hanging="35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Ustanovení těchto OP mají přednost před odchylnými ustanoveními Smlouvy, není-li v těchto OP výslovně uvedeno jinak. </w:t>
      </w:r>
    </w:p>
    <w:p w14:paraId="0B7F6C08" w14:textId="77777777" w:rsidR="00C27FC5" w:rsidRPr="00C27FC5" w:rsidRDefault="00C27FC5" w:rsidP="00487586">
      <w:pPr>
        <w:numPr>
          <w:ilvl w:val="0"/>
          <w:numId w:val="20"/>
        </w:numPr>
        <w:spacing w:after="5" w:line="276" w:lineRule="auto"/>
        <w:ind w:right="1" w:hanging="355"/>
        <w:jc w:val="both"/>
        <w:rPr>
          <w:rFonts w:ascii="Calibri" w:eastAsia="Times New Roman" w:hAnsi="Calibri" w:cs="Calibri"/>
          <w:color w:val="000000"/>
          <w:sz w:val="18"/>
          <w:szCs w:val="18"/>
          <w:lang w:eastAsia="cs-CZ"/>
        </w:rPr>
      </w:pPr>
      <w:r w:rsidRPr="00C27FC5">
        <w:rPr>
          <w:rFonts w:ascii="Calibri" w:eastAsia="Times New Roman" w:hAnsi="Calibri" w:cs="Calibri"/>
          <w:color w:val="000000"/>
          <w:sz w:val="18"/>
          <w:szCs w:val="18"/>
          <w:lang w:eastAsia="cs-CZ"/>
        </w:rPr>
        <w:t xml:space="preserve">Smluvní strany se dohodly, že obchodní zvyklosti nemají přednost před ustanoveními zákona, která nemají donucující účinky (smluvní strany vylučují aplikaci ustanovení § 558 odst. 2 ObčZ). </w:t>
      </w:r>
    </w:p>
    <w:sectPr w:rsidR="00C27FC5" w:rsidRPr="00C27F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3E5E3" w14:textId="77777777" w:rsidR="00C10834" w:rsidRDefault="00C10834" w:rsidP="005B2C97">
      <w:pPr>
        <w:spacing w:after="0" w:line="240" w:lineRule="auto"/>
      </w:pPr>
      <w:r>
        <w:separator/>
      </w:r>
    </w:p>
  </w:endnote>
  <w:endnote w:type="continuationSeparator" w:id="0">
    <w:p w14:paraId="25A41F6E" w14:textId="77777777" w:rsidR="00C10834" w:rsidRDefault="00C10834" w:rsidP="005B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B326F" w14:textId="089FE66A" w:rsidR="00311C76" w:rsidRPr="00C905EA" w:rsidRDefault="00311C76">
    <w:pPr>
      <w:pStyle w:val="Zpat"/>
      <w:jc w:val="center"/>
      <w:rPr>
        <w:rFonts w:cstheme="minorHAnsi"/>
        <w:sz w:val="18"/>
        <w:szCs w:val="18"/>
      </w:rPr>
    </w:pPr>
    <w:r w:rsidRPr="00C905EA">
      <w:rPr>
        <w:rFonts w:cstheme="minorHAnsi"/>
        <w:sz w:val="18"/>
        <w:szCs w:val="18"/>
      </w:rPr>
      <w:t xml:space="preserve">Strana </w:t>
    </w:r>
    <w:sdt>
      <w:sdtPr>
        <w:rPr>
          <w:rFonts w:cstheme="minorHAnsi"/>
          <w:sz w:val="18"/>
          <w:szCs w:val="18"/>
        </w:rPr>
        <w:id w:val="-1436980296"/>
        <w:docPartObj>
          <w:docPartGallery w:val="Page Numbers (Bottom of Page)"/>
          <w:docPartUnique/>
        </w:docPartObj>
      </w:sdtPr>
      <w:sdtEndPr/>
      <w:sdtContent>
        <w:r w:rsidRPr="00C905EA">
          <w:rPr>
            <w:rFonts w:cstheme="minorHAnsi"/>
            <w:sz w:val="18"/>
            <w:szCs w:val="18"/>
          </w:rPr>
          <w:fldChar w:fldCharType="begin"/>
        </w:r>
        <w:r w:rsidRPr="00C905EA">
          <w:rPr>
            <w:rFonts w:cstheme="minorHAnsi"/>
            <w:sz w:val="18"/>
            <w:szCs w:val="18"/>
          </w:rPr>
          <w:instrText>PAGE   \* MERGEFORMAT</w:instrText>
        </w:r>
        <w:r w:rsidRPr="00C905EA">
          <w:rPr>
            <w:rFonts w:cstheme="minorHAnsi"/>
            <w:sz w:val="18"/>
            <w:szCs w:val="18"/>
          </w:rPr>
          <w:fldChar w:fldCharType="separate"/>
        </w:r>
        <w:r w:rsidR="00AF2D82">
          <w:rPr>
            <w:rFonts w:cstheme="minorHAnsi"/>
            <w:noProof/>
            <w:sz w:val="18"/>
            <w:szCs w:val="18"/>
          </w:rPr>
          <w:t>11</w:t>
        </w:r>
        <w:r w:rsidRPr="00C905EA">
          <w:rPr>
            <w:rFonts w:cstheme="minorHAns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6258C" w14:textId="77777777" w:rsidR="00C10834" w:rsidRDefault="00C10834" w:rsidP="005B2C97">
      <w:pPr>
        <w:spacing w:after="0" w:line="240" w:lineRule="auto"/>
      </w:pPr>
      <w:r>
        <w:separator/>
      </w:r>
    </w:p>
  </w:footnote>
  <w:footnote w:type="continuationSeparator" w:id="0">
    <w:p w14:paraId="2B973D84" w14:textId="77777777" w:rsidR="00C10834" w:rsidRDefault="00C10834" w:rsidP="005B2C97">
      <w:pPr>
        <w:spacing w:after="0" w:line="240" w:lineRule="auto"/>
      </w:pPr>
      <w:r>
        <w:continuationSeparator/>
      </w:r>
    </w:p>
  </w:footnote>
  <w:footnote w:id="1">
    <w:p w14:paraId="326029A7" w14:textId="77777777" w:rsidR="00C27FC5" w:rsidRPr="008036AF" w:rsidRDefault="00C27FC5" w:rsidP="00C27FC5">
      <w:pPr>
        <w:pStyle w:val="footnotedescription"/>
        <w:spacing w:line="259" w:lineRule="auto"/>
        <w:rPr>
          <w:rFonts w:ascii="Calibri" w:hAnsi="Calibri" w:cs="Calibri"/>
        </w:rPr>
      </w:pPr>
      <w:r w:rsidRPr="008036AF">
        <w:rPr>
          <w:rStyle w:val="footnotemark"/>
          <w:rFonts w:ascii="Calibri" w:hAnsi="Calibri" w:cs="Calibri"/>
        </w:rPr>
        <w:footnoteRef/>
      </w:r>
      <w:r w:rsidRPr="008036AF">
        <w:rPr>
          <w:rFonts w:ascii="Calibri" w:hAnsi="Calibri" w:cs="Calibri"/>
        </w:rPr>
        <w:t xml:space="preserve"> § 12 zákona č. 121/2000 Sb., o právu autorském, o právech souvisejících s právem autorským a o změně některých zákonů (autorský zákon), ve znění pozdějších předpisů </w:t>
      </w:r>
    </w:p>
  </w:footnote>
  <w:footnote w:id="2">
    <w:p w14:paraId="2E2AAEBB" w14:textId="77777777" w:rsidR="00C27FC5" w:rsidRPr="008036AF" w:rsidRDefault="00C27FC5" w:rsidP="00C27FC5">
      <w:pPr>
        <w:pStyle w:val="footnotedescription"/>
        <w:rPr>
          <w:rFonts w:ascii="Calibri" w:hAnsi="Calibri" w:cs="Calibri"/>
        </w:rPr>
      </w:pPr>
      <w:r w:rsidRPr="008036AF">
        <w:rPr>
          <w:rStyle w:val="footnotemark"/>
          <w:rFonts w:ascii="Calibri" w:hAnsi="Calibri" w:cs="Calibri"/>
        </w:rPr>
        <w:footnoteRef/>
      </w:r>
      <w:r w:rsidRPr="008036AF">
        <w:rPr>
          <w:rFonts w:ascii="Calibri" w:hAnsi="Calibri" w:cs="Calibri"/>
        </w:rPr>
        <w:t xml:space="preserve"> Např. předáním „krabicového software“ s licencí pro konečného uživatele </w:t>
      </w:r>
    </w:p>
  </w:footnote>
  <w:footnote w:id="3">
    <w:p w14:paraId="367E0537" w14:textId="77777777" w:rsidR="00C27FC5" w:rsidRDefault="00C27FC5" w:rsidP="00C27FC5">
      <w:pPr>
        <w:pStyle w:val="footnotedescription"/>
      </w:pPr>
      <w:r w:rsidRPr="008036AF">
        <w:rPr>
          <w:rStyle w:val="footnotemark"/>
          <w:rFonts w:ascii="Calibri" w:hAnsi="Calibri" w:cs="Calibri"/>
        </w:rPr>
        <w:footnoteRef/>
      </w:r>
      <w:r w:rsidRPr="008036AF">
        <w:rPr>
          <w:rFonts w:ascii="Calibri" w:hAnsi="Calibri" w:cs="Calibri"/>
        </w:rPr>
        <w:t xml:space="preserve"> Srov. ustanovení § 8 a 9 ZVZ</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pStyle w:val="CVKeypoint"/>
      <w:lvlText w:val=""/>
      <w:lvlJc w:val="left"/>
      <w:pPr>
        <w:tabs>
          <w:tab w:val="num" w:pos="360"/>
        </w:tabs>
        <w:ind w:left="360" w:hanging="360"/>
      </w:pPr>
      <w:rPr>
        <w:rFonts w:ascii="Symbol" w:hAnsi="Symbol"/>
      </w:rPr>
    </w:lvl>
  </w:abstractNum>
  <w:abstractNum w:abstractNumId="2" w15:restartNumberingAfterBreak="0">
    <w:nsid w:val="0FA85C5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16BAD"/>
    <w:multiLevelType w:val="hybridMultilevel"/>
    <w:tmpl w:val="32D207E6"/>
    <w:lvl w:ilvl="0" w:tplc="47EC8492">
      <w:start w:val="1"/>
      <w:numFmt w:val="lowerLetter"/>
      <w:lvlText w:val="%1)"/>
      <w:lvlJc w:val="left"/>
      <w:pPr>
        <w:ind w:left="1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10E548">
      <w:start w:val="1"/>
      <w:numFmt w:val="lowerLetter"/>
      <w:lvlText w:val="%2"/>
      <w:lvlJc w:val="left"/>
      <w:pPr>
        <w:ind w:left="20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468814">
      <w:start w:val="1"/>
      <w:numFmt w:val="lowerRoman"/>
      <w:lvlText w:val="%3"/>
      <w:lvlJc w:val="left"/>
      <w:pPr>
        <w:ind w:left="27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22E132">
      <w:start w:val="1"/>
      <w:numFmt w:val="decimal"/>
      <w:lvlText w:val="%4"/>
      <w:lvlJc w:val="left"/>
      <w:pPr>
        <w:ind w:left="34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D0C5416">
      <w:start w:val="1"/>
      <w:numFmt w:val="lowerLetter"/>
      <w:lvlText w:val="%5"/>
      <w:lvlJc w:val="left"/>
      <w:pPr>
        <w:ind w:left="41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E81938">
      <w:start w:val="1"/>
      <w:numFmt w:val="lowerRoman"/>
      <w:lvlText w:val="%6"/>
      <w:lvlJc w:val="left"/>
      <w:pPr>
        <w:ind w:left="48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BC3606">
      <w:start w:val="1"/>
      <w:numFmt w:val="decimal"/>
      <w:lvlText w:val="%7"/>
      <w:lvlJc w:val="left"/>
      <w:pPr>
        <w:ind w:left="56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6983FC2">
      <w:start w:val="1"/>
      <w:numFmt w:val="lowerLetter"/>
      <w:lvlText w:val="%8"/>
      <w:lvlJc w:val="left"/>
      <w:pPr>
        <w:ind w:left="63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543350">
      <w:start w:val="1"/>
      <w:numFmt w:val="lowerRoman"/>
      <w:lvlText w:val="%9"/>
      <w:lvlJc w:val="left"/>
      <w:pPr>
        <w:ind w:left="70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12E66F7"/>
    <w:multiLevelType w:val="hybridMultilevel"/>
    <w:tmpl w:val="E15E914A"/>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3050041"/>
    <w:multiLevelType w:val="hybridMultilevel"/>
    <w:tmpl w:val="EF563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A41948"/>
    <w:multiLevelType w:val="hybridMultilevel"/>
    <w:tmpl w:val="42CE396A"/>
    <w:lvl w:ilvl="0" w:tplc="124A16C2">
      <w:start w:val="3"/>
      <w:numFmt w:val="decimal"/>
      <w:lvlText w:val="%1."/>
      <w:lvlJc w:val="left"/>
      <w:pPr>
        <w:ind w:left="12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2F235B8">
      <w:start w:val="1"/>
      <w:numFmt w:val="lowerLetter"/>
      <w:lvlText w:val="%2"/>
      <w:lvlJc w:val="left"/>
      <w:pPr>
        <w:ind w:left="17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B04B340">
      <w:start w:val="1"/>
      <w:numFmt w:val="lowerRoman"/>
      <w:lvlText w:val="%3"/>
      <w:lvlJc w:val="left"/>
      <w:pPr>
        <w:ind w:left="2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EF4FB38">
      <w:start w:val="1"/>
      <w:numFmt w:val="decimal"/>
      <w:lvlText w:val="%4"/>
      <w:lvlJc w:val="left"/>
      <w:pPr>
        <w:ind w:left="32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FA0854">
      <w:start w:val="1"/>
      <w:numFmt w:val="lowerLetter"/>
      <w:lvlText w:val="%5"/>
      <w:lvlJc w:val="left"/>
      <w:pPr>
        <w:ind w:left="39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76EBABE">
      <w:start w:val="1"/>
      <w:numFmt w:val="lowerRoman"/>
      <w:lvlText w:val="%6"/>
      <w:lvlJc w:val="left"/>
      <w:pPr>
        <w:ind w:left="46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3323E8A">
      <w:start w:val="1"/>
      <w:numFmt w:val="decimal"/>
      <w:lvlText w:val="%7"/>
      <w:lvlJc w:val="left"/>
      <w:pPr>
        <w:ind w:left="53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C58EC1C">
      <w:start w:val="1"/>
      <w:numFmt w:val="lowerLetter"/>
      <w:lvlText w:val="%8"/>
      <w:lvlJc w:val="left"/>
      <w:pPr>
        <w:ind w:left="60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BC405C">
      <w:start w:val="1"/>
      <w:numFmt w:val="lowerRoman"/>
      <w:lvlText w:val="%9"/>
      <w:lvlJc w:val="left"/>
      <w:pPr>
        <w:ind w:left="68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D5F14D6"/>
    <w:multiLevelType w:val="hybridMultilevel"/>
    <w:tmpl w:val="16763046"/>
    <w:lvl w:ilvl="0" w:tplc="4704B4B4">
      <w:start w:val="1"/>
      <w:numFmt w:val="decimal"/>
      <w:lvlText w:val="%1."/>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1CD7BA">
      <w:start w:val="1"/>
      <w:numFmt w:val="lowerLetter"/>
      <w:lvlText w:val="%2)"/>
      <w:lvlJc w:val="left"/>
      <w:pPr>
        <w:ind w:left="1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AB81530">
      <w:start w:val="1"/>
      <w:numFmt w:val="lowerRoman"/>
      <w:lvlText w:val="%3"/>
      <w:lvlJc w:val="left"/>
      <w:pPr>
        <w:ind w:left="2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2D0D2AA">
      <w:start w:val="1"/>
      <w:numFmt w:val="decimal"/>
      <w:lvlText w:val="%4"/>
      <w:lvlJc w:val="left"/>
      <w:pPr>
        <w:ind w:left="2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8F4CAD8">
      <w:start w:val="1"/>
      <w:numFmt w:val="lowerLetter"/>
      <w:lvlText w:val="%5"/>
      <w:lvlJc w:val="left"/>
      <w:pPr>
        <w:ind w:left="3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51CA1D0">
      <w:start w:val="1"/>
      <w:numFmt w:val="lowerRoman"/>
      <w:lvlText w:val="%6"/>
      <w:lvlJc w:val="left"/>
      <w:pPr>
        <w:ind w:left="4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66C6F1E">
      <w:start w:val="1"/>
      <w:numFmt w:val="decimal"/>
      <w:lvlText w:val="%7"/>
      <w:lvlJc w:val="left"/>
      <w:pPr>
        <w:ind w:left="5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81A7434">
      <w:start w:val="1"/>
      <w:numFmt w:val="lowerLetter"/>
      <w:lvlText w:val="%8"/>
      <w:lvlJc w:val="left"/>
      <w:pPr>
        <w:ind w:left="5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96E2738">
      <w:start w:val="1"/>
      <w:numFmt w:val="lowerRoman"/>
      <w:lvlText w:val="%9"/>
      <w:lvlJc w:val="left"/>
      <w:pPr>
        <w:ind w:left="6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43E728FA"/>
    <w:multiLevelType w:val="hybridMultilevel"/>
    <w:tmpl w:val="7D8860DA"/>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 w15:restartNumberingAfterBreak="0">
    <w:nsid w:val="479733AE"/>
    <w:multiLevelType w:val="hybridMultilevel"/>
    <w:tmpl w:val="D69EFA20"/>
    <w:lvl w:ilvl="0" w:tplc="594E5B74">
      <w:start w:val="1"/>
      <w:numFmt w:val="decimal"/>
      <w:pStyle w:val="Nadpis1"/>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AB00D00"/>
    <w:multiLevelType w:val="hybridMultilevel"/>
    <w:tmpl w:val="C798AD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ED87B40"/>
    <w:multiLevelType w:val="hybridMultilevel"/>
    <w:tmpl w:val="4500704A"/>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2" w15:restartNumberingAfterBreak="0">
    <w:nsid w:val="56D4489A"/>
    <w:multiLevelType w:val="hybridMultilevel"/>
    <w:tmpl w:val="DF8EEAEC"/>
    <w:lvl w:ilvl="0" w:tplc="FFFCF42C">
      <w:start w:val="1"/>
      <w:numFmt w:val="decimal"/>
      <w:lvlText w:val="%1."/>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501EEC">
      <w:start w:val="1"/>
      <w:numFmt w:val="lowerLetter"/>
      <w:lvlText w:val="%2"/>
      <w:lvlJc w:val="left"/>
      <w:pPr>
        <w:ind w:left="17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17A6DA4">
      <w:start w:val="1"/>
      <w:numFmt w:val="lowerRoman"/>
      <w:lvlText w:val="%3"/>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6ACAE14">
      <w:start w:val="1"/>
      <w:numFmt w:val="decimal"/>
      <w:lvlText w:val="%4"/>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7B83A40">
      <w:start w:val="1"/>
      <w:numFmt w:val="lowerLetter"/>
      <w:lvlText w:val="%5"/>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8EB8E2">
      <w:start w:val="1"/>
      <w:numFmt w:val="lowerRoman"/>
      <w:lvlText w:val="%6"/>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2CE64C8">
      <w:start w:val="1"/>
      <w:numFmt w:val="decimal"/>
      <w:lvlText w:val="%7"/>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4A60A9E">
      <w:start w:val="1"/>
      <w:numFmt w:val="lowerLetter"/>
      <w:lvlText w:val="%8"/>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E09006">
      <w:start w:val="1"/>
      <w:numFmt w:val="lowerRoman"/>
      <w:lvlText w:val="%9"/>
      <w:lvlJc w:val="left"/>
      <w:pPr>
        <w:ind w:left="68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B453115"/>
    <w:multiLevelType w:val="hybridMultilevel"/>
    <w:tmpl w:val="7A2A2868"/>
    <w:lvl w:ilvl="0" w:tplc="A052195A">
      <w:start w:val="1"/>
      <w:numFmt w:val="decimal"/>
      <w:lvlText w:val="%1."/>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BEF4C0">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D806CC">
      <w:start w:val="1"/>
      <w:numFmt w:val="lowerRoman"/>
      <w:lvlText w:val="%3"/>
      <w:lvlJc w:val="left"/>
      <w:pPr>
        <w:ind w:left="23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07823C8">
      <w:start w:val="1"/>
      <w:numFmt w:val="decimal"/>
      <w:lvlText w:val="%4"/>
      <w:lvlJc w:val="left"/>
      <w:pPr>
        <w:ind w:left="3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1321800">
      <w:start w:val="1"/>
      <w:numFmt w:val="lowerLetter"/>
      <w:lvlText w:val="%5"/>
      <w:lvlJc w:val="left"/>
      <w:pPr>
        <w:ind w:left="37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C062F64">
      <w:start w:val="1"/>
      <w:numFmt w:val="lowerRoman"/>
      <w:lvlText w:val="%6"/>
      <w:lvlJc w:val="left"/>
      <w:pPr>
        <w:ind w:left="44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AC8DAA">
      <w:start w:val="1"/>
      <w:numFmt w:val="decimal"/>
      <w:lvlText w:val="%7"/>
      <w:lvlJc w:val="left"/>
      <w:pPr>
        <w:ind w:left="51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DF0BC64">
      <w:start w:val="1"/>
      <w:numFmt w:val="lowerLetter"/>
      <w:lvlText w:val="%8"/>
      <w:lvlJc w:val="left"/>
      <w:pPr>
        <w:ind w:left="59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9825AA6">
      <w:start w:val="1"/>
      <w:numFmt w:val="lowerRoman"/>
      <w:lvlText w:val="%9"/>
      <w:lvlJc w:val="left"/>
      <w:pPr>
        <w:ind w:left="66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C352779"/>
    <w:multiLevelType w:val="hybridMultilevel"/>
    <w:tmpl w:val="036214C8"/>
    <w:lvl w:ilvl="0" w:tplc="9B2EC4CA">
      <w:start w:val="1"/>
      <w:numFmt w:val="decimal"/>
      <w:lvlText w:val="%1."/>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AC29E7E">
      <w:start w:val="1"/>
      <w:numFmt w:val="lowerLetter"/>
      <w:lvlText w:val="%2"/>
      <w:lvlJc w:val="left"/>
      <w:pPr>
        <w:ind w:left="15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2120FF0">
      <w:start w:val="1"/>
      <w:numFmt w:val="lowerRoman"/>
      <w:lvlText w:val="%3"/>
      <w:lvlJc w:val="left"/>
      <w:pPr>
        <w:ind w:left="23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6D2BA12">
      <w:start w:val="1"/>
      <w:numFmt w:val="decimal"/>
      <w:lvlText w:val="%4"/>
      <w:lvlJc w:val="left"/>
      <w:pPr>
        <w:ind w:left="30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42A3A4A">
      <w:start w:val="1"/>
      <w:numFmt w:val="lowerLetter"/>
      <w:lvlText w:val="%5"/>
      <w:lvlJc w:val="left"/>
      <w:pPr>
        <w:ind w:left="37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F24F10">
      <w:start w:val="1"/>
      <w:numFmt w:val="lowerRoman"/>
      <w:lvlText w:val="%6"/>
      <w:lvlJc w:val="left"/>
      <w:pPr>
        <w:ind w:left="44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82E94F4">
      <w:start w:val="1"/>
      <w:numFmt w:val="decimal"/>
      <w:lvlText w:val="%7"/>
      <w:lvlJc w:val="left"/>
      <w:pPr>
        <w:ind w:left="51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34B0A0">
      <w:start w:val="1"/>
      <w:numFmt w:val="lowerLetter"/>
      <w:lvlText w:val="%8"/>
      <w:lvlJc w:val="left"/>
      <w:pPr>
        <w:ind w:left="59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2903A78">
      <w:start w:val="1"/>
      <w:numFmt w:val="lowerRoman"/>
      <w:lvlText w:val="%9"/>
      <w:lvlJc w:val="left"/>
      <w:pPr>
        <w:ind w:left="66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618C14AA"/>
    <w:multiLevelType w:val="hybridMultilevel"/>
    <w:tmpl w:val="77182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0E0B17"/>
    <w:multiLevelType w:val="multilevel"/>
    <w:tmpl w:val="637C0792"/>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6D1FEE"/>
    <w:multiLevelType w:val="hybridMultilevel"/>
    <w:tmpl w:val="54663B80"/>
    <w:lvl w:ilvl="0" w:tplc="15B639CA">
      <w:start w:val="1"/>
      <w:numFmt w:val="decimal"/>
      <w:lvlText w:val="%1."/>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845C60">
      <w:start w:val="1"/>
      <w:numFmt w:val="lowerLetter"/>
      <w:lvlText w:val="%2"/>
      <w:lvlJc w:val="left"/>
      <w:pPr>
        <w:ind w:left="17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2E4A374">
      <w:start w:val="1"/>
      <w:numFmt w:val="lowerRoman"/>
      <w:lvlText w:val="%3"/>
      <w:lvlJc w:val="left"/>
      <w:pPr>
        <w:ind w:left="24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6702340">
      <w:start w:val="1"/>
      <w:numFmt w:val="decimal"/>
      <w:lvlText w:val="%4"/>
      <w:lvlJc w:val="left"/>
      <w:pPr>
        <w:ind w:left="32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DFA2E74">
      <w:start w:val="1"/>
      <w:numFmt w:val="lowerLetter"/>
      <w:lvlText w:val="%5"/>
      <w:lvlJc w:val="left"/>
      <w:pPr>
        <w:ind w:left="39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244D4AC">
      <w:start w:val="1"/>
      <w:numFmt w:val="lowerRoman"/>
      <w:lvlText w:val="%6"/>
      <w:lvlJc w:val="left"/>
      <w:pPr>
        <w:ind w:left="4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6E4E3D4">
      <w:start w:val="1"/>
      <w:numFmt w:val="decimal"/>
      <w:lvlText w:val="%7"/>
      <w:lvlJc w:val="left"/>
      <w:pPr>
        <w:ind w:left="5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7CCF0C0">
      <w:start w:val="1"/>
      <w:numFmt w:val="lowerLetter"/>
      <w:lvlText w:val="%8"/>
      <w:lvlJc w:val="left"/>
      <w:pPr>
        <w:ind w:left="6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38AEB40">
      <w:start w:val="1"/>
      <w:numFmt w:val="lowerRoman"/>
      <w:lvlText w:val="%9"/>
      <w:lvlJc w:val="left"/>
      <w:pPr>
        <w:ind w:left="6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70136A7E"/>
    <w:multiLevelType w:val="hybridMultilevel"/>
    <w:tmpl w:val="85D0EE3C"/>
    <w:lvl w:ilvl="0" w:tplc="288259F6">
      <w:start w:val="1"/>
      <w:numFmt w:val="decimal"/>
      <w:lvlText w:val="%1."/>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D6CB77C">
      <w:start w:val="1"/>
      <w:numFmt w:val="lowerLetter"/>
      <w:lvlText w:val="%2"/>
      <w:lvlJc w:val="left"/>
      <w:pPr>
        <w:ind w:left="17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97E1D34">
      <w:start w:val="1"/>
      <w:numFmt w:val="lowerRoman"/>
      <w:lvlText w:val="%3"/>
      <w:lvlJc w:val="left"/>
      <w:pPr>
        <w:ind w:left="25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D5C496E">
      <w:start w:val="1"/>
      <w:numFmt w:val="decimal"/>
      <w:lvlText w:val="%4"/>
      <w:lvlJc w:val="left"/>
      <w:pPr>
        <w:ind w:left="32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668109E">
      <w:start w:val="1"/>
      <w:numFmt w:val="lowerLetter"/>
      <w:lvlText w:val="%5"/>
      <w:lvlJc w:val="left"/>
      <w:pPr>
        <w:ind w:left="3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B1C16F4">
      <w:start w:val="1"/>
      <w:numFmt w:val="lowerRoman"/>
      <w:lvlText w:val="%6"/>
      <w:lvlJc w:val="left"/>
      <w:pPr>
        <w:ind w:left="46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2F0108C">
      <w:start w:val="1"/>
      <w:numFmt w:val="decimal"/>
      <w:lvlText w:val="%7"/>
      <w:lvlJc w:val="left"/>
      <w:pPr>
        <w:ind w:left="53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6E6F95E">
      <w:start w:val="1"/>
      <w:numFmt w:val="lowerLetter"/>
      <w:lvlText w:val="%8"/>
      <w:lvlJc w:val="left"/>
      <w:pPr>
        <w:ind w:left="61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1C741A">
      <w:start w:val="1"/>
      <w:numFmt w:val="lowerRoman"/>
      <w:lvlText w:val="%9"/>
      <w:lvlJc w:val="left"/>
      <w:pPr>
        <w:ind w:left="68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73566F03"/>
    <w:multiLevelType w:val="hybridMultilevel"/>
    <w:tmpl w:val="2A3A6DD2"/>
    <w:lvl w:ilvl="0" w:tplc="6A00F2AA">
      <w:start w:val="1"/>
      <w:numFmt w:val="decimal"/>
      <w:lvlText w:val="%1."/>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76CDAF6">
      <w:start w:val="1"/>
      <w:numFmt w:val="lowerLetter"/>
      <w:lvlText w:val="%2"/>
      <w:lvlJc w:val="left"/>
      <w:pPr>
        <w:ind w:left="17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D0E11A">
      <w:start w:val="1"/>
      <w:numFmt w:val="lowerRoman"/>
      <w:lvlText w:val="%3"/>
      <w:lvlJc w:val="left"/>
      <w:pPr>
        <w:ind w:left="24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1EDB28">
      <w:start w:val="1"/>
      <w:numFmt w:val="decimal"/>
      <w:lvlText w:val="%4"/>
      <w:lvlJc w:val="left"/>
      <w:pPr>
        <w:ind w:left="32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945FAA">
      <w:start w:val="1"/>
      <w:numFmt w:val="lowerLetter"/>
      <w:lvlText w:val="%5"/>
      <w:lvlJc w:val="left"/>
      <w:pPr>
        <w:ind w:left="39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866526">
      <w:start w:val="1"/>
      <w:numFmt w:val="lowerRoman"/>
      <w:lvlText w:val="%6"/>
      <w:lvlJc w:val="left"/>
      <w:pPr>
        <w:ind w:left="4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BB4B60E">
      <w:start w:val="1"/>
      <w:numFmt w:val="decimal"/>
      <w:lvlText w:val="%7"/>
      <w:lvlJc w:val="left"/>
      <w:pPr>
        <w:ind w:left="5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67EED20">
      <w:start w:val="1"/>
      <w:numFmt w:val="lowerLetter"/>
      <w:lvlText w:val="%8"/>
      <w:lvlJc w:val="left"/>
      <w:pPr>
        <w:ind w:left="6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5F60EC8">
      <w:start w:val="1"/>
      <w:numFmt w:val="lowerRoman"/>
      <w:lvlText w:val="%9"/>
      <w:lvlJc w:val="left"/>
      <w:pPr>
        <w:ind w:left="6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A560461"/>
    <w:multiLevelType w:val="hybridMultilevel"/>
    <w:tmpl w:val="3A1CA87C"/>
    <w:lvl w:ilvl="0" w:tplc="04050001">
      <w:start w:val="1"/>
      <w:numFmt w:val="bullet"/>
      <w:lvlText w:val=""/>
      <w:lvlJc w:val="left"/>
      <w:pPr>
        <w:ind w:left="1151" w:hanging="360"/>
      </w:pPr>
      <w:rPr>
        <w:rFonts w:ascii="Symbol" w:hAnsi="Symbol" w:hint="default"/>
      </w:rPr>
    </w:lvl>
    <w:lvl w:ilvl="1" w:tplc="04050003" w:tentative="1">
      <w:start w:val="1"/>
      <w:numFmt w:val="bullet"/>
      <w:lvlText w:val="o"/>
      <w:lvlJc w:val="left"/>
      <w:pPr>
        <w:ind w:left="1871" w:hanging="360"/>
      </w:pPr>
      <w:rPr>
        <w:rFonts w:ascii="Courier New" w:hAnsi="Courier New" w:cs="Courier New" w:hint="default"/>
      </w:rPr>
    </w:lvl>
    <w:lvl w:ilvl="2" w:tplc="04050005" w:tentative="1">
      <w:start w:val="1"/>
      <w:numFmt w:val="bullet"/>
      <w:lvlText w:val=""/>
      <w:lvlJc w:val="left"/>
      <w:pPr>
        <w:ind w:left="2591" w:hanging="360"/>
      </w:pPr>
      <w:rPr>
        <w:rFonts w:ascii="Wingdings" w:hAnsi="Wingdings" w:hint="default"/>
      </w:rPr>
    </w:lvl>
    <w:lvl w:ilvl="3" w:tplc="04050001" w:tentative="1">
      <w:start w:val="1"/>
      <w:numFmt w:val="bullet"/>
      <w:lvlText w:val=""/>
      <w:lvlJc w:val="left"/>
      <w:pPr>
        <w:ind w:left="3311" w:hanging="360"/>
      </w:pPr>
      <w:rPr>
        <w:rFonts w:ascii="Symbol" w:hAnsi="Symbol" w:hint="default"/>
      </w:rPr>
    </w:lvl>
    <w:lvl w:ilvl="4" w:tplc="04050003" w:tentative="1">
      <w:start w:val="1"/>
      <w:numFmt w:val="bullet"/>
      <w:lvlText w:val="o"/>
      <w:lvlJc w:val="left"/>
      <w:pPr>
        <w:ind w:left="4031" w:hanging="360"/>
      </w:pPr>
      <w:rPr>
        <w:rFonts w:ascii="Courier New" w:hAnsi="Courier New" w:cs="Courier New" w:hint="default"/>
      </w:rPr>
    </w:lvl>
    <w:lvl w:ilvl="5" w:tplc="04050005" w:tentative="1">
      <w:start w:val="1"/>
      <w:numFmt w:val="bullet"/>
      <w:lvlText w:val=""/>
      <w:lvlJc w:val="left"/>
      <w:pPr>
        <w:ind w:left="4751" w:hanging="360"/>
      </w:pPr>
      <w:rPr>
        <w:rFonts w:ascii="Wingdings" w:hAnsi="Wingdings" w:hint="default"/>
      </w:rPr>
    </w:lvl>
    <w:lvl w:ilvl="6" w:tplc="04050001" w:tentative="1">
      <w:start w:val="1"/>
      <w:numFmt w:val="bullet"/>
      <w:lvlText w:val=""/>
      <w:lvlJc w:val="left"/>
      <w:pPr>
        <w:ind w:left="5471" w:hanging="360"/>
      </w:pPr>
      <w:rPr>
        <w:rFonts w:ascii="Symbol" w:hAnsi="Symbol" w:hint="default"/>
      </w:rPr>
    </w:lvl>
    <w:lvl w:ilvl="7" w:tplc="04050003" w:tentative="1">
      <w:start w:val="1"/>
      <w:numFmt w:val="bullet"/>
      <w:lvlText w:val="o"/>
      <w:lvlJc w:val="left"/>
      <w:pPr>
        <w:ind w:left="6191" w:hanging="360"/>
      </w:pPr>
      <w:rPr>
        <w:rFonts w:ascii="Courier New" w:hAnsi="Courier New" w:cs="Courier New" w:hint="default"/>
      </w:rPr>
    </w:lvl>
    <w:lvl w:ilvl="8" w:tplc="04050005" w:tentative="1">
      <w:start w:val="1"/>
      <w:numFmt w:val="bullet"/>
      <w:lvlText w:val=""/>
      <w:lvlJc w:val="left"/>
      <w:pPr>
        <w:ind w:left="6911" w:hanging="360"/>
      </w:pPr>
      <w:rPr>
        <w:rFonts w:ascii="Wingdings" w:hAnsi="Wingdings" w:hint="default"/>
      </w:rPr>
    </w:lvl>
  </w:abstractNum>
  <w:abstractNum w:abstractNumId="21" w15:restartNumberingAfterBreak="0">
    <w:nsid w:val="7B094C72"/>
    <w:multiLevelType w:val="hybridMultilevel"/>
    <w:tmpl w:val="0F488074"/>
    <w:lvl w:ilvl="0" w:tplc="754A15FE">
      <w:start w:val="1"/>
      <w:numFmt w:val="decimal"/>
      <w:lvlText w:val="%1."/>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04196C">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5E4EE86">
      <w:start w:val="1"/>
      <w:numFmt w:val="lowerRoman"/>
      <w:lvlText w:val="%3"/>
      <w:lvlJc w:val="left"/>
      <w:pPr>
        <w:ind w:left="22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0E727A">
      <w:start w:val="1"/>
      <w:numFmt w:val="decimal"/>
      <w:lvlText w:val="%4"/>
      <w:lvlJc w:val="left"/>
      <w:pPr>
        <w:ind w:left="29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BD051E2">
      <w:start w:val="1"/>
      <w:numFmt w:val="lowerLetter"/>
      <w:lvlText w:val="%5"/>
      <w:lvlJc w:val="left"/>
      <w:pPr>
        <w:ind w:left="37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F30BB2E">
      <w:start w:val="1"/>
      <w:numFmt w:val="lowerRoman"/>
      <w:lvlText w:val="%6"/>
      <w:lvlJc w:val="left"/>
      <w:pPr>
        <w:ind w:left="44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C3C4606">
      <w:start w:val="1"/>
      <w:numFmt w:val="decimal"/>
      <w:lvlText w:val="%7"/>
      <w:lvlJc w:val="left"/>
      <w:pPr>
        <w:ind w:left="51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DBE89E8">
      <w:start w:val="1"/>
      <w:numFmt w:val="lowerLetter"/>
      <w:lvlText w:val="%8"/>
      <w:lvlJc w:val="left"/>
      <w:pPr>
        <w:ind w:left="58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E2212F6">
      <w:start w:val="1"/>
      <w:numFmt w:val="lowerRoman"/>
      <w:lvlText w:val="%9"/>
      <w:lvlJc w:val="left"/>
      <w:pPr>
        <w:ind w:left="65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9"/>
  </w:num>
  <w:num w:numId="3">
    <w:abstractNumId w:val="4"/>
  </w:num>
  <w:num w:numId="4">
    <w:abstractNumId w:val="11"/>
  </w:num>
  <w:num w:numId="5">
    <w:abstractNumId w:val="15"/>
  </w:num>
  <w:num w:numId="6">
    <w:abstractNumId w:val="2"/>
  </w:num>
  <w:num w:numId="7">
    <w:abstractNumId w:val="16"/>
  </w:num>
  <w:num w:numId="8">
    <w:abstractNumId w:val="8"/>
  </w:num>
  <w:num w:numId="9">
    <w:abstractNumId w:val="20"/>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cs-CZ" w:vendorID="64" w:dllVersion="0" w:nlCheck="1" w:checkStyle="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49"/>
    <w:rsid w:val="00011F4A"/>
    <w:rsid w:val="0001634A"/>
    <w:rsid w:val="00016F19"/>
    <w:rsid w:val="00017DDC"/>
    <w:rsid w:val="000233B9"/>
    <w:rsid w:val="0002613B"/>
    <w:rsid w:val="00037875"/>
    <w:rsid w:val="00040C02"/>
    <w:rsid w:val="00070E5D"/>
    <w:rsid w:val="00081013"/>
    <w:rsid w:val="000836A0"/>
    <w:rsid w:val="000B5505"/>
    <w:rsid w:val="000B57D3"/>
    <w:rsid w:val="000C2736"/>
    <w:rsid w:val="000C3E62"/>
    <w:rsid w:val="000D4B44"/>
    <w:rsid w:val="000E0A3F"/>
    <w:rsid w:val="000F00AE"/>
    <w:rsid w:val="000F64F1"/>
    <w:rsid w:val="000F74B8"/>
    <w:rsid w:val="00106C37"/>
    <w:rsid w:val="001166A2"/>
    <w:rsid w:val="00117E2E"/>
    <w:rsid w:val="0012176D"/>
    <w:rsid w:val="0012236B"/>
    <w:rsid w:val="001306F2"/>
    <w:rsid w:val="00163DEC"/>
    <w:rsid w:val="00181D66"/>
    <w:rsid w:val="00187153"/>
    <w:rsid w:val="00194DD2"/>
    <w:rsid w:val="001963C3"/>
    <w:rsid w:val="00196BBE"/>
    <w:rsid w:val="001A08F3"/>
    <w:rsid w:val="001A44E5"/>
    <w:rsid w:val="001B432A"/>
    <w:rsid w:val="001B6540"/>
    <w:rsid w:val="001C4B04"/>
    <w:rsid w:val="001D6E69"/>
    <w:rsid w:val="001E70A9"/>
    <w:rsid w:val="001F5642"/>
    <w:rsid w:val="001F7753"/>
    <w:rsid w:val="001F7B90"/>
    <w:rsid w:val="002035B0"/>
    <w:rsid w:val="00203AF9"/>
    <w:rsid w:val="0020610A"/>
    <w:rsid w:val="00242114"/>
    <w:rsid w:val="0024224B"/>
    <w:rsid w:val="0024258D"/>
    <w:rsid w:val="00265CF6"/>
    <w:rsid w:val="00280634"/>
    <w:rsid w:val="00281715"/>
    <w:rsid w:val="002837AE"/>
    <w:rsid w:val="002A7762"/>
    <w:rsid w:val="002B1812"/>
    <w:rsid w:val="002B4463"/>
    <w:rsid w:val="002C43FA"/>
    <w:rsid w:val="002C4523"/>
    <w:rsid w:val="002C5D9E"/>
    <w:rsid w:val="002D0726"/>
    <w:rsid w:val="002E3018"/>
    <w:rsid w:val="002E386D"/>
    <w:rsid w:val="003117F7"/>
    <w:rsid w:val="00311C76"/>
    <w:rsid w:val="00316B0C"/>
    <w:rsid w:val="003213A7"/>
    <w:rsid w:val="00336608"/>
    <w:rsid w:val="00377EBE"/>
    <w:rsid w:val="003816A3"/>
    <w:rsid w:val="00383219"/>
    <w:rsid w:val="00384F73"/>
    <w:rsid w:val="00390467"/>
    <w:rsid w:val="00397E78"/>
    <w:rsid w:val="003A33A5"/>
    <w:rsid w:val="003B3374"/>
    <w:rsid w:val="003B7E8B"/>
    <w:rsid w:val="003C3CB2"/>
    <w:rsid w:val="003E38AA"/>
    <w:rsid w:val="003E414A"/>
    <w:rsid w:val="003F40F0"/>
    <w:rsid w:val="00405344"/>
    <w:rsid w:val="00415552"/>
    <w:rsid w:val="00455DA4"/>
    <w:rsid w:val="004560DE"/>
    <w:rsid w:val="0047091F"/>
    <w:rsid w:val="00487586"/>
    <w:rsid w:val="00497F68"/>
    <w:rsid w:val="00501C1A"/>
    <w:rsid w:val="00503254"/>
    <w:rsid w:val="005121C8"/>
    <w:rsid w:val="00512C32"/>
    <w:rsid w:val="005169F7"/>
    <w:rsid w:val="0052371F"/>
    <w:rsid w:val="00543F80"/>
    <w:rsid w:val="00560E95"/>
    <w:rsid w:val="0056601F"/>
    <w:rsid w:val="00570BB4"/>
    <w:rsid w:val="0057500B"/>
    <w:rsid w:val="00576BF9"/>
    <w:rsid w:val="005813FB"/>
    <w:rsid w:val="00590E59"/>
    <w:rsid w:val="00594064"/>
    <w:rsid w:val="005A0811"/>
    <w:rsid w:val="005A57E3"/>
    <w:rsid w:val="005B2272"/>
    <w:rsid w:val="005B2C97"/>
    <w:rsid w:val="005C17D3"/>
    <w:rsid w:val="005F4690"/>
    <w:rsid w:val="00600C63"/>
    <w:rsid w:val="006071FA"/>
    <w:rsid w:val="00611EBF"/>
    <w:rsid w:val="0061416E"/>
    <w:rsid w:val="006305CB"/>
    <w:rsid w:val="0065462F"/>
    <w:rsid w:val="00660A5A"/>
    <w:rsid w:val="00666237"/>
    <w:rsid w:val="00670993"/>
    <w:rsid w:val="006732AB"/>
    <w:rsid w:val="00673499"/>
    <w:rsid w:val="00675FAD"/>
    <w:rsid w:val="00687CF0"/>
    <w:rsid w:val="006A433E"/>
    <w:rsid w:val="006B0C57"/>
    <w:rsid w:val="006B15B9"/>
    <w:rsid w:val="006C552B"/>
    <w:rsid w:val="006D5455"/>
    <w:rsid w:val="006D60B6"/>
    <w:rsid w:val="00702082"/>
    <w:rsid w:val="007153EB"/>
    <w:rsid w:val="007205CE"/>
    <w:rsid w:val="007242F9"/>
    <w:rsid w:val="00725A4A"/>
    <w:rsid w:val="00732B65"/>
    <w:rsid w:val="00733EE2"/>
    <w:rsid w:val="007362FF"/>
    <w:rsid w:val="0073671C"/>
    <w:rsid w:val="00753A47"/>
    <w:rsid w:val="00764BCD"/>
    <w:rsid w:val="00777460"/>
    <w:rsid w:val="00791CDF"/>
    <w:rsid w:val="007C2DA2"/>
    <w:rsid w:val="007D56BF"/>
    <w:rsid w:val="007D5874"/>
    <w:rsid w:val="007D789C"/>
    <w:rsid w:val="007E2F48"/>
    <w:rsid w:val="007F290D"/>
    <w:rsid w:val="007F3AD0"/>
    <w:rsid w:val="007F42D3"/>
    <w:rsid w:val="007F50CD"/>
    <w:rsid w:val="007F675E"/>
    <w:rsid w:val="008000AD"/>
    <w:rsid w:val="008036AF"/>
    <w:rsid w:val="00814F4E"/>
    <w:rsid w:val="00817678"/>
    <w:rsid w:val="0083500D"/>
    <w:rsid w:val="00851F4D"/>
    <w:rsid w:val="0085452B"/>
    <w:rsid w:val="00855556"/>
    <w:rsid w:val="008566BB"/>
    <w:rsid w:val="00867074"/>
    <w:rsid w:val="00871FDB"/>
    <w:rsid w:val="0087265A"/>
    <w:rsid w:val="0087411D"/>
    <w:rsid w:val="00880D0E"/>
    <w:rsid w:val="00892DA6"/>
    <w:rsid w:val="008C2B3B"/>
    <w:rsid w:val="008C2EB3"/>
    <w:rsid w:val="008C390B"/>
    <w:rsid w:val="008D5E6A"/>
    <w:rsid w:val="008D6028"/>
    <w:rsid w:val="008F2018"/>
    <w:rsid w:val="00917F41"/>
    <w:rsid w:val="00925FD7"/>
    <w:rsid w:val="00931060"/>
    <w:rsid w:val="0093335F"/>
    <w:rsid w:val="00934FA4"/>
    <w:rsid w:val="00941C06"/>
    <w:rsid w:val="009601F2"/>
    <w:rsid w:val="009663FE"/>
    <w:rsid w:val="00981195"/>
    <w:rsid w:val="009928EF"/>
    <w:rsid w:val="00994FFA"/>
    <w:rsid w:val="009A0352"/>
    <w:rsid w:val="009A0A7A"/>
    <w:rsid w:val="009B7259"/>
    <w:rsid w:val="009E2711"/>
    <w:rsid w:val="009E7BE9"/>
    <w:rsid w:val="00A026BB"/>
    <w:rsid w:val="00A129CC"/>
    <w:rsid w:val="00A14F58"/>
    <w:rsid w:val="00A20EA9"/>
    <w:rsid w:val="00A23136"/>
    <w:rsid w:val="00A27A08"/>
    <w:rsid w:val="00A36BD5"/>
    <w:rsid w:val="00A43526"/>
    <w:rsid w:val="00A6088F"/>
    <w:rsid w:val="00A80235"/>
    <w:rsid w:val="00A93DC0"/>
    <w:rsid w:val="00AB2238"/>
    <w:rsid w:val="00AC2516"/>
    <w:rsid w:val="00AE2996"/>
    <w:rsid w:val="00AF1CA2"/>
    <w:rsid w:val="00AF2D82"/>
    <w:rsid w:val="00B01AD7"/>
    <w:rsid w:val="00B05195"/>
    <w:rsid w:val="00B0775E"/>
    <w:rsid w:val="00B21CCA"/>
    <w:rsid w:val="00B24D30"/>
    <w:rsid w:val="00B62B57"/>
    <w:rsid w:val="00B63644"/>
    <w:rsid w:val="00B675D5"/>
    <w:rsid w:val="00B71E11"/>
    <w:rsid w:val="00B96E11"/>
    <w:rsid w:val="00BA1545"/>
    <w:rsid w:val="00BA3D4D"/>
    <w:rsid w:val="00BC0783"/>
    <w:rsid w:val="00BC3AA2"/>
    <w:rsid w:val="00BC6C73"/>
    <w:rsid w:val="00BD7FDA"/>
    <w:rsid w:val="00BE38AD"/>
    <w:rsid w:val="00BE4049"/>
    <w:rsid w:val="00BF2E4E"/>
    <w:rsid w:val="00C00E29"/>
    <w:rsid w:val="00C01749"/>
    <w:rsid w:val="00C0450E"/>
    <w:rsid w:val="00C10834"/>
    <w:rsid w:val="00C138AF"/>
    <w:rsid w:val="00C211F2"/>
    <w:rsid w:val="00C246F3"/>
    <w:rsid w:val="00C27FC5"/>
    <w:rsid w:val="00C37896"/>
    <w:rsid w:val="00C66C6C"/>
    <w:rsid w:val="00C9040C"/>
    <w:rsid w:val="00C905EA"/>
    <w:rsid w:val="00C905FF"/>
    <w:rsid w:val="00CA0384"/>
    <w:rsid w:val="00CA0696"/>
    <w:rsid w:val="00CA1D9A"/>
    <w:rsid w:val="00CC2DDF"/>
    <w:rsid w:val="00CC2E64"/>
    <w:rsid w:val="00CC3D1A"/>
    <w:rsid w:val="00CC663F"/>
    <w:rsid w:val="00CE47B2"/>
    <w:rsid w:val="00CF21A5"/>
    <w:rsid w:val="00CF5B80"/>
    <w:rsid w:val="00D03B73"/>
    <w:rsid w:val="00D04E27"/>
    <w:rsid w:val="00D050D1"/>
    <w:rsid w:val="00D150D8"/>
    <w:rsid w:val="00D7408A"/>
    <w:rsid w:val="00D77F13"/>
    <w:rsid w:val="00D933CF"/>
    <w:rsid w:val="00DA622B"/>
    <w:rsid w:val="00DB1623"/>
    <w:rsid w:val="00DB69F0"/>
    <w:rsid w:val="00DC49CC"/>
    <w:rsid w:val="00DD01D5"/>
    <w:rsid w:val="00DD5D8E"/>
    <w:rsid w:val="00DF12BB"/>
    <w:rsid w:val="00E06E1F"/>
    <w:rsid w:val="00E153F2"/>
    <w:rsid w:val="00E21B58"/>
    <w:rsid w:val="00E2787F"/>
    <w:rsid w:val="00E34642"/>
    <w:rsid w:val="00E355D0"/>
    <w:rsid w:val="00E46781"/>
    <w:rsid w:val="00E72AB3"/>
    <w:rsid w:val="00EA1FB8"/>
    <w:rsid w:val="00EB4A2B"/>
    <w:rsid w:val="00EC620A"/>
    <w:rsid w:val="00ED0455"/>
    <w:rsid w:val="00ED7E61"/>
    <w:rsid w:val="00EE119D"/>
    <w:rsid w:val="00EE7985"/>
    <w:rsid w:val="00EF3692"/>
    <w:rsid w:val="00EF7644"/>
    <w:rsid w:val="00F075D7"/>
    <w:rsid w:val="00F722CD"/>
    <w:rsid w:val="00F7517C"/>
    <w:rsid w:val="00FA2118"/>
    <w:rsid w:val="00FA44A3"/>
    <w:rsid w:val="00FA5511"/>
    <w:rsid w:val="00FA6EE1"/>
    <w:rsid w:val="00FA7167"/>
    <w:rsid w:val="00FD137C"/>
    <w:rsid w:val="00FD5922"/>
    <w:rsid w:val="00FD68E2"/>
    <w:rsid w:val="00FF1F09"/>
    <w:rsid w:val="00FF3ECD"/>
    <w:rsid w:val="00FF5FD5"/>
    <w:rsid w:val="00FF7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4104"/>
  <w15:chartTrackingRefBased/>
  <w15:docId w15:val="{B676F0F1-A53E-4A84-A914-28DFBC8E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3816A3"/>
    <w:pPr>
      <w:numPr>
        <w:numId w:val="2"/>
      </w:numPr>
      <w:spacing w:before="360" w:after="360"/>
      <w:outlineLvl w:val="0"/>
    </w:pPr>
    <w:rPr>
      <w:b/>
      <w:color w:val="A40000"/>
      <w:sz w:val="28"/>
      <w:szCs w:val="28"/>
    </w:rPr>
  </w:style>
  <w:style w:type="paragraph" w:styleId="Nadpis2">
    <w:name w:val="heading 2"/>
    <w:basedOn w:val="Normln"/>
    <w:next w:val="Normln"/>
    <w:link w:val="Nadpis2Char"/>
    <w:uiPriority w:val="9"/>
    <w:semiHidden/>
    <w:unhideWhenUsed/>
    <w:qFormat/>
    <w:rsid w:val="00BA15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12C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semiHidden/>
    <w:unhideWhenUsed/>
    <w:qFormat/>
    <w:rsid w:val="008176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uiPriority w:val="39"/>
    <w:rsid w:val="00BA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37896"/>
    <w:pPr>
      <w:ind w:left="720"/>
      <w:contextualSpacing/>
    </w:pPr>
  </w:style>
  <w:style w:type="paragraph" w:styleId="Zkladntext">
    <w:name w:val="Body Text"/>
    <w:aliases w:val="Základní tZákladní text,subtitle2,XXXZákladní text,Základní text Char1,Základní text Char Char,Základní text Char1 Char Char,Základní text Char Char Char Char,Základní text Char Char1,Body Text 1,paragraph 2,body indent,b"/>
    <w:link w:val="ZkladntextChar"/>
    <w:rsid w:val="00497F68"/>
    <w:pPr>
      <w:spacing w:before="60" w:after="4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aliases w:val="Základní tZákladní text Char,subtitle2 Char,XXXZákladní text Char,Základní text Char1 Char,Základní text Char Char Char,Základní text Char1 Char Char Char,Základní text Char Char Char Char Char,Základní text Char Char1 Char,b Char"/>
    <w:basedOn w:val="Standardnpsmoodstavce"/>
    <w:link w:val="Zkladntext"/>
    <w:rsid w:val="00497F68"/>
    <w:rPr>
      <w:rFonts w:ascii="Times New Roman" w:eastAsia="Times New Roman" w:hAnsi="Times New Roman" w:cs="Times New Roman"/>
      <w:sz w:val="24"/>
      <w:szCs w:val="20"/>
      <w:lang w:eastAsia="cs-CZ"/>
    </w:rPr>
  </w:style>
  <w:style w:type="paragraph" w:styleId="Nzev">
    <w:name w:val="Title"/>
    <w:basedOn w:val="Nadpis1"/>
    <w:next w:val="Zkladntext"/>
    <w:link w:val="NzevChar"/>
    <w:qFormat/>
    <w:rsid w:val="00497F68"/>
    <w:pPr>
      <w:tabs>
        <w:tab w:val="left" w:pos="709"/>
      </w:tabs>
      <w:suppressAutoHyphens/>
      <w:spacing w:after="120" w:line="240" w:lineRule="auto"/>
      <w:jc w:val="center"/>
      <w:outlineLvl w:val="9"/>
    </w:pPr>
    <w:rPr>
      <w:rFonts w:ascii="Arial Narrow" w:eastAsia="Times New Roman" w:hAnsi="Arial Narrow" w:cs="Times New Roman"/>
      <w:b w:val="0"/>
      <w:color w:val="000080"/>
      <w:kern w:val="28"/>
      <w:sz w:val="40"/>
      <w:szCs w:val="20"/>
      <w:lang w:eastAsia="cs-CZ"/>
    </w:rPr>
  </w:style>
  <w:style w:type="character" w:customStyle="1" w:styleId="NzevChar">
    <w:name w:val="Název Char"/>
    <w:basedOn w:val="Standardnpsmoodstavce"/>
    <w:link w:val="Nzev"/>
    <w:rsid w:val="00497F68"/>
    <w:rPr>
      <w:rFonts w:ascii="Arial Narrow" w:eastAsia="Times New Roman" w:hAnsi="Arial Narrow" w:cs="Times New Roman"/>
      <w:color w:val="000080"/>
      <w:kern w:val="28"/>
      <w:sz w:val="40"/>
      <w:szCs w:val="20"/>
      <w:lang w:eastAsia="cs-CZ"/>
    </w:rPr>
  </w:style>
  <w:style w:type="paragraph" w:styleId="Zkladntextodsazen">
    <w:name w:val="Body Text Indent"/>
    <w:basedOn w:val="Zkladntext"/>
    <w:link w:val="ZkladntextodsazenChar"/>
    <w:rsid w:val="00497F68"/>
    <w:pPr>
      <w:ind w:left="709"/>
    </w:pPr>
  </w:style>
  <w:style w:type="character" w:customStyle="1" w:styleId="ZkladntextodsazenChar">
    <w:name w:val="Základní text odsazený Char"/>
    <w:basedOn w:val="Standardnpsmoodstavce"/>
    <w:link w:val="Zkladntextodsazen"/>
    <w:rsid w:val="00497F68"/>
    <w:rPr>
      <w:rFonts w:ascii="Times New Roman" w:eastAsia="Times New Roman" w:hAnsi="Times New Roman" w:cs="Times New Roman"/>
      <w:sz w:val="24"/>
      <w:szCs w:val="20"/>
      <w:lang w:eastAsia="cs-CZ"/>
    </w:rPr>
  </w:style>
  <w:style w:type="character" w:styleId="Siln">
    <w:name w:val="Strong"/>
    <w:qFormat/>
    <w:rsid w:val="006732AB"/>
    <w:rPr>
      <w:b/>
      <w:sz w:val="20"/>
      <w:szCs w:val="20"/>
    </w:rPr>
  </w:style>
  <w:style w:type="paragraph" w:customStyle="1" w:styleId="Tabulkatext">
    <w:name w:val="Tabulka text"/>
    <w:basedOn w:val="Zkladntext"/>
    <w:rsid w:val="00497F68"/>
    <w:pPr>
      <w:spacing w:before="40" w:after="20"/>
      <w:jc w:val="left"/>
    </w:pPr>
  </w:style>
  <w:style w:type="paragraph" w:styleId="Titulek">
    <w:name w:val="caption"/>
    <w:basedOn w:val="Nzev"/>
    <w:qFormat/>
    <w:rsid w:val="00497F68"/>
    <w:pPr>
      <w:spacing w:before="60"/>
    </w:pPr>
    <w:rPr>
      <w:color w:val="auto"/>
      <w:sz w:val="24"/>
    </w:rPr>
  </w:style>
  <w:style w:type="character" w:customStyle="1" w:styleId="Nadpis1Char">
    <w:name w:val="Nadpis 1 Char"/>
    <w:basedOn w:val="Standardnpsmoodstavce"/>
    <w:link w:val="Nadpis1"/>
    <w:uiPriority w:val="9"/>
    <w:rsid w:val="003816A3"/>
    <w:rPr>
      <w:b/>
      <w:color w:val="A40000"/>
      <w:sz w:val="28"/>
      <w:szCs w:val="28"/>
    </w:rPr>
  </w:style>
  <w:style w:type="paragraph" w:styleId="Zhlav">
    <w:name w:val="header"/>
    <w:basedOn w:val="Normln"/>
    <w:link w:val="ZhlavChar"/>
    <w:uiPriority w:val="99"/>
    <w:unhideWhenUsed/>
    <w:rsid w:val="005B2C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2C97"/>
  </w:style>
  <w:style w:type="paragraph" w:styleId="Zpat">
    <w:name w:val="footer"/>
    <w:basedOn w:val="Normln"/>
    <w:link w:val="ZpatChar"/>
    <w:uiPriority w:val="99"/>
    <w:unhideWhenUsed/>
    <w:rsid w:val="005B2C97"/>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C97"/>
  </w:style>
  <w:style w:type="paragraph" w:customStyle="1" w:styleId="CVKeypoint">
    <w:name w:val="CV Keypoint"/>
    <w:basedOn w:val="Normln"/>
    <w:rsid w:val="007205CE"/>
    <w:pPr>
      <w:keepLines/>
      <w:numPr>
        <w:numId w:val="1"/>
      </w:numPr>
      <w:tabs>
        <w:tab w:val="left" w:pos="3226"/>
      </w:tabs>
      <w:suppressAutoHyphens/>
      <w:spacing w:before="80" w:after="40" w:line="240" w:lineRule="auto"/>
    </w:pPr>
    <w:rPr>
      <w:rFonts w:ascii="Times New Roman" w:eastAsia="Times New Roman" w:hAnsi="Times New Roman" w:cs="Times New Roman"/>
      <w:color w:val="000000"/>
      <w:sz w:val="24"/>
      <w:szCs w:val="20"/>
      <w:lang w:val="en-GB" w:eastAsia="ar-SA"/>
    </w:rPr>
  </w:style>
  <w:style w:type="paragraph" w:customStyle="1" w:styleId="CVKeypointHdr">
    <w:name w:val="CV Keypoint Hdr"/>
    <w:basedOn w:val="Normln"/>
    <w:next w:val="CVKeypoint"/>
    <w:rsid w:val="007205CE"/>
    <w:pPr>
      <w:keepNext/>
      <w:keepLines/>
      <w:pBdr>
        <w:bottom w:val="single" w:sz="8" w:space="0" w:color="000000"/>
      </w:pBdr>
      <w:suppressAutoHyphens/>
      <w:spacing w:before="360" w:after="120" w:line="240" w:lineRule="auto"/>
    </w:pPr>
    <w:rPr>
      <w:rFonts w:ascii="Arial" w:eastAsia="Times New Roman" w:hAnsi="Arial" w:cs="Arial"/>
      <w:b/>
      <w:szCs w:val="20"/>
      <w:lang w:val="en-GB" w:eastAsia="ar-SA"/>
    </w:rPr>
  </w:style>
  <w:style w:type="paragraph" w:customStyle="1" w:styleId="tlodokumentu">
    <w:name w:val="tělo dokumentu"/>
    <w:basedOn w:val="Normln"/>
    <w:rsid w:val="007205CE"/>
    <w:pPr>
      <w:keepLines/>
      <w:suppressAutoHyphens/>
      <w:spacing w:before="120" w:after="40" w:line="360" w:lineRule="auto"/>
      <w:jc w:val="both"/>
    </w:pPr>
    <w:rPr>
      <w:rFonts w:ascii="Arial" w:eastAsia="Times New Roman" w:hAnsi="Arial" w:cs="Times New Roman"/>
      <w:sz w:val="20"/>
      <w:szCs w:val="20"/>
      <w:lang w:val="en-GB" w:eastAsia="ar-SA"/>
    </w:rPr>
  </w:style>
  <w:style w:type="paragraph" w:customStyle="1" w:styleId="CVSummary">
    <w:name w:val="CV Summary"/>
    <w:basedOn w:val="Normln"/>
    <w:rsid w:val="007205CE"/>
    <w:pPr>
      <w:keepLines/>
      <w:suppressAutoHyphens/>
      <w:spacing w:before="40" w:after="40" w:line="240" w:lineRule="auto"/>
      <w:jc w:val="both"/>
    </w:pPr>
    <w:rPr>
      <w:rFonts w:ascii="Times New Roman" w:eastAsia="Times New Roman" w:hAnsi="Times New Roman" w:cs="Times New Roman"/>
      <w:color w:val="000000"/>
      <w:sz w:val="24"/>
      <w:szCs w:val="20"/>
      <w:lang w:val="en-GB" w:eastAsia="ar-SA"/>
    </w:rPr>
  </w:style>
  <w:style w:type="paragraph" w:customStyle="1" w:styleId="CVRole">
    <w:name w:val="CV Role"/>
    <w:basedOn w:val="Normln"/>
    <w:next w:val="Normln"/>
    <w:rsid w:val="00FA6EE1"/>
    <w:pPr>
      <w:keepNext/>
      <w:keepLines/>
      <w:tabs>
        <w:tab w:val="left" w:pos="8640"/>
        <w:tab w:val="right" w:pos="14760"/>
      </w:tabs>
      <w:suppressAutoHyphens/>
      <w:spacing w:before="120" w:after="40" w:line="240" w:lineRule="auto"/>
      <w:ind w:left="2880" w:hanging="2880"/>
    </w:pPr>
    <w:rPr>
      <w:rFonts w:ascii="Arial" w:eastAsia="Times New Roman" w:hAnsi="Arial" w:cs="Arial"/>
      <w:b/>
      <w:color w:val="000000"/>
      <w:szCs w:val="20"/>
      <w:lang w:val="en-GB" w:eastAsia="ar-SA"/>
    </w:rPr>
  </w:style>
  <w:style w:type="character" w:styleId="Hypertextovodkaz">
    <w:name w:val="Hyperlink"/>
    <w:uiPriority w:val="99"/>
    <w:rsid w:val="00855556"/>
    <w:rPr>
      <w:color w:val="0000FF"/>
      <w:u w:val="single"/>
    </w:rPr>
  </w:style>
  <w:style w:type="paragraph" w:customStyle="1" w:styleId="LevelAssessment-Code">
    <w:name w:val="Level Assessment - Code"/>
    <w:basedOn w:val="Normln"/>
    <w:next w:val="Normln"/>
    <w:rsid w:val="00855556"/>
    <w:pPr>
      <w:suppressAutoHyphens/>
      <w:spacing w:after="0" w:line="240" w:lineRule="auto"/>
      <w:ind w:left="28"/>
      <w:jc w:val="center"/>
    </w:pPr>
    <w:rPr>
      <w:rFonts w:ascii="Arial Narrow" w:eastAsia="Times New Roman" w:hAnsi="Arial Narrow" w:cs="Times New Roman"/>
      <w:sz w:val="18"/>
      <w:szCs w:val="20"/>
      <w:lang w:val="en-US" w:eastAsia="ar-SA"/>
    </w:rPr>
  </w:style>
  <w:style w:type="paragraph" w:customStyle="1" w:styleId="CVMajor">
    <w:name w:val="CV Major"/>
    <w:basedOn w:val="Normln"/>
    <w:rsid w:val="00855556"/>
    <w:pPr>
      <w:suppressAutoHyphens/>
      <w:spacing w:after="0" w:line="240" w:lineRule="auto"/>
      <w:ind w:left="113" w:right="113"/>
    </w:pPr>
    <w:rPr>
      <w:rFonts w:ascii="Arial Narrow" w:eastAsia="Times New Roman" w:hAnsi="Arial Narrow" w:cs="Times New Roman"/>
      <w:b/>
      <w:sz w:val="24"/>
      <w:szCs w:val="20"/>
      <w:lang w:val="en-US" w:eastAsia="ar-SA"/>
    </w:rPr>
  </w:style>
  <w:style w:type="paragraph" w:styleId="Textbubliny">
    <w:name w:val="Balloon Text"/>
    <w:basedOn w:val="Normln"/>
    <w:link w:val="TextbublinyChar"/>
    <w:uiPriority w:val="99"/>
    <w:semiHidden/>
    <w:unhideWhenUsed/>
    <w:rsid w:val="000261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613B"/>
    <w:rPr>
      <w:rFonts w:ascii="Segoe UI" w:hAnsi="Segoe UI" w:cs="Segoe UI"/>
      <w:sz w:val="18"/>
      <w:szCs w:val="18"/>
    </w:rPr>
  </w:style>
  <w:style w:type="table" w:customStyle="1" w:styleId="TableNormal">
    <w:name w:val="Table Normal"/>
    <w:uiPriority w:val="2"/>
    <w:semiHidden/>
    <w:unhideWhenUsed/>
    <w:qFormat/>
    <w:rsid w:val="002837A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837AE"/>
    <w:pPr>
      <w:widowControl w:val="0"/>
      <w:spacing w:after="0" w:line="240" w:lineRule="auto"/>
    </w:pPr>
    <w:rPr>
      <w:lang w:val="en-US"/>
    </w:rPr>
  </w:style>
  <w:style w:type="character" w:customStyle="1" w:styleId="Nadpis6Char">
    <w:name w:val="Nadpis 6 Char"/>
    <w:basedOn w:val="Standardnpsmoodstavce"/>
    <w:link w:val="Nadpis6"/>
    <w:uiPriority w:val="9"/>
    <w:semiHidden/>
    <w:rsid w:val="00817678"/>
    <w:rPr>
      <w:rFonts w:asciiTheme="majorHAnsi" w:eastAsiaTheme="majorEastAsia" w:hAnsiTheme="majorHAnsi" w:cstheme="majorBidi"/>
      <w:color w:val="1F4D78" w:themeColor="accent1" w:themeShade="7F"/>
    </w:rPr>
  </w:style>
  <w:style w:type="character" w:customStyle="1" w:styleId="apple-converted-space">
    <w:name w:val="apple-converted-space"/>
    <w:basedOn w:val="Standardnpsmoodstavce"/>
    <w:rsid w:val="000B5505"/>
  </w:style>
  <w:style w:type="paragraph" w:customStyle="1" w:styleId="Default">
    <w:name w:val="Default"/>
    <w:rsid w:val="005813FB"/>
    <w:pPr>
      <w:autoSpaceDE w:val="0"/>
      <w:autoSpaceDN w:val="0"/>
      <w:adjustRightInd w:val="0"/>
      <w:spacing w:after="0" w:line="240" w:lineRule="auto"/>
    </w:pPr>
    <w:rPr>
      <w:rFonts w:ascii="Calibri" w:hAnsi="Calibri" w:cs="Calibri"/>
      <w:color w:val="000000"/>
      <w:sz w:val="24"/>
      <w:szCs w:val="24"/>
    </w:rPr>
  </w:style>
  <w:style w:type="paragraph" w:styleId="Bezmezer">
    <w:name w:val="No Spacing"/>
    <w:aliases w:val="Normal tučny"/>
    <w:link w:val="BezmezerChar"/>
    <w:uiPriority w:val="1"/>
    <w:qFormat/>
    <w:rsid w:val="00B63644"/>
    <w:pPr>
      <w:spacing w:after="0" w:line="240" w:lineRule="auto"/>
    </w:pPr>
    <w:rPr>
      <w:rFonts w:eastAsiaTheme="minorEastAsia"/>
      <w:sz w:val="21"/>
      <w:szCs w:val="21"/>
      <w:lang w:eastAsia="cs-CZ"/>
    </w:rPr>
  </w:style>
  <w:style w:type="paragraph" w:customStyle="1" w:styleId="BodyText2">
    <w:name w:val="Body Text2"/>
    <w:uiPriority w:val="99"/>
    <w:rsid w:val="00B63644"/>
    <w:pPr>
      <w:spacing w:before="120" w:after="120" w:line="264" w:lineRule="auto"/>
      <w:jc w:val="both"/>
    </w:pPr>
    <w:rPr>
      <w:rFonts w:eastAsia="Times New Roman"/>
      <w:color w:val="000000"/>
      <w:sz w:val="20"/>
      <w:szCs w:val="48"/>
    </w:rPr>
  </w:style>
  <w:style w:type="character" w:customStyle="1" w:styleId="BezmezerChar">
    <w:name w:val="Bez mezer Char"/>
    <w:aliases w:val="Normal tučny Char"/>
    <w:basedOn w:val="Standardnpsmoodstavce"/>
    <w:link w:val="Bezmezer"/>
    <w:uiPriority w:val="1"/>
    <w:locked/>
    <w:rsid w:val="00B63644"/>
    <w:rPr>
      <w:rFonts w:eastAsiaTheme="minorEastAsia"/>
      <w:sz w:val="21"/>
      <w:szCs w:val="21"/>
      <w:lang w:eastAsia="cs-CZ"/>
    </w:rPr>
  </w:style>
  <w:style w:type="paragraph" w:customStyle="1" w:styleId="Table">
    <w:name w:val="Table"/>
    <w:basedOn w:val="Normln"/>
    <w:uiPriority w:val="99"/>
    <w:rsid w:val="00B63644"/>
    <w:pPr>
      <w:keepLines/>
      <w:overflowPunct w:val="0"/>
      <w:autoSpaceDE w:val="0"/>
      <w:autoSpaceDN w:val="0"/>
      <w:adjustRightInd w:val="0"/>
      <w:spacing w:before="20" w:after="20" w:line="264" w:lineRule="auto"/>
      <w:textAlignment w:val="baseline"/>
    </w:pPr>
    <w:rPr>
      <w:rFonts w:eastAsiaTheme="minorEastAsia"/>
      <w:sz w:val="18"/>
      <w:szCs w:val="20"/>
      <w:lang w:val="en-GB"/>
    </w:rPr>
  </w:style>
  <w:style w:type="paragraph" w:customStyle="1" w:styleId="abc">
    <w:name w:val="abc"/>
    <w:basedOn w:val="Normln"/>
    <w:link w:val="abcChar"/>
    <w:rsid w:val="001B6540"/>
    <w:pPr>
      <w:spacing w:before="120" w:after="120" w:line="276" w:lineRule="auto"/>
      <w:jc w:val="both"/>
    </w:pPr>
    <w:rPr>
      <w:rFonts w:eastAsia="Times New Roman" w:cs="Times New Roman"/>
      <w:sz w:val="20"/>
      <w:szCs w:val="24"/>
      <w:lang w:eastAsia="cs-CZ"/>
    </w:rPr>
  </w:style>
  <w:style w:type="character" w:customStyle="1" w:styleId="abcChar">
    <w:name w:val="abc Char"/>
    <w:basedOn w:val="Standardnpsmoodstavce"/>
    <w:link w:val="abc"/>
    <w:rsid w:val="001B6540"/>
    <w:rPr>
      <w:rFonts w:eastAsia="Times New Roman" w:cs="Times New Roman"/>
      <w:sz w:val="20"/>
      <w:szCs w:val="24"/>
      <w:lang w:eastAsia="cs-CZ"/>
    </w:rPr>
  </w:style>
  <w:style w:type="character" w:styleId="Odkaznakoment">
    <w:name w:val="annotation reference"/>
    <w:basedOn w:val="Standardnpsmoodstavce"/>
    <w:uiPriority w:val="99"/>
    <w:semiHidden/>
    <w:unhideWhenUsed/>
    <w:rsid w:val="00D050D1"/>
    <w:rPr>
      <w:sz w:val="16"/>
      <w:szCs w:val="16"/>
    </w:rPr>
  </w:style>
  <w:style w:type="paragraph" w:styleId="Textkomente">
    <w:name w:val="annotation text"/>
    <w:basedOn w:val="Normln"/>
    <w:link w:val="TextkomenteChar"/>
    <w:uiPriority w:val="99"/>
    <w:semiHidden/>
    <w:unhideWhenUsed/>
    <w:rsid w:val="00D050D1"/>
    <w:pPr>
      <w:spacing w:line="240" w:lineRule="auto"/>
    </w:pPr>
    <w:rPr>
      <w:sz w:val="20"/>
      <w:szCs w:val="20"/>
    </w:rPr>
  </w:style>
  <w:style w:type="character" w:customStyle="1" w:styleId="TextkomenteChar">
    <w:name w:val="Text komentáře Char"/>
    <w:basedOn w:val="Standardnpsmoodstavce"/>
    <w:link w:val="Textkomente"/>
    <w:uiPriority w:val="99"/>
    <w:semiHidden/>
    <w:rsid w:val="00D050D1"/>
    <w:rPr>
      <w:sz w:val="20"/>
      <w:szCs w:val="20"/>
    </w:rPr>
  </w:style>
  <w:style w:type="paragraph" w:styleId="Pedmtkomente">
    <w:name w:val="annotation subject"/>
    <w:basedOn w:val="Textkomente"/>
    <w:next w:val="Textkomente"/>
    <w:link w:val="PedmtkomenteChar"/>
    <w:uiPriority w:val="99"/>
    <w:semiHidden/>
    <w:unhideWhenUsed/>
    <w:rsid w:val="00D050D1"/>
    <w:rPr>
      <w:b/>
      <w:bCs/>
    </w:rPr>
  </w:style>
  <w:style w:type="character" w:customStyle="1" w:styleId="PedmtkomenteChar">
    <w:name w:val="Předmět komentáře Char"/>
    <w:basedOn w:val="TextkomenteChar"/>
    <w:link w:val="Pedmtkomente"/>
    <w:uiPriority w:val="99"/>
    <w:semiHidden/>
    <w:rsid w:val="00D050D1"/>
    <w:rPr>
      <w:b/>
      <w:bCs/>
      <w:sz w:val="20"/>
      <w:szCs w:val="20"/>
    </w:rPr>
  </w:style>
  <w:style w:type="character" w:customStyle="1" w:styleId="Nadpis3Char">
    <w:name w:val="Nadpis 3 Char"/>
    <w:basedOn w:val="Standardnpsmoodstavce"/>
    <w:link w:val="Nadpis3"/>
    <w:uiPriority w:val="9"/>
    <w:semiHidden/>
    <w:rsid w:val="00512C32"/>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uiPriority w:val="9"/>
    <w:semiHidden/>
    <w:rsid w:val="00BA1545"/>
    <w:rPr>
      <w:rFonts w:asciiTheme="majorHAnsi" w:eastAsiaTheme="majorEastAsia" w:hAnsiTheme="majorHAnsi" w:cstheme="majorBidi"/>
      <w:color w:val="2E74B5" w:themeColor="accent1" w:themeShade="BF"/>
      <w:sz w:val="26"/>
      <w:szCs w:val="26"/>
    </w:rPr>
  </w:style>
  <w:style w:type="paragraph" w:styleId="Normlnweb">
    <w:name w:val="Normal (Web)"/>
    <w:basedOn w:val="Normln"/>
    <w:uiPriority w:val="99"/>
    <w:semiHidden/>
    <w:unhideWhenUsed/>
    <w:rsid w:val="006B0C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725A4A"/>
    <w:pPr>
      <w:spacing w:before="120" w:after="120"/>
    </w:pPr>
    <w:rPr>
      <w:rFonts w:cstheme="minorHAnsi"/>
      <w:b/>
      <w:bCs/>
      <w:caps/>
      <w:sz w:val="20"/>
      <w:szCs w:val="20"/>
    </w:rPr>
  </w:style>
  <w:style w:type="paragraph" w:styleId="Obsah2">
    <w:name w:val="toc 2"/>
    <w:basedOn w:val="Normln"/>
    <w:next w:val="Normln"/>
    <w:autoRedefine/>
    <w:uiPriority w:val="39"/>
    <w:unhideWhenUsed/>
    <w:rsid w:val="00725A4A"/>
    <w:pPr>
      <w:spacing w:after="0"/>
      <w:ind w:left="220"/>
    </w:pPr>
    <w:rPr>
      <w:rFonts w:cstheme="minorHAnsi"/>
      <w:smallCaps/>
      <w:sz w:val="20"/>
      <w:szCs w:val="20"/>
    </w:rPr>
  </w:style>
  <w:style w:type="paragraph" w:styleId="Obsah3">
    <w:name w:val="toc 3"/>
    <w:basedOn w:val="Normln"/>
    <w:next w:val="Normln"/>
    <w:autoRedefine/>
    <w:uiPriority w:val="39"/>
    <w:unhideWhenUsed/>
    <w:rsid w:val="00725A4A"/>
    <w:pPr>
      <w:spacing w:after="0"/>
      <w:ind w:left="440"/>
    </w:pPr>
    <w:rPr>
      <w:rFonts w:cstheme="minorHAnsi"/>
      <w:i/>
      <w:iCs/>
      <w:sz w:val="20"/>
      <w:szCs w:val="20"/>
    </w:rPr>
  </w:style>
  <w:style w:type="paragraph" w:styleId="Obsah4">
    <w:name w:val="toc 4"/>
    <w:basedOn w:val="Normln"/>
    <w:next w:val="Normln"/>
    <w:autoRedefine/>
    <w:uiPriority w:val="39"/>
    <w:unhideWhenUsed/>
    <w:rsid w:val="00725A4A"/>
    <w:pPr>
      <w:spacing w:after="0"/>
      <w:ind w:left="660"/>
    </w:pPr>
    <w:rPr>
      <w:rFonts w:cstheme="minorHAnsi"/>
      <w:sz w:val="18"/>
      <w:szCs w:val="18"/>
    </w:rPr>
  </w:style>
  <w:style w:type="paragraph" w:styleId="Obsah5">
    <w:name w:val="toc 5"/>
    <w:basedOn w:val="Normln"/>
    <w:next w:val="Normln"/>
    <w:autoRedefine/>
    <w:uiPriority w:val="39"/>
    <w:unhideWhenUsed/>
    <w:rsid w:val="00725A4A"/>
    <w:pPr>
      <w:spacing w:after="0"/>
      <w:ind w:left="880"/>
    </w:pPr>
    <w:rPr>
      <w:rFonts w:cstheme="minorHAnsi"/>
      <w:sz w:val="18"/>
      <w:szCs w:val="18"/>
    </w:rPr>
  </w:style>
  <w:style w:type="paragraph" w:styleId="Obsah6">
    <w:name w:val="toc 6"/>
    <w:basedOn w:val="Normln"/>
    <w:next w:val="Normln"/>
    <w:autoRedefine/>
    <w:uiPriority w:val="39"/>
    <w:unhideWhenUsed/>
    <w:rsid w:val="00725A4A"/>
    <w:pPr>
      <w:spacing w:after="0"/>
      <w:ind w:left="1100"/>
    </w:pPr>
    <w:rPr>
      <w:rFonts w:cstheme="minorHAnsi"/>
      <w:sz w:val="18"/>
      <w:szCs w:val="18"/>
    </w:rPr>
  </w:style>
  <w:style w:type="paragraph" w:styleId="Obsah7">
    <w:name w:val="toc 7"/>
    <w:basedOn w:val="Normln"/>
    <w:next w:val="Normln"/>
    <w:autoRedefine/>
    <w:uiPriority w:val="39"/>
    <w:unhideWhenUsed/>
    <w:rsid w:val="00725A4A"/>
    <w:pPr>
      <w:spacing w:after="0"/>
      <w:ind w:left="1320"/>
    </w:pPr>
    <w:rPr>
      <w:rFonts w:cstheme="minorHAnsi"/>
      <w:sz w:val="18"/>
      <w:szCs w:val="18"/>
    </w:rPr>
  </w:style>
  <w:style w:type="paragraph" w:styleId="Obsah8">
    <w:name w:val="toc 8"/>
    <w:basedOn w:val="Normln"/>
    <w:next w:val="Normln"/>
    <w:autoRedefine/>
    <w:uiPriority w:val="39"/>
    <w:unhideWhenUsed/>
    <w:rsid w:val="00725A4A"/>
    <w:pPr>
      <w:spacing w:after="0"/>
      <w:ind w:left="1540"/>
    </w:pPr>
    <w:rPr>
      <w:rFonts w:cstheme="minorHAnsi"/>
      <w:sz w:val="18"/>
      <w:szCs w:val="18"/>
    </w:rPr>
  </w:style>
  <w:style w:type="paragraph" w:styleId="Obsah9">
    <w:name w:val="toc 9"/>
    <w:basedOn w:val="Normln"/>
    <w:next w:val="Normln"/>
    <w:autoRedefine/>
    <w:uiPriority w:val="39"/>
    <w:unhideWhenUsed/>
    <w:rsid w:val="00725A4A"/>
    <w:pPr>
      <w:spacing w:after="0"/>
      <w:ind w:left="1760"/>
    </w:pPr>
    <w:rPr>
      <w:rFonts w:cstheme="minorHAnsi"/>
      <w:sz w:val="18"/>
      <w:szCs w:val="18"/>
    </w:rPr>
  </w:style>
  <w:style w:type="character" w:customStyle="1" w:styleId="UnresolvedMention">
    <w:name w:val="Unresolved Mention"/>
    <w:basedOn w:val="Standardnpsmoodstavce"/>
    <w:uiPriority w:val="99"/>
    <w:semiHidden/>
    <w:unhideWhenUsed/>
    <w:rsid w:val="00675FAD"/>
    <w:rPr>
      <w:color w:val="808080"/>
      <w:shd w:val="clear" w:color="auto" w:fill="E6E6E6"/>
    </w:rPr>
  </w:style>
  <w:style w:type="character" w:customStyle="1" w:styleId="footnotedescriptionChar">
    <w:name w:val="footnote description Char"/>
    <w:link w:val="footnotedescription"/>
    <w:locked/>
    <w:rsid w:val="00C27FC5"/>
    <w:rPr>
      <w:rFonts w:ascii="Times New Roman" w:eastAsia="Times New Roman" w:hAnsi="Times New Roman" w:cs="Times New Roman"/>
      <w:color w:val="000000"/>
      <w:sz w:val="18"/>
      <w:lang w:eastAsia="cs-CZ"/>
    </w:rPr>
  </w:style>
  <w:style w:type="paragraph" w:customStyle="1" w:styleId="footnotedescription">
    <w:name w:val="footnote description"/>
    <w:next w:val="Normln"/>
    <w:link w:val="footnotedescriptionChar"/>
    <w:rsid w:val="00C27FC5"/>
    <w:pPr>
      <w:spacing w:after="0" w:line="256" w:lineRule="auto"/>
      <w:ind w:left="514"/>
    </w:pPr>
    <w:rPr>
      <w:rFonts w:ascii="Times New Roman" w:eastAsia="Times New Roman" w:hAnsi="Times New Roman" w:cs="Times New Roman"/>
      <w:color w:val="000000"/>
      <w:sz w:val="18"/>
      <w:lang w:eastAsia="cs-CZ"/>
    </w:rPr>
  </w:style>
  <w:style w:type="character" w:customStyle="1" w:styleId="footnotemark">
    <w:name w:val="footnote mark"/>
    <w:rsid w:val="00C27FC5"/>
    <w:rPr>
      <w:rFonts w:ascii="Times New Roman" w:eastAsia="Times New Roman" w:hAnsi="Times New Roman" w:cs="Times New Roman" w:hint="default"/>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693">
      <w:bodyDiv w:val="1"/>
      <w:marLeft w:val="0"/>
      <w:marRight w:val="0"/>
      <w:marTop w:val="0"/>
      <w:marBottom w:val="0"/>
      <w:divBdr>
        <w:top w:val="none" w:sz="0" w:space="0" w:color="auto"/>
        <w:left w:val="none" w:sz="0" w:space="0" w:color="auto"/>
        <w:bottom w:val="none" w:sz="0" w:space="0" w:color="auto"/>
        <w:right w:val="none" w:sz="0" w:space="0" w:color="auto"/>
      </w:divBdr>
    </w:div>
    <w:div w:id="904993012">
      <w:bodyDiv w:val="1"/>
      <w:marLeft w:val="0"/>
      <w:marRight w:val="0"/>
      <w:marTop w:val="0"/>
      <w:marBottom w:val="0"/>
      <w:divBdr>
        <w:top w:val="none" w:sz="0" w:space="0" w:color="auto"/>
        <w:left w:val="none" w:sz="0" w:space="0" w:color="auto"/>
        <w:bottom w:val="none" w:sz="0" w:space="0" w:color="auto"/>
        <w:right w:val="none" w:sz="0" w:space="0" w:color="auto"/>
      </w:divBdr>
    </w:div>
    <w:div w:id="976645242">
      <w:bodyDiv w:val="1"/>
      <w:marLeft w:val="0"/>
      <w:marRight w:val="0"/>
      <w:marTop w:val="0"/>
      <w:marBottom w:val="0"/>
      <w:divBdr>
        <w:top w:val="none" w:sz="0" w:space="0" w:color="auto"/>
        <w:left w:val="none" w:sz="0" w:space="0" w:color="auto"/>
        <w:bottom w:val="none" w:sz="0" w:space="0" w:color="auto"/>
        <w:right w:val="none" w:sz="0" w:space="0" w:color="auto"/>
      </w:divBdr>
    </w:div>
    <w:div w:id="1307273417">
      <w:bodyDiv w:val="1"/>
      <w:marLeft w:val="0"/>
      <w:marRight w:val="0"/>
      <w:marTop w:val="0"/>
      <w:marBottom w:val="0"/>
      <w:divBdr>
        <w:top w:val="none" w:sz="0" w:space="0" w:color="auto"/>
        <w:left w:val="none" w:sz="0" w:space="0" w:color="auto"/>
        <w:bottom w:val="none" w:sz="0" w:space="0" w:color="auto"/>
        <w:right w:val="none" w:sz="0" w:space="0" w:color="auto"/>
      </w:divBdr>
    </w:div>
    <w:div w:id="1588271975">
      <w:bodyDiv w:val="1"/>
      <w:marLeft w:val="0"/>
      <w:marRight w:val="0"/>
      <w:marTop w:val="0"/>
      <w:marBottom w:val="0"/>
      <w:divBdr>
        <w:top w:val="none" w:sz="0" w:space="0" w:color="auto"/>
        <w:left w:val="none" w:sz="0" w:space="0" w:color="auto"/>
        <w:bottom w:val="none" w:sz="0" w:space="0" w:color="auto"/>
        <w:right w:val="none" w:sz="0" w:space="0" w:color="auto"/>
      </w:divBdr>
    </w:div>
    <w:div w:id="1656951110">
      <w:bodyDiv w:val="1"/>
      <w:marLeft w:val="0"/>
      <w:marRight w:val="0"/>
      <w:marTop w:val="0"/>
      <w:marBottom w:val="0"/>
      <w:divBdr>
        <w:top w:val="none" w:sz="0" w:space="0" w:color="auto"/>
        <w:left w:val="none" w:sz="0" w:space="0" w:color="auto"/>
        <w:bottom w:val="none" w:sz="0" w:space="0" w:color="auto"/>
        <w:right w:val="none" w:sz="0" w:space="0" w:color="auto"/>
      </w:divBdr>
    </w:div>
    <w:div w:id="1700817498">
      <w:bodyDiv w:val="1"/>
      <w:marLeft w:val="0"/>
      <w:marRight w:val="0"/>
      <w:marTop w:val="0"/>
      <w:marBottom w:val="0"/>
      <w:divBdr>
        <w:top w:val="none" w:sz="0" w:space="0" w:color="auto"/>
        <w:left w:val="none" w:sz="0" w:space="0" w:color="auto"/>
        <w:bottom w:val="none" w:sz="0" w:space="0" w:color="auto"/>
        <w:right w:val="none" w:sz="0" w:space="0" w:color="auto"/>
      </w:divBdr>
    </w:div>
    <w:div w:id="1703283032">
      <w:bodyDiv w:val="1"/>
      <w:marLeft w:val="0"/>
      <w:marRight w:val="0"/>
      <w:marTop w:val="0"/>
      <w:marBottom w:val="0"/>
      <w:divBdr>
        <w:top w:val="none" w:sz="0" w:space="0" w:color="auto"/>
        <w:left w:val="none" w:sz="0" w:space="0" w:color="auto"/>
        <w:bottom w:val="none" w:sz="0" w:space="0" w:color="auto"/>
        <w:right w:val="none" w:sz="0" w:space="0" w:color="auto"/>
      </w:divBdr>
    </w:div>
    <w:div w:id="2029023090">
      <w:bodyDiv w:val="1"/>
      <w:marLeft w:val="0"/>
      <w:marRight w:val="0"/>
      <w:marTop w:val="0"/>
      <w:marBottom w:val="0"/>
      <w:divBdr>
        <w:top w:val="none" w:sz="0" w:space="0" w:color="auto"/>
        <w:left w:val="none" w:sz="0" w:space="0" w:color="auto"/>
        <w:bottom w:val="none" w:sz="0" w:space="0" w:color="auto"/>
        <w:right w:val="none" w:sz="0" w:space="0" w:color="auto"/>
      </w:divBdr>
    </w:div>
    <w:div w:id="20879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74E4B-AB73-4D37-B086-C4333F71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4060</Words>
  <Characters>23959</Characters>
  <Application>Microsoft Office Word</Application>
  <DocSecurity>0</DocSecurity>
  <Lines>199</Lines>
  <Paragraphs>55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Nemocnice Na Homolce</Company>
  <LinksUpToDate>false</LinksUpToDate>
  <CharactersWithSpaces>27964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Žádost o dotaci - IROP 10</dc:subject>
  <dc:creator>Václav Minářů</dc:creator>
  <cp:keywords/>
  <dc:description/>
  <cp:lastModifiedBy>Kapusňaková Jindřiška</cp:lastModifiedBy>
  <cp:revision>7</cp:revision>
  <cp:lastPrinted>2016-10-11T05:28:00Z</cp:lastPrinted>
  <dcterms:created xsi:type="dcterms:W3CDTF">2017-08-04T05:23:00Z</dcterms:created>
  <dcterms:modified xsi:type="dcterms:W3CDTF">2017-08-14T08:56:00Z</dcterms:modified>
  <cp:category/>
</cp:coreProperties>
</file>