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28"/>
        </w:rPr>
      </w:pPr>
    </w:p>
    <w:p>
      <w:pPr>
        <w:pStyle w:val="Title"/>
        <w:spacing w:before="100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5220300278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spacing w:before="1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Kvasice</w:t>
      </w:r>
    </w:p>
    <w:p>
      <w:pPr>
        <w:pStyle w:val="BodyText"/>
        <w:tabs>
          <w:tab w:pos="3262" w:val="left" w:leader="none"/>
        </w:tabs>
        <w:ind w:left="382" w:right="2132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Kvasice,</w:t>
      </w:r>
      <w:r>
        <w:rPr>
          <w:spacing w:val="-4"/>
        </w:rPr>
        <w:t> </w:t>
      </w:r>
      <w:r>
        <w:rPr/>
        <w:t>A.</w:t>
      </w:r>
      <w:r>
        <w:rPr>
          <w:spacing w:val="-6"/>
        </w:rPr>
        <w:t> </w:t>
      </w:r>
      <w:r>
        <w:rPr/>
        <w:t>Dohnala</w:t>
      </w:r>
      <w:r>
        <w:rPr>
          <w:spacing w:val="-6"/>
        </w:rPr>
        <w:t> </w:t>
      </w:r>
      <w:r>
        <w:rPr/>
        <w:t>18,</w:t>
      </w:r>
      <w:r>
        <w:rPr>
          <w:spacing w:val="-6"/>
        </w:rPr>
        <w:t> </w:t>
      </w:r>
      <w:r>
        <w:rPr/>
        <w:t>768</w:t>
      </w:r>
      <w:r>
        <w:rPr>
          <w:spacing w:val="-3"/>
        </w:rPr>
        <w:t> </w:t>
      </w:r>
      <w:r>
        <w:rPr/>
        <w:t>21</w:t>
      </w:r>
      <w:r>
        <w:rPr>
          <w:spacing w:val="-5"/>
        </w:rPr>
        <w:t> </w:t>
      </w:r>
      <w:r>
        <w:rPr/>
        <w:t>Kvasice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00287385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Dušanem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d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5075"/>
      </w:pPr>
      <w:r>
        <w:rPr/>
        <w:t>číslo účtu:</w:t>
        <w:tab/>
      </w:r>
      <w:r>
        <w:rPr>
          <w:spacing w:val="-2"/>
        </w:rPr>
        <w:t>94-7217691/0710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416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9"/>
        <w:jc w:val="both"/>
      </w:pPr>
      <w:r>
        <w:rPr/>
        <w:t>„Smlouva“) se uzavírá na základě Rozhodnutí ministra životního prostředí č. 5220300278 o poskytnutí 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3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4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ČR</w:t>
      </w:r>
      <w:r>
        <w:rPr>
          <w:spacing w:val="-14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13"/>
        </w:rPr>
        <w:t> </w:t>
      </w:r>
      <w:r>
        <w:rPr/>
        <w:t>11.</w:t>
      </w:r>
      <w:r>
        <w:rPr>
          <w:spacing w:val="-14"/>
        </w:rPr>
        <w:t> </w:t>
      </w:r>
      <w:r>
        <w:rPr/>
        <w:t>4.</w:t>
      </w:r>
      <w:r>
        <w:rPr>
          <w:spacing w:val="-7"/>
        </w:rPr>
        <w:t> </w:t>
      </w:r>
      <w:r>
        <w:rPr/>
        <w:t>2023,</w:t>
      </w:r>
      <w:r>
        <w:rPr>
          <w:spacing w:val="-13"/>
        </w:rPr>
        <w:t> </w:t>
      </w:r>
      <w:r>
        <w:rPr/>
        <w:t>změny</w:t>
      </w:r>
      <w:r>
        <w:rPr>
          <w:spacing w:val="-14"/>
        </w:rPr>
        <w:t> </w:t>
      </w:r>
      <w:r>
        <w:rPr/>
        <w:t>č.</w:t>
      </w:r>
      <w:r>
        <w:rPr>
          <w:spacing w:val="-14"/>
        </w:rPr>
        <w:t> </w:t>
      </w:r>
      <w:r>
        <w:rPr/>
        <w:t>1</w:t>
      </w:r>
      <w:r>
        <w:rPr>
          <w:spacing w:val="-13"/>
        </w:rPr>
        <w:t> </w:t>
      </w:r>
      <w:r>
        <w:rPr/>
        <w:t>Rozhodnutí ministra životního prostředí č. 5220300278 o poskytnutí finančních prostředků ze Státního fondu životního prostředí ČR ze dne 22.</w:t>
      </w:r>
      <w:r>
        <w:rPr>
          <w:spacing w:val="-2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 poskytování</w:t>
      </w:r>
      <w:r>
        <w:rPr>
          <w:spacing w:val="-14"/>
        </w:rPr>
        <w:t> </w:t>
      </w:r>
      <w:r>
        <w:rPr/>
        <w:t>finančních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4"/>
        </w:rPr>
        <w:t> </w:t>
      </w:r>
      <w:r>
        <w:rPr/>
        <w:t>fondu</w:t>
      </w:r>
      <w:r>
        <w:rPr>
          <w:spacing w:val="-14"/>
        </w:rPr>
        <w:t> </w:t>
      </w:r>
      <w:r>
        <w:rPr/>
        <w:t>životního</w:t>
      </w:r>
      <w:r>
        <w:rPr>
          <w:spacing w:val="-13"/>
        </w:rPr>
        <w:t> </w:t>
      </w:r>
      <w:r>
        <w:rPr/>
        <w:t>prostředí</w:t>
      </w:r>
      <w:r>
        <w:rPr>
          <w:spacing w:val="-14"/>
        </w:rPr>
        <w:t> </w:t>
      </w:r>
      <w:r>
        <w:rPr/>
        <w:t>České</w:t>
      </w:r>
      <w:r>
        <w:rPr>
          <w:spacing w:val="-14"/>
        </w:rPr>
        <w:t> </w:t>
      </w:r>
      <w:r>
        <w:rPr/>
        <w:t>republiky</w:t>
      </w:r>
      <w:r>
        <w:rPr>
          <w:spacing w:val="-13"/>
        </w:rPr>
        <w:t> </w:t>
      </w:r>
      <w:r>
        <w:rPr/>
        <w:t>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565"/>
        <w:jc w:val="both"/>
      </w:pPr>
      <w:r>
        <w:rPr/>
        <w:t>„Elektromobil</w:t>
      </w:r>
      <w:r>
        <w:rPr>
          <w:spacing w:val="-8"/>
        </w:rPr>
        <w:t> </w:t>
      </w:r>
      <w:r>
        <w:rPr/>
        <w:t>pro</w:t>
      </w:r>
      <w:r>
        <w:rPr>
          <w:spacing w:val="-8"/>
        </w:rPr>
        <w:t> </w:t>
      </w:r>
      <w:r>
        <w:rPr/>
        <w:t>obec</w:t>
      </w:r>
      <w:r>
        <w:rPr>
          <w:spacing w:val="-8"/>
        </w:rPr>
        <w:t> </w:t>
      </w:r>
      <w:r>
        <w:rPr>
          <w:spacing w:val="-2"/>
        </w:rPr>
        <w:t>Kvasice“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416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330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204,45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třicet tisíc dvě stě čtyři korun českých, čtyřicet pět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2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"/>
        <w:ind w:left="0"/>
        <w:rPr>
          <w:sz w:val="8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2"/>
              <w:ind w:left="1914" w:right="1907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2"/>
              <w:ind w:left="201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9" w:hRule="atLeast"/>
        </w:trPr>
        <w:tc>
          <w:tcPr>
            <w:tcW w:w="4390" w:type="dxa"/>
          </w:tcPr>
          <w:p>
            <w:pPr>
              <w:pStyle w:val="TableParagraph"/>
              <w:spacing w:before="122"/>
              <w:ind w:left="1913" w:right="19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2"/>
              <w:ind w:left="2021"/>
              <w:rPr>
                <w:sz w:val="20"/>
              </w:rPr>
            </w:pPr>
            <w:r>
              <w:rPr>
                <w:sz w:val="20"/>
              </w:rPr>
              <w:t>330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204,45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4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4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04" w:right="103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4" w:hanging="360"/>
        <w:jc w:val="left"/>
        <w:rPr>
          <w:sz w:val="20"/>
        </w:rPr>
      </w:pPr>
      <w:r>
        <w:rPr>
          <w:sz w:val="20"/>
        </w:rPr>
        <w:t>akce Elektromobil</w:t>
      </w:r>
      <w:r>
        <w:rPr>
          <w:spacing w:val="21"/>
          <w:sz w:val="20"/>
        </w:rPr>
        <w:t> </w:t>
      </w:r>
      <w:r>
        <w:rPr>
          <w:sz w:val="20"/>
        </w:rPr>
        <w:t>pro obec Kvasice</w:t>
      </w:r>
      <w:r>
        <w:rPr>
          <w:spacing w:val="21"/>
          <w:sz w:val="20"/>
        </w:rPr>
        <w:t> </w:t>
      </w:r>
      <w:r>
        <w:rPr>
          <w:sz w:val="20"/>
        </w:rPr>
        <w:t>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pořídí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4"/>
          <w:sz w:val="20"/>
        </w:rPr>
        <w:t> </w:t>
      </w:r>
      <w:r>
        <w:rPr>
          <w:sz w:val="20"/>
        </w:rPr>
        <w:t>neveřejné</w:t>
      </w:r>
      <w:r>
        <w:rPr>
          <w:spacing w:val="-5"/>
          <w:sz w:val="20"/>
        </w:rPr>
        <w:t> </w:t>
      </w:r>
      <w:r>
        <w:rPr>
          <w:sz w:val="20"/>
        </w:rPr>
        <w:t>dobíjecí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stanice.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vlastnictví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termín dokončení akce do konce 5/2025 a o dodržení tohoto termínu Fond bez zbytečného odkladu informovat (za termín ukončení projektu se považuje datum předání/převzetí posledního vozidla dle příslušné kupní smlouvy). Přitom se konstatuje, že akce byla zahájena v 4/2023.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6"/>
          <w:sz w:val="20"/>
        </w:rPr>
        <w:t> </w:t>
      </w:r>
      <w:r>
        <w:rPr>
          <w:sz w:val="20"/>
        </w:rPr>
        <w:t>znemožnily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(splnit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6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112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zdržet</w:t>
      </w:r>
      <w:r>
        <w:rPr>
          <w:spacing w:val="-6"/>
          <w:sz w:val="20"/>
        </w:rPr>
        <w:t> </w:t>
      </w:r>
      <w:r>
        <w:rPr>
          <w:sz w:val="20"/>
        </w:rPr>
        <w:t>podvodného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korupčního</w:t>
      </w:r>
      <w:r>
        <w:rPr>
          <w:spacing w:val="-5"/>
          <w:sz w:val="20"/>
        </w:rPr>
        <w:t> </w:t>
      </w:r>
      <w:r>
        <w:rPr>
          <w:sz w:val="20"/>
        </w:rPr>
        <w:t>jednání</w:t>
      </w:r>
      <w:r>
        <w:rPr>
          <w:spacing w:val="-6"/>
          <w:sz w:val="20"/>
        </w:rPr>
        <w:t> </w:t>
      </w:r>
      <w:r>
        <w:rPr>
          <w:sz w:val="20"/>
        </w:rPr>
        <w:t>definovaného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 </w:t>
      </w:r>
      <w:r>
        <w:rPr>
          <w:spacing w:val="-2"/>
          <w:sz w:val="20"/>
        </w:rPr>
        <w:t>Výzvy.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9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1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ind w:left="0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270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37" w:lineRule="auto" w:before="3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12"/>
        <w:ind w:left="0"/>
        <w:rPr>
          <w:b/>
          <w:sz w:val="28"/>
        </w:rPr>
      </w:pPr>
      <w:r>
        <w:rPr/>
        <w:pict>
          <v:rect style="position:absolute;margin-left:85.103996pt;margin-top:20.44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37" w:lineRule="auto" w:before="4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7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0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85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270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85.103996pt;margin-top:12.14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52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70720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5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2025-04-14T10:40:44Z</dcterms:created>
  <dcterms:modified xsi:type="dcterms:W3CDTF">2025-04-14T10:40:44Z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</Properties>
</file>