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368/2025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Libchavský p. ve Volfarticích - sečení travních porostů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STAVOTECH PLUS, s.r.o.</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Na Výsluní 433/2, 41201 Litoměřice</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28752228</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cs-CZ" w:eastAsia="cs-CZ" w:bidi="cs-CZ"/>
        </w:rPr>
        <w:t>CZ 28752228</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18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Libchavský p. ve Volfarticích - sečení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travních porostů v průtočném profilu vodního toku (VT) Libchavský potok ve Volfarticích (ř. km 3,700-6,600).</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124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ruderálních porostů (travní porosty, náletové dřeviny, rákosiny) v upraveném profilu VT na ploše 12000 m2 v rámci 1. seče.</w:t>
      </w:r>
    </w:p>
    <w:p>
      <w:pPr>
        <w:pStyle w:val="Style2"/>
        <w:keepNext w:val="0"/>
        <w:keepLines w:val="0"/>
        <w:widowControl w:val="0"/>
        <w:shd w:val="clear" w:color="auto" w:fill="auto"/>
        <w:bidi w:val="0"/>
        <w:spacing w:before="0" w:after="0" w:line="264" w:lineRule="auto"/>
        <w:ind w:left="0" w:right="0" w:firstLine="8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travních porostů v upraveném profilu VT na ploše 12000 m2</w:t>
      </w:r>
    </w:p>
    <w:p>
      <w:pPr>
        <w:pStyle w:val="Style2"/>
        <w:keepNext w:val="0"/>
        <w:keepLines w:val="0"/>
        <w:widowControl w:val="0"/>
        <w:shd w:val="clear" w:color="auto" w:fill="auto"/>
        <w:bidi w:val="0"/>
        <w:spacing w:before="0" w:after="0" w:line="264" w:lineRule="auto"/>
        <w:ind w:left="0" w:right="0" w:firstLine="8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v rámci 2. seče.</w:t>
      </w:r>
    </w:p>
    <w:p>
      <w:pPr>
        <w:pStyle w:val="Style2"/>
        <w:keepNext w:val="0"/>
        <w:keepLines w:val="0"/>
        <w:widowControl w:val="0"/>
        <w:shd w:val="clear" w:color="auto" w:fill="auto"/>
        <w:bidi w:val="0"/>
        <w:spacing w:before="0" w:after="0" w:line="276" w:lineRule="auto"/>
        <w:ind w:left="124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 vždy v rámci každé seče.</w:t>
      </w:r>
    </w:p>
    <w:p>
      <w:pPr>
        <w:pStyle w:val="Style12"/>
        <w:keepNext/>
        <w:keepLines/>
        <w:widowControl w:val="0"/>
        <w:shd w:val="clear" w:color="auto" w:fill="auto"/>
        <w:bidi w:val="0"/>
        <w:spacing w:before="0" w:after="0" w:line="240" w:lineRule="auto"/>
        <w:ind w:right="0" w:firstLine="20"/>
        <w:jc w:val="both"/>
      </w:pPr>
      <w:bookmarkStart w:id="12" w:name="bookmark12"/>
      <w:bookmarkStart w:id="13" w:name="bookmark13"/>
      <w:bookmarkStart w:id="14" w:name="bookmark14"/>
      <w:r>
        <w:rPr>
          <w:b/>
          <w:bCs/>
          <w:color w:val="000000"/>
          <w:spacing w:val="0"/>
          <w:w w:val="100"/>
          <w:position w:val="0"/>
          <w:shd w:val="clear" w:color="auto" w:fill="auto"/>
          <w:lang w:val="cs-CZ" w:eastAsia="cs-CZ" w:bidi="cs-CZ"/>
        </w:rPr>
        <w:t xml:space="preserve">Požadujeme provést dvě seče v kalendářním roce 2025 </w:t>
      </w:r>
      <w:r>
        <w:rPr>
          <w:color w:val="000000"/>
          <w:spacing w:val="0"/>
          <w:w w:val="100"/>
          <w:position w:val="0"/>
          <w:shd w:val="clear" w:color="auto" w:fill="auto"/>
          <w:lang w:val="cs-CZ" w:eastAsia="cs-CZ" w:bidi="cs-CZ"/>
        </w:rPr>
        <w:t>(1. seč květen-červen a 2. seč srpen-září). Termín započetí jednotlivých sečí bude upřesněn technickým dozorem investora (TDI).</w:t>
      </w:r>
      <w:bookmarkEnd w:id="12"/>
      <w:bookmarkEnd w:id="13"/>
      <w:bookmarkEnd w:id="14"/>
    </w:p>
    <w:p>
      <w:pPr>
        <w:pStyle w:val="Style12"/>
        <w:keepNext/>
        <w:keepLines/>
        <w:widowControl w:val="0"/>
        <w:shd w:val="clear" w:color="auto" w:fill="auto"/>
        <w:bidi w:val="0"/>
        <w:spacing w:before="0" w:after="0" w:line="240" w:lineRule="auto"/>
        <w:ind w:right="0" w:firstLine="2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bookmarkEnd w:id="15"/>
      <w:bookmarkEnd w:id="16"/>
      <w:bookmarkEnd w:id="17"/>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 xml:space="preserve">Koryto vodního toku Libchavský potok v úseku od opevněného profilu v blízkosti č. p. 120 ve Volfarticích (50.7254356N, 14.4722375E), po profil v blízkosti č. p. 43 ve Volfarticích (50.7388489N, 14.4463294E) – </w:t>
      </w:r>
      <w:r>
        <w:rPr>
          <w:b/>
          <w:bCs/>
          <w:color w:val="000000"/>
          <w:spacing w:val="0"/>
          <w:w w:val="100"/>
          <w:position w:val="0"/>
          <w:shd w:val="clear" w:color="auto" w:fill="auto"/>
          <w:lang w:val="cs-CZ" w:eastAsia="cs-CZ" w:bidi="cs-CZ"/>
        </w:rPr>
        <w:t>viz příloha č . 2 – Situace</w:t>
      </w:r>
      <w:r>
        <w:rPr>
          <w:color w:val="000000"/>
          <w:spacing w:val="0"/>
          <w:w w:val="100"/>
          <w:position w:val="0"/>
          <w:shd w:val="clear" w:color="auto" w:fill="auto"/>
          <w:lang w:val="cs-CZ" w:eastAsia="cs-CZ" w:bidi="cs-CZ"/>
        </w:rPr>
        <w:t>. Jedná se o tyto pozemky ve správě Povodí Ohře, státní podnik:</w:t>
      </w:r>
    </w:p>
    <w:p>
      <w:pPr>
        <w:pStyle w:val="Style2"/>
        <w:keepNext w:val="0"/>
        <w:keepLines w:val="0"/>
        <w:widowControl w:val="0"/>
        <w:shd w:val="clear" w:color="auto" w:fill="auto"/>
        <w:bidi w:val="0"/>
        <w:spacing w:before="0" w:after="180" w:line="221" w:lineRule="auto"/>
        <w:ind w:left="0" w:right="0" w:firstLine="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Volfartice - p. p. č. 1280/1</w:t>
      </w:r>
    </w:p>
    <w:p>
      <w:pPr>
        <w:pStyle w:val="Style12"/>
        <w:keepNext/>
        <w:keepLines/>
        <w:widowControl w:val="0"/>
        <w:numPr>
          <w:ilvl w:val="0"/>
          <w:numId w:val="1"/>
        </w:numPr>
        <w:shd w:val="clear" w:color="auto" w:fill="auto"/>
        <w:tabs>
          <w:tab w:pos="382" w:val="left"/>
        </w:tabs>
        <w:bidi w:val="0"/>
        <w:spacing w:before="0" w:after="180" w:line="240" w:lineRule="auto"/>
        <w:ind w:right="0" w:hanging="360"/>
        <w:jc w:val="both"/>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8"/>
      <w:bookmarkEnd w:id="19"/>
      <w:bookmarkEnd w:id="21"/>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Za předmět díla se dále považuje:</w:t>
      </w:r>
      <w:bookmarkEnd w:id="22"/>
      <w:bookmarkEnd w:id="23"/>
      <w:bookmarkEnd w:id="25"/>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6"/>
      <w:bookmarkEnd w:id="27"/>
      <w:bookmarkEnd w:id="29"/>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zajištění povolení ke vstupu a vjezdu na pozemky (mimo pozemků ve vlastnictví objednatele),</w:t>
      </w:r>
      <w:bookmarkEnd w:id="30"/>
      <w:bookmarkEnd w:id="31"/>
      <w:bookmarkEnd w:id="3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4"/>
      <w:bookmarkEnd w:id="35"/>
      <w:bookmarkEnd w:id="37"/>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zajištění povolení zvláštního užívání pozemní komunikace, bude-li potřeba,</w:t>
      </w:r>
      <w:bookmarkEnd w:id="38"/>
      <w:bookmarkEnd w:id="39"/>
      <w:bookmarkEnd w:id="41"/>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42"/>
      <w:bookmarkEnd w:id="43"/>
      <w:bookmarkEnd w:id="45"/>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zhotovitel zodpovídá za místo realizace díla i v době přerušení prací,</w:t>
      </w:r>
      <w:bookmarkEnd w:id="46"/>
      <w:bookmarkEnd w:id="47"/>
      <w:bookmarkEnd w:id="49"/>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50"/>
      <w:bookmarkEnd w:id="51"/>
      <w:bookmarkEnd w:id="53"/>
    </w:p>
    <w:p>
      <w:pPr>
        <w:pStyle w:val="Style12"/>
        <w:keepNext/>
        <w:keepLines/>
        <w:widowControl w:val="0"/>
        <w:numPr>
          <w:ilvl w:val="0"/>
          <w:numId w:val="3"/>
        </w:numPr>
        <w:shd w:val="clear" w:color="auto" w:fill="auto"/>
        <w:tabs>
          <w:tab w:pos="786" w:val="left"/>
        </w:tabs>
        <w:bidi w:val="0"/>
        <w:spacing w:before="0" w:after="180" w:line="240" w:lineRule="auto"/>
        <w:ind w:left="720" w:right="0"/>
        <w:jc w:val="both"/>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54"/>
      <w:bookmarkEnd w:id="55"/>
      <w:bookmarkEnd w:id="57"/>
    </w:p>
    <w:p>
      <w:pPr>
        <w:pStyle w:val="Style12"/>
        <w:keepNext/>
        <w:keepLines/>
        <w:widowControl w:val="0"/>
        <w:numPr>
          <w:ilvl w:val="0"/>
          <w:numId w:val="3"/>
        </w:numPr>
        <w:shd w:val="clear" w:color="auto" w:fill="auto"/>
        <w:tabs>
          <w:tab w:pos="734" w:val="left"/>
        </w:tabs>
        <w:bidi w:val="0"/>
        <w:spacing w:before="0" w:after="200" w:line="240" w:lineRule="auto"/>
        <w:ind w:left="720" w:right="0" w:hanging="32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8"/>
      <w:bookmarkEnd w:id="59"/>
      <w:bookmarkEnd w:id="61"/>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2"/>
      <w:bookmarkEnd w:id="63"/>
      <w:bookmarkEnd w:id="65"/>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6"/>
      <w:bookmarkEnd w:id="67"/>
      <w:bookmarkEnd w:id="69"/>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Objednatel předá zhotoviteli pracoviště (nebo jeho ucelenou část) prosté práv třetích osob.</w:t>
      </w:r>
      <w:bookmarkEnd w:id="70"/>
      <w:bookmarkEnd w:id="71"/>
      <w:bookmarkEnd w:id="73"/>
    </w:p>
    <w:p>
      <w:pPr>
        <w:pStyle w:val="Style12"/>
        <w:keepNext/>
        <w:keepLines/>
        <w:widowControl w:val="0"/>
        <w:shd w:val="clear" w:color="auto" w:fill="auto"/>
        <w:bidi w:val="0"/>
        <w:spacing w:before="0" w:after="200" w:line="240" w:lineRule="auto"/>
        <w:ind w:right="0" w:firstLine="40"/>
        <w:jc w:val="both"/>
      </w:pPr>
      <w:bookmarkStart w:id="74" w:name="bookmark74"/>
      <w:bookmarkStart w:id="75" w:name="bookmark75"/>
      <w:bookmarkStart w:id="76" w:name="bookmark76"/>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74"/>
      <w:bookmarkEnd w:id="75"/>
      <w:bookmarkEnd w:id="76"/>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77" w:name="bookmark77"/>
      <w:bookmarkEnd w:id="77"/>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78" w:name="bookmark78"/>
      <w:bookmarkEnd w:id="78"/>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9" w:name="bookmark79"/>
      <w:bookmarkEnd w:id="79"/>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0" w:name="bookmark80"/>
      <w:bookmarkEnd w:id="80"/>
      <w:r>
        <w:rPr>
          <w:b/>
          <w:bCs/>
          <w:color w:val="000000"/>
          <w:spacing w:val="0"/>
          <w:w w:val="100"/>
          <w:position w:val="0"/>
          <w:shd w:val="clear" w:color="auto" w:fill="auto"/>
          <w:lang w:val="cs-CZ" w:eastAsia="cs-CZ" w:bidi="cs-CZ"/>
        </w:rPr>
        <w:t>Dílčí termín pro dokončení 1. seče:</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Nejpozději do 30.6.2025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1" w:name="bookmark81"/>
      <w:bookmarkEnd w:id="81"/>
      <w:r>
        <w:rPr>
          <w:b/>
          <w:bCs/>
          <w:color w:val="000000"/>
          <w:spacing w:val="0"/>
          <w:w w:val="100"/>
          <w:position w:val="0"/>
          <w:shd w:val="clear" w:color="auto" w:fill="auto"/>
          <w:lang w:val="cs-CZ" w:eastAsia="cs-CZ" w:bidi="cs-CZ"/>
        </w:rPr>
        <w:t>předání a převzetí dokončeného díla včetně 2. seče:</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Nejpozději do 30.09.2025</w:t>
      </w:r>
    </w:p>
    <w:p>
      <w:pPr>
        <w:pStyle w:val="Style2"/>
        <w:keepNext w:val="0"/>
        <w:keepLines w:val="0"/>
        <w:widowControl w:val="0"/>
        <w:numPr>
          <w:ilvl w:val="0"/>
          <w:numId w:val="7"/>
        </w:numPr>
        <w:shd w:val="clear" w:color="auto" w:fill="auto"/>
        <w:tabs>
          <w:tab w:pos="806" w:val="left"/>
        </w:tabs>
        <w:bidi w:val="0"/>
        <w:spacing w:before="0" w:line="240" w:lineRule="auto"/>
        <w:ind w:left="720" w:right="0" w:hanging="320"/>
        <w:jc w:val="both"/>
      </w:pPr>
      <w:bookmarkStart w:id="82" w:name="bookmark82"/>
      <w:bookmarkEnd w:id="82"/>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83" w:name="bookmark83"/>
      <w:bookmarkEnd w:id="83"/>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84" w:name="bookmark84"/>
      <w:bookmarkEnd w:id="84"/>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0" w:line="288" w:lineRule="auto"/>
        <w:ind w:left="360" w:right="0" w:hanging="360"/>
        <w:jc w:val="both"/>
      </w:pPr>
      <w:bookmarkStart w:id="85" w:name="bookmark85"/>
      <w:bookmarkEnd w:id="85"/>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line="288"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pPr>
      <w:bookmarkStart w:id="86" w:name="bookmark86"/>
      <w:bookmarkEnd w:id="8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32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303" w:val="left"/>
        </w:tabs>
        <w:bidi w:val="0"/>
        <w:spacing w:before="0" w:after="60" w:line="240" w:lineRule="auto"/>
        <w:ind w:left="0" w:right="0" w:firstLine="380"/>
        <w:jc w:val="both"/>
      </w:pPr>
      <w:r>
        <w:rPr>
          <w:color w:val="000000"/>
          <w:spacing w:val="0"/>
          <w:w w:val="100"/>
          <w:position w:val="0"/>
          <w:shd w:val="clear" w:color="auto" w:fill="auto"/>
          <w:lang w:val="cs-CZ" w:eastAsia="cs-CZ" w:bidi="cs-CZ"/>
        </w:rPr>
        <w:t>Dílčí cena za 1. seč:</w:t>
        <w:tab/>
        <w:t>71.300,00 Kč bez DPH</w:t>
      </w:r>
    </w:p>
    <w:p>
      <w:pPr>
        <w:pStyle w:val="Style2"/>
        <w:keepNext w:val="0"/>
        <w:keepLines w:val="0"/>
        <w:widowControl w:val="0"/>
        <w:shd w:val="clear" w:color="auto" w:fill="auto"/>
        <w:tabs>
          <w:tab w:pos="4303" w:val="left"/>
        </w:tabs>
        <w:bidi w:val="0"/>
        <w:spacing w:before="0" w:after="60" w:line="240" w:lineRule="auto"/>
        <w:ind w:left="0" w:right="0" w:firstLine="380"/>
        <w:jc w:val="both"/>
      </w:pPr>
      <w:r>
        <w:rPr>
          <w:color w:val="000000"/>
          <w:spacing w:val="0"/>
          <w:w w:val="100"/>
          <w:position w:val="0"/>
          <w:shd w:val="clear" w:color="auto" w:fill="auto"/>
          <w:lang w:val="cs-CZ" w:eastAsia="cs-CZ" w:bidi="cs-CZ"/>
        </w:rPr>
        <w:t>Dílčí cena za 2. seč:</w:t>
        <w:tab/>
        <w:t>71.300,00 Kč bez DPH</w:t>
      </w:r>
    </w:p>
    <w:p>
      <w:pPr>
        <w:pStyle w:val="Style2"/>
        <w:keepNext w:val="0"/>
        <w:keepLines w:val="0"/>
        <w:widowControl w:val="0"/>
        <w:shd w:val="clear" w:color="auto" w:fill="auto"/>
        <w:tabs>
          <w:tab w:pos="4303" w:val="left"/>
        </w:tabs>
        <w:bidi w:val="0"/>
        <w:spacing w:before="0" w:after="420" w:line="240" w:lineRule="auto"/>
        <w:ind w:left="0" w:right="0" w:firstLine="380"/>
        <w:jc w:val="both"/>
      </w:pPr>
      <w:r>
        <w:rPr>
          <w:b/>
          <w:bCs/>
          <w:color w:val="000000"/>
          <w:spacing w:val="0"/>
          <w:w w:val="100"/>
          <w:position w:val="0"/>
          <w:shd w:val="clear" w:color="auto" w:fill="auto"/>
          <w:lang w:val="cs-CZ" w:eastAsia="cs-CZ" w:bidi="cs-CZ"/>
        </w:rPr>
        <w:t>Cena díla celkem:</w:t>
        <w:tab/>
        <w:t>142.600,00 Kč bez DPH</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6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ve formátu PDF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after="60" w:line="240" w:lineRule="auto"/>
        <w:ind w:left="0" w:right="0" w:firstLine="0"/>
        <w:jc w:val="both"/>
      </w:pPr>
      <w:bookmarkStart w:id="92" w:name="bookmark92"/>
      <w:bookmarkEnd w:id="92"/>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93" w:name="bookmark93"/>
      <w:bookmarkEnd w:id="93"/>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30.6.2025 (1.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94" w:name="bookmark94"/>
      <w:bookmarkEnd w:id="94"/>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1"/>
        </w:numPr>
        <w:shd w:val="clear" w:color="auto" w:fill="auto"/>
        <w:tabs>
          <w:tab w:pos="382" w:val="left"/>
        </w:tabs>
        <w:bidi w:val="0"/>
        <w:spacing w:before="0" w:after="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 xml:space="preserve">Pokud zhotovitel prací nedodrží správný postup fakturace, zejména ustanovení zákona č. 235/2004 Sb. o DPH v platném znění, v důsledku čehož dojde u objednatele k </w:t>
      </w:r>
      <w:r>
        <w:rPr>
          <w:color w:val="000000"/>
          <w:spacing w:val="0"/>
          <w:w w:val="100"/>
          <w:position w:val="0"/>
          <w:shd w:val="clear" w:color="auto" w:fill="auto"/>
          <w:lang w:val="cs-CZ" w:eastAsia="cs-CZ" w:bidi="cs-CZ"/>
        </w:rPr>
        <w:t>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97" w:name="bookmark97"/>
      <w:bookmarkEnd w:id="97"/>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after="6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Pokud bude zhotovitel v prodlení proti dílčímu termínu předání a převzetí dokončené části díla (1. seče) sjednaného dle čl. II. odst. 1. písm. c) této smlouvy, je povinen zaplatit objednateli smluvní pokutu ve výši 0,2 % z celkové ceny díla bez DPH dle čl. III. této smlouvy za každý i započatý kalendářní den prodlení, až do dne podpisu zápisu o předání a převzetí dokončené části díla (1. seče).</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celkové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Při nesplnění termínu vyklizení pracoviště, oproti dohodnutému termínu v čl. II. odst.1. písm. e)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471"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471"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502" w:val="left"/>
        </w:tabs>
        <w:bidi w:val="0"/>
        <w:spacing w:before="0" w:after="70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111" w:name="bookmark111"/>
      <w:bookmarkEnd w:id="111"/>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3"/>
        </w:numPr>
        <w:shd w:val="clear" w:color="auto" w:fill="auto"/>
        <w:tabs>
          <w:tab w:pos="986" w:val="left"/>
        </w:tabs>
        <w:bidi w:val="0"/>
        <w:spacing w:before="0" w:after="0" w:line="240" w:lineRule="auto"/>
        <w:ind w:left="0" w:right="0" w:firstLine="380"/>
        <w:jc w:val="both"/>
      </w:pPr>
      <w:bookmarkStart w:id="112" w:name="bookmark112"/>
      <w:bookmarkEnd w:id="112"/>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3"/>
        </w:numPr>
        <w:shd w:val="clear" w:color="auto" w:fill="auto"/>
        <w:tabs>
          <w:tab w:pos="986" w:val="left"/>
        </w:tabs>
        <w:bidi w:val="0"/>
        <w:spacing w:before="0" w:after="0" w:line="240" w:lineRule="auto"/>
        <w:ind w:left="1020" w:right="0" w:hanging="580"/>
        <w:jc w:val="both"/>
      </w:pPr>
      <w:bookmarkStart w:id="113" w:name="bookmark113"/>
      <w:bookmarkEnd w:id="11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3"/>
        </w:numPr>
        <w:shd w:val="clear" w:color="auto" w:fill="auto"/>
        <w:tabs>
          <w:tab w:pos="986" w:val="left"/>
        </w:tabs>
        <w:bidi w:val="0"/>
        <w:spacing w:before="0" w:after="0" w:line="240" w:lineRule="auto"/>
        <w:ind w:left="1020" w:right="0" w:hanging="580"/>
        <w:jc w:val="both"/>
      </w:pPr>
      <w:bookmarkStart w:id="114" w:name="bookmark114"/>
      <w:bookmarkEnd w:id="11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7" w:val="left"/>
        </w:tabs>
        <w:bidi w:val="0"/>
        <w:spacing w:before="0" w:after="18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7" w:val="left"/>
        </w:tabs>
        <w:bidi w:val="0"/>
        <w:spacing w:before="0" w:after="18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7" w:val="left"/>
        </w:tabs>
        <w:bidi w:val="0"/>
        <w:spacing w:before="0" w:after="18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7" w:val="left"/>
        </w:tabs>
        <w:bidi w:val="0"/>
        <w:spacing w:before="0" w:after="30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7" w:val="left"/>
        </w:tabs>
        <w:bidi w:val="0"/>
        <w:spacing w:before="0" w:after="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24"/>
      <w:bookmarkEnd w:id="125"/>
      <w:bookmarkEnd w:id="127"/>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bezdůvodném přerušení prací zhotovitele, které trvá více než 14 dnů,</w:t>
      </w:r>
      <w:bookmarkEnd w:id="128"/>
      <w:bookmarkEnd w:id="129"/>
      <w:bookmarkEnd w:id="131"/>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32"/>
      <w:bookmarkEnd w:id="133"/>
      <w:bookmarkEnd w:id="135"/>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neplněním povinností zhotovitele vést řádně zápisy do stavebního deníku.</w:t>
      </w:r>
      <w:bookmarkEnd w:id="136"/>
      <w:bookmarkEnd w:id="137"/>
      <w:bookmarkEnd w:id="139"/>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line="240" w:lineRule="auto"/>
        <w:ind w:left="0" w:right="0" w:firstLine="0"/>
        <w:jc w:val="left"/>
      </w:pPr>
      <w:bookmarkStart w:id="148" w:name="bookmark148"/>
      <w:bookmarkEnd w:id="148"/>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left"/>
        <w:sectPr>
          <w:headerReference w:type="default" r:id="rId5"/>
          <w:footerReference w:type="default" r:id="rId6"/>
          <w:footnotePr>
            <w:pos w:val="pageBottom"/>
            <w:numFmt w:val="decimal"/>
            <w:numRestart w:val="continuous"/>
          </w:footnotePr>
          <w:pgSz w:w="11909" w:h="16838"/>
          <w:pgMar w:top="1060" w:left="1392" w:right="1387" w:bottom="1240"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STAVOTECH PLUS, s.r.o.</w:t>
      </w:r>
    </w:p>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5993765</wp:posOffset>
              </wp:positionH>
              <wp:positionV relativeFrom="page">
                <wp:posOffset>9958705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1.94999999999999pt;margin-top:784.14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3366135</wp:posOffset>
              </wp:positionH>
              <wp:positionV relativeFrom="page">
                <wp:posOffset>383540</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5.05000000000001pt;margin-top:30.199999999999999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