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7100" w14:textId="77777777"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14:paraId="6A7FEB55" w14:textId="77777777"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14:paraId="48741004" w14:textId="77777777"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14:paraId="27975820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41C81F6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14:paraId="04B2BF5E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14:paraId="58643C82" w14:textId="77777777"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14:paraId="18722C62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14:paraId="6F1D6751" w14:textId="77777777" w:rsidR="008325E5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8325E5">
        <w:rPr>
          <w:rFonts w:ascii="Tahoma" w:hAnsi="Tahoma" w:cs="Tahoma"/>
          <w:sz w:val="20"/>
          <w:szCs w:val="22"/>
        </w:rPr>
        <w:t xml:space="preserve"> </w:t>
      </w:r>
    </w:p>
    <w:p w14:paraId="561185B6" w14:textId="77777777" w:rsidR="0046140A" w:rsidRDefault="008325E5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smluvních</w:t>
      </w:r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="0046140A"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14:paraId="7943778C" w14:textId="77777777" w:rsidR="008325E5" w:rsidRPr="00633675" w:rsidRDefault="008325E5" w:rsidP="008325E5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technických:</w:t>
      </w:r>
      <w:r>
        <w:rPr>
          <w:rFonts w:ascii="Tahoma" w:hAnsi="Tahoma" w:cs="Tahoma"/>
          <w:sz w:val="20"/>
          <w:szCs w:val="22"/>
        </w:rPr>
        <w:tab/>
        <w:t>prim. Vladimírem Kurfürstem</w:t>
      </w:r>
    </w:p>
    <w:p w14:paraId="2C4E2D4C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14:paraId="4E2C84C4" w14:textId="77777777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DIČ:</w:t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</w:r>
      <w:r w:rsidR="008325E5">
        <w:rPr>
          <w:rFonts w:ascii="Tahoma" w:hAnsi="Tahoma" w:cs="Tahoma"/>
          <w:sz w:val="20"/>
          <w:szCs w:val="22"/>
        </w:rPr>
        <w:tab/>
        <w:t>C</w:t>
      </w:r>
      <w:r w:rsidRPr="008E52BF">
        <w:rPr>
          <w:rFonts w:ascii="Tahoma" w:hAnsi="Tahoma" w:cs="Tahoma"/>
          <w:sz w:val="20"/>
          <w:szCs w:val="22"/>
        </w:rPr>
        <w:t>Z47813750</w:t>
      </w:r>
    </w:p>
    <w:p w14:paraId="1CEE29F9" w14:textId="77777777"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14:paraId="77CCF5F8" w14:textId="7EB37F49"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proofErr w:type="spellStart"/>
      <w:r w:rsidR="00F46DC4">
        <w:rPr>
          <w:rFonts w:ascii="Tahoma" w:hAnsi="Tahoma" w:cs="Tahoma"/>
          <w:sz w:val="20"/>
          <w:szCs w:val="22"/>
        </w:rPr>
        <w:t>xxx</w:t>
      </w:r>
      <w:proofErr w:type="spellEnd"/>
    </w:p>
    <w:p w14:paraId="0D0513FF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14:paraId="16DCDC81" w14:textId="77777777"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14:paraId="3204038D" w14:textId="77777777"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14:paraId="5F090506" w14:textId="6D6077B6"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D106C6">
        <w:rPr>
          <w:rFonts w:ascii="Tahoma" w:hAnsi="Tahoma" w:cs="Tahoma"/>
          <w:sz w:val="20"/>
          <w:szCs w:val="20"/>
        </w:rPr>
        <w:t>MEDESA s.r.o.</w:t>
      </w:r>
    </w:p>
    <w:p w14:paraId="781297FC" w14:textId="4CD07174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>se sídlem:</w:t>
      </w:r>
      <w:r w:rsidRPr="00D106C6">
        <w:rPr>
          <w:rFonts w:ascii="Tahoma" w:hAnsi="Tahoma" w:cs="Tahoma"/>
          <w:sz w:val="20"/>
          <w:szCs w:val="22"/>
        </w:rPr>
        <w:tab/>
      </w:r>
      <w:r w:rsidR="00D106C6" w:rsidRPr="00D106C6">
        <w:rPr>
          <w:rFonts w:ascii="Tahoma" w:hAnsi="Tahoma" w:cs="Tahoma"/>
          <w:sz w:val="20"/>
          <w:szCs w:val="22"/>
        </w:rPr>
        <w:t>Na Vyšehradě 1092, 572 01 Polička</w:t>
      </w:r>
    </w:p>
    <w:p w14:paraId="7C5D9275" w14:textId="74C94885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>zastoupena</w:t>
      </w:r>
      <w:r w:rsidRPr="00D106C6">
        <w:rPr>
          <w:rFonts w:ascii="Tahoma" w:hAnsi="Tahoma" w:cs="Tahoma"/>
          <w:sz w:val="20"/>
          <w:szCs w:val="22"/>
        </w:rPr>
        <w:tab/>
      </w:r>
      <w:r w:rsidR="00D106C6" w:rsidRPr="00D106C6">
        <w:rPr>
          <w:rFonts w:ascii="Tahoma" w:hAnsi="Tahoma" w:cs="Tahoma"/>
          <w:sz w:val="20"/>
          <w:szCs w:val="22"/>
        </w:rPr>
        <w:t>Mgr. Martinem Klepárníkem, Ph.D., prokuristou</w:t>
      </w:r>
    </w:p>
    <w:p w14:paraId="2CC892B5" w14:textId="4C1549C7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ab/>
      </w:r>
      <w:bookmarkStart w:id="2" w:name="_Hlk82416148"/>
      <w:r w:rsidRPr="00D106C6">
        <w:rPr>
          <w:rFonts w:ascii="Tahoma" w:hAnsi="Tahoma" w:cs="Tahoma"/>
          <w:sz w:val="20"/>
          <w:szCs w:val="22"/>
        </w:rPr>
        <w:t>ve věcech smluvních</w:t>
      </w:r>
      <w:bookmarkEnd w:id="2"/>
      <w:r w:rsidRPr="00D106C6">
        <w:rPr>
          <w:rFonts w:ascii="Tahoma" w:hAnsi="Tahoma" w:cs="Tahoma"/>
          <w:sz w:val="20"/>
          <w:szCs w:val="22"/>
        </w:rPr>
        <w:t>:</w:t>
      </w:r>
      <w:r w:rsidRPr="00D106C6">
        <w:rPr>
          <w:rFonts w:ascii="Tahoma" w:hAnsi="Tahoma" w:cs="Tahoma"/>
          <w:sz w:val="20"/>
          <w:szCs w:val="22"/>
        </w:rPr>
        <w:tab/>
      </w:r>
      <w:r w:rsidR="00D106C6" w:rsidRPr="00D106C6">
        <w:rPr>
          <w:rFonts w:ascii="Tahoma" w:hAnsi="Tahoma" w:cs="Tahoma"/>
          <w:sz w:val="20"/>
          <w:szCs w:val="22"/>
        </w:rPr>
        <w:t>Hanou Janíkovou</w:t>
      </w:r>
    </w:p>
    <w:p w14:paraId="25B0FB81" w14:textId="2C36215A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>IČO:</w:t>
      </w:r>
      <w:r w:rsidRPr="00D106C6">
        <w:rPr>
          <w:rFonts w:ascii="Tahoma" w:hAnsi="Tahoma" w:cs="Tahoma"/>
          <w:sz w:val="20"/>
          <w:szCs w:val="22"/>
        </w:rPr>
        <w:tab/>
      </w:r>
      <w:r w:rsidRPr="00D106C6">
        <w:rPr>
          <w:rFonts w:ascii="Tahoma" w:hAnsi="Tahoma" w:cs="Tahoma"/>
          <w:sz w:val="20"/>
          <w:szCs w:val="22"/>
        </w:rPr>
        <w:tab/>
      </w:r>
      <w:r w:rsidR="00D106C6" w:rsidRPr="00D106C6">
        <w:rPr>
          <w:rFonts w:ascii="Tahoma" w:hAnsi="Tahoma" w:cs="Tahoma"/>
          <w:sz w:val="20"/>
          <w:szCs w:val="22"/>
        </w:rPr>
        <w:t>64254577</w:t>
      </w:r>
    </w:p>
    <w:p w14:paraId="11AD3DDC" w14:textId="239C7C43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>DIČ:</w:t>
      </w:r>
      <w:r w:rsidRPr="00D106C6">
        <w:rPr>
          <w:rFonts w:ascii="Tahoma" w:hAnsi="Tahoma" w:cs="Tahoma"/>
          <w:sz w:val="20"/>
          <w:szCs w:val="22"/>
        </w:rPr>
        <w:tab/>
      </w:r>
      <w:r w:rsidRPr="00D106C6">
        <w:rPr>
          <w:rFonts w:ascii="Tahoma" w:hAnsi="Tahoma" w:cs="Tahoma"/>
          <w:sz w:val="20"/>
          <w:szCs w:val="22"/>
        </w:rPr>
        <w:tab/>
      </w:r>
      <w:r w:rsidR="00D106C6" w:rsidRPr="00D106C6">
        <w:rPr>
          <w:rFonts w:ascii="Tahoma" w:hAnsi="Tahoma" w:cs="Tahoma"/>
          <w:sz w:val="20"/>
          <w:szCs w:val="22"/>
        </w:rPr>
        <w:t>CZ64254577</w:t>
      </w:r>
    </w:p>
    <w:p w14:paraId="3E2AEB07" w14:textId="00F987EF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>bankovní spojení:</w:t>
      </w:r>
      <w:r w:rsidRPr="00D106C6">
        <w:rPr>
          <w:rFonts w:ascii="Tahoma" w:hAnsi="Tahoma" w:cs="Tahoma"/>
          <w:sz w:val="20"/>
          <w:szCs w:val="22"/>
        </w:rPr>
        <w:tab/>
      </w:r>
      <w:r w:rsidR="00D106C6" w:rsidRPr="00D106C6">
        <w:rPr>
          <w:rFonts w:ascii="Tahoma" w:hAnsi="Tahoma" w:cs="Tahoma"/>
          <w:sz w:val="20"/>
          <w:szCs w:val="22"/>
        </w:rPr>
        <w:t>MONETA Money Bank, a.s.</w:t>
      </w:r>
    </w:p>
    <w:p w14:paraId="0F8737AC" w14:textId="3F5A8CAB" w:rsidR="008E52BF" w:rsidRPr="00D106C6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D106C6">
        <w:rPr>
          <w:rFonts w:ascii="Tahoma" w:hAnsi="Tahoma" w:cs="Tahoma"/>
          <w:sz w:val="20"/>
          <w:szCs w:val="22"/>
        </w:rPr>
        <w:t>číslo účtu:</w:t>
      </w:r>
      <w:r w:rsidRPr="00D106C6">
        <w:rPr>
          <w:rFonts w:ascii="Tahoma" w:hAnsi="Tahoma" w:cs="Tahoma"/>
          <w:sz w:val="20"/>
          <w:szCs w:val="22"/>
        </w:rPr>
        <w:tab/>
      </w:r>
      <w:proofErr w:type="spellStart"/>
      <w:r w:rsidR="00F46DC4">
        <w:rPr>
          <w:rFonts w:ascii="Tahoma" w:hAnsi="Tahoma" w:cs="Tahoma"/>
          <w:sz w:val="20"/>
          <w:szCs w:val="22"/>
        </w:rPr>
        <w:t>xxx</w:t>
      </w:r>
      <w:proofErr w:type="spellEnd"/>
    </w:p>
    <w:p w14:paraId="516F89F0" w14:textId="2077D392"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D106C6">
        <w:rPr>
          <w:rFonts w:ascii="Tahoma" w:hAnsi="Tahoma" w:cs="Tahoma"/>
          <w:sz w:val="20"/>
          <w:szCs w:val="22"/>
        </w:rPr>
        <w:t xml:space="preserve">Zapsána v obchodním rejstříku vedeném </w:t>
      </w:r>
      <w:r w:rsidR="00D106C6" w:rsidRPr="00D106C6">
        <w:rPr>
          <w:rFonts w:ascii="Tahoma" w:hAnsi="Tahoma" w:cs="Tahoma"/>
          <w:iCs/>
          <w:sz w:val="20"/>
          <w:szCs w:val="20"/>
        </w:rPr>
        <w:t>Krajským</w:t>
      </w:r>
      <w:r w:rsidRPr="00D106C6">
        <w:rPr>
          <w:rFonts w:ascii="Tahoma" w:hAnsi="Tahoma" w:cs="Tahoma"/>
          <w:iCs/>
          <w:sz w:val="20"/>
          <w:szCs w:val="20"/>
        </w:rPr>
        <w:t xml:space="preserve"> soudem v</w:t>
      </w:r>
      <w:r w:rsidR="00D106C6" w:rsidRPr="00D106C6">
        <w:rPr>
          <w:rFonts w:ascii="Tahoma" w:hAnsi="Tahoma" w:cs="Tahoma"/>
          <w:iCs/>
          <w:sz w:val="20"/>
          <w:szCs w:val="20"/>
        </w:rPr>
        <w:t> Hradci Králové</w:t>
      </w:r>
      <w:r w:rsidRPr="00D106C6">
        <w:rPr>
          <w:rFonts w:ascii="Tahoma" w:hAnsi="Tahoma" w:cs="Tahoma"/>
          <w:iCs/>
          <w:sz w:val="20"/>
          <w:szCs w:val="20"/>
        </w:rPr>
        <w:t>, oddíl </w:t>
      </w:r>
      <w:r w:rsidR="00D106C6" w:rsidRPr="00D106C6">
        <w:rPr>
          <w:rFonts w:ascii="Tahoma" w:hAnsi="Tahoma" w:cs="Tahoma"/>
          <w:iCs/>
          <w:sz w:val="20"/>
          <w:szCs w:val="20"/>
        </w:rPr>
        <w:t>C,</w:t>
      </w:r>
      <w:r w:rsidRPr="00D106C6">
        <w:rPr>
          <w:rFonts w:ascii="Tahoma" w:hAnsi="Tahoma" w:cs="Tahoma"/>
          <w:iCs/>
          <w:sz w:val="20"/>
          <w:szCs w:val="20"/>
        </w:rPr>
        <w:t xml:space="preserve"> vložka </w:t>
      </w:r>
      <w:r w:rsidR="00D106C6" w:rsidRPr="00D106C6">
        <w:rPr>
          <w:rFonts w:ascii="Tahoma" w:hAnsi="Tahoma" w:cs="Tahoma"/>
          <w:iCs/>
          <w:sz w:val="20"/>
          <w:szCs w:val="20"/>
        </w:rPr>
        <w:t>8237</w:t>
      </w:r>
    </w:p>
    <w:p w14:paraId="3F0BAED4" w14:textId="77777777"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14:paraId="3E3ED169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AF46D2F" w14:textId="77777777"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14:paraId="5E0D54DA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7D128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14:paraId="193D7F85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751D20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8F43A87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5C7625E8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3B991F75" w14:textId="77777777"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14:paraId="7C588DBD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14:paraId="6C427B60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D840B7C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B96664" w14:textId="77777777"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r w:rsidR="00F45122">
        <w:rPr>
          <w:rFonts w:ascii="Tahoma" w:hAnsi="Tahoma" w:cs="Tahoma"/>
          <w:b/>
          <w:sz w:val="20"/>
          <w:szCs w:val="20"/>
        </w:rPr>
        <w:t xml:space="preserve">Výpůjčka </w:t>
      </w:r>
      <w:r w:rsidR="00EE3DC1">
        <w:rPr>
          <w:rFonts w:ascii="Tahoma" w:hAnsi="Tahoma" w:cs="Tahoma"/>
          <w:b/>
          <w:sz w:val="20"/>
          <w:szCs w:val="20"/>
        </w:rPr>
        <w:t xml:space="preserve">2 ks </w:t>
      </w:r>
      <w:r w:rsidR="00F45122">
        <w:rPr>
          <w:rFonts w:ascii="Tahoma" w:hAnsi="Tahoma" w:cs="Tahoma"/>
          <w:b/>
          <w:sz w:val="20"/>
          <w:szCs w:val="20"/>
        </w:rPr>
        <w:t xml:space="preserve">analyzátorů </w:t>
      </w:r>
      <w:r w:rsidR="00EE3DC1">
        <w:rPr>
          <w:rFonts w:ascii="Tahoma" w:hAnsi="Tahoma" w:cs="Tahoma"/>
          <w:b/>
          <w:sz w:val="20"/>
          <w:szCs w:val="20"/>
        </w:rPr>
        <w:t xml:space="preserve">pro stanovení hladiny glykemie </w:t>
      </w:r>
      <w:r w:rsidR="00F45122">
        <w:rPr>
          <w:rFonts w:ascii="Tahoma" w:hAnsi="Tahoma" w:cs="Tahoma"/>
          <w:b/>
          <w:sz w:val="20"/>
          <w:szCs w:val="20"/>
        </w:rPr>
        <w:t>včetně dodáv</w:t>
      </w:r>
      <w:r w:rsidR="00EE3DC1">
        <w:rPr>
          <w:rFonts w:ascii="Tahoma" w:hAnsi="Tahoma" w:cs="Tahoma"/>
          <w:b/>
          <w:sz w:val="20"/>
          <w:szCs w:val="20"/>
        </w:rPr>
        <w:t>e</w:t>
      </w:r>
      <w:r w:rsidR="00F45122">
        <w:rPr>
          <w:rFonts w:ascii="Tahoma" w:hAnsi="Tahoma" w:cs="Tahoma"/>
          <w:b/>
          <w:sz w:val="20"/>
          <w:szCs w:val="20"/>
        </w:rPr>
        <w:t>k spotřebního materiálu</w:t>
      </w:r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14:paraId="2C99FC12" w14:textId="77777777" w:rsidR="00AC45F4" w:rsidRPr="00EE3DC1" w:rsidRDefault="00AC45F4" w:rsidP="00EE3DC1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plnění dle této smlouvy j</w:t>
      </w:r>
      <w:r w:rsidR="000654E0">
        <w:rPr>
          <w:rFonts w:ascii="Tahoma" w:hAnsi="Tahoma" w:cs="Tahoma"/>
          <w:sz w:val="20"/>
          <w:szCs w:val="20"/>
        </w:rPr>
        <w:t xml:space="preserve">e </w:t>
      </w:r>
      <w:r w:rsidR="00914A6C" w:rsidRPr="00CE5772">
        <w:rPr>
          <w:rFonts w:ascii="Tahoma" w:hAnsi="Tahoma"/>
          <w:sz w:val="20"/>
          <w:szCs w:val="20"/>
        </w:rPr>
        <w:t xml:space="preserve">zajištění kompletních opakovaných </w:t>
      </w:r>
      <w:r w:rsidR="00914A6C" w:rsidRPr="00CE5772">
        <w:rPr>
          <w:rFonts w:ascii="Tahoma" w:hAnsi="Tahoma"/>
          <w:b/>
          <w:sz w:val="20"/>
          <w:szCs w:val="20"/>
        </w:rPr>
        <w:t xml:space="preserve">dodávek </w:t>
      </w:r>
      <w:r w:rsidR="00F45122">
        <w:rPr>
          <w:rFonts w:ascii="Tahoma" w:hAnsi="Tahoma"/>
          <w:b/>
          <w:sz w:val="20"/>
          <w:szCs w:val="20"/>
        </w:rPr>
        <w:t>specifického spotřebního materiálu pro stanovení</w:t>
      </w:r>
      <w:r w:rsidR="00EE3DC1">
        <w:rPr>
          <w:rFonts w:ascii="Tahoma" w:hAnsi="Tahoma"/>
          <w:b/>
          <w:sz w:val="20"/>
          <w:szCs w:val="20"/>
        </w:rPr>
        <w:t xml:space="preserve"> hladiny glykemie</w:t>
      </w:r>
      <w:r w:rsidR="00EE3DC1">
        <w:rPr>
          <w:rFonts w:ascii="Tahoma" w:hAnsi="Tahoma" w:cs="Tahoma"/>
          <w:sz w:val="20"/>
          <w:szCs w:val="20"/>
        </w:rPr>
        <w:t xml:space="preserve"> </w:t>
      </w:r>
      <w:r w:rsidR="00B35F85" w:rsidRPr="00EE3DC1">
        <w:rPr>
          <w:rFonts w:ascii="Tahoma" w:hAnsi="Tahoma"/>
          <w:sz w:val="20"/>
          <w:szCs w:val="20"/>
        </w:rPr>
        <w:t xml:space="preserve">po dobu </w:t>
      </w:r>
      <w:r w:rsidR="00F45122" w:rsidRPr="00EE3DC1">
        <w:rPr>
          <w:rFonts w:ascii="Tahoma" w:hAnsi="Tahoma"/>
          <w:sz w:val="20"/>
          <w:szCs w:val="20"/>
        </w:rPr>
        <w:t>4</w:t>
      </w:r>
      <w:r w:rsidR="00914A6C" w:rsidRPr="00EE3DC1">
        <w:rPr>
          <w:rFonts w:ascii="Tahoma" w:hAnsi="Tahoma"/>
          <w:sz w:val="20"/>
          <w:szCs w:val="20"/>
        </w:rPr>
        <w:t xml:space="preserve"> let</w:t>
      </w:r>
      <w:r w:rsidR="000654E0" w:rsidRPr="00EE3DC1">
        <w:rPr>
          <w:rFonts w:ascii="Tahoma" w:hAnsi="Tahoma"/>
          <w:sz w:val="20"/>
          <w:szCs w:val="20"/>
        </w:rPr>
        <w:t xml:space="preserve"> </w:t>
      </w:r>
      <w:r w:rsidRPr="00EE3DC1">
        <w:rPr>
          <w:rFonts w:ascii="Tahoma" w:hAnsi="Tahoma" w:cs="Tahoma"/>
          <w:sz w:val="20"/>
          <w:szCs w:val="20"/>
        </w:rPr>
        <w:t>um</w:t>
      </w:r>
      <w:r w:rsidR="00DC77B0" w:rsidRPr="00EE3DC1">
        <w:rPr>
          <w:rFonts w:ascii="Tahoma" w:hAnsi="Tahoma" w:cs="Tahoma"/>
          <w:sz w:val="20"/>
          <w:szCs w:val="20"/>
        </w:rPr>
        <w:t>o</w:t>
      </w:r>
      <w:r w:rsidRPr="00EE3DC1">
        <w:rPr>
          <w:rFonts w:ascii="Tahoma" w:hAnsi="Tahoma" w:cs="Tahoma"/>
          <w:sz w:val="20"/>
          <w:szCs w:val="20"/>
        </w:rPr>
        <w:t>žňující</w:t>
      </w:r>
      <w:r w:rsidR="000654E0" w:rsidRPr="00EE3DC1">
        <w:rPr>
          <w:rFonts w:ascii="Tahoma" w:hAnsi="Tahoma" w:cs="Tahoma"/>
          <w:sz w:val="20"/>
          <w:szCs w:val="20"/>
        </w:rPr>
        <w:t>ch</w:t>
      </w:r>
      <w:r w:rsidRPr="00EE3DC1">
        <w:rPr>
          <w:rFonts w:ascii="Tahoma" w:hAnsi="Tahoma" w:cs="Tahoma"/>
          <w:sz w:val="20"/>
          <w:szCs w:val="20"/>
        </w:rPr>
        <w:t xml:space="preserve"> kompletní provedení vyšetření</w:t>
      </w:r>
      <w:r w:rsidR="000654E0" w:rsidRPr="00EE3DC1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14:paraId="2A680E0A" w14:textId="77777777"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předmětu plnění je </w:t>
      </w:r>
      <w:r w:rsidRPr="001C61AE">
        <w:rPr>
          <w:rFonts w:ascii="Tahoma" w:hAnsi="Tahoma" w:cs="Tahoma"/>
          <w:sz w:val="20"/>
          <w:szCs w:val="20"/>
        </w:rPr>
        <w:t xml:space="preserve">bezplatná výpůjčka </w:t>
      </w:r>
      <w:r w:rsidR="00F45122" w:rsidRPr="00EE3DC1">
        <w:rPr>
          <w:rFonts w:ascii="Tahoma" w:hAnsi="Tahoma" w:cs="Tahoma"/>
          <w:sz w:val="20"/>
          <w:szCs w:val="20"/>
        </w:rPr>
        <w:t>2 ks</w:t>
      </w:r>
      <w:r w:rsidR="00C71EFE">
        <w:rPr>
          <w:rFonts w:ascii="Tahoma" w:hAnsi="Tahoma" w:cs="Tahoma"/>
          <w:sz w:val="20"/>
          <w:szCs w:val="20"/>
        </w:rPr>
        <w:t xml:space="preserve"> </w:t>
      </w:r>
      <w:r w:rsidRPr="001C61AE">
        <w:rPr>
          <w:rFonts w:ascii="Tahoma" w:hAnsi="Tahoma" w:cs="Tahoma"/>
          <w:sz w:val="20"/>
          <w:szCs w:val="20"/>
        </w:rPr>
        <w:t>analyzátor</w:t>
      </w:r>
      <w:r w:rsidR="00F45122">
        <w:rPr>
          <w:rFonts w:ascii="Tahoma" w:hAnsi="Tahoma" w:cs="Tahoma"/>
          <w:sz w:val="20"/>
          <w:szCs w:val="20"/>
        </w:rPr>
        <w:t>ů</w:t>
      </w:r>
      <w:r>
        <w:rPr>
          <w:rFonts w:ascii="Tahoma" w:hAnsi="Tahoma" w:cs="Tahoma"/>
          <w:sz w:val="20"/>
          <w:szCs w:val="20"/>
        </w:rPr>
        <w:t>, realizovaná za</w:t>
      </w:r>
      <w:r w:rsidR="000654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0654E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mínek podrobně vymezených v samosta</w:t>
      </w:r>
      <w:r w:rsidR="00DC77B0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né </w:t>
      </w:r>
      <w:r w:rsidRPr="001C61AE">
        <w:rPr>
          <w:rFonts w:ascii="Tahoma" w:hAnsi="Tahoma" w:cs="Tahoma"/>
          <w:sz w:val="20"/>
          <w:szCs w:val="20"/>
        </w:rPr>
        <w:t>smlouvě</w:t>
      </w:r>
      <w:r w:rsidR="00DC77B0" w:rsidRPr="001C61AE">
        <w:rPr>
          <w:rFonts w:ascii="Tahoma" w:hAnsi="Tahoma" w:cs="Tahoma"/>
          <w:sz w:val="20"/>
          <w:szCs w:val="20"/>
        </w:rPr>
        <w:t xml:space="preserve"> o výpůjčce.</w:t>
      </w:r>
    </w:p>
    <w:p w14:paraId="74EF64C1" w14:textId="77777777" w:rsidR="0046140A" w:rsidRPr="00EE3DC1" w:rsidRDefault="0046140A" w:rsidP="002B7B9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E3DC1">
        <w:rPr>
          <w:rFonts w:ascii="Tahoma" w:hAnsi="Tahoma" w:cs="Tahoma"/>
          <w:sz w:val="20"/>
          <w:szCs w:val="20"/>
        </w:rPr>
        <w:t xml:space="preserve">Prodávající se zavazuje </w:t>
      </w:r>
      <w:r w:rsidR="00420C46" w:rsidRPr="00EE3DC1">
        <w:rPr>
          <w:rFonts w:ascii="Tahoma" w:hAnsi="Tahoma" w:cs="Tahoma"/>
          <w:sz w:val="20"/>
          <w:szCs w:val="20"/>
        </w:rPr>
        <w:t xml:space="preserve">pravidelně </w:t>
      </w:r>
      <w:r w:rsidRPr="00EE3DC1">
        <w:rPr>
          <w:rFonts w:ascii="Tahoma" w:hAnsi="Tahoma" w:cs="Tahoma"/>
          <w:sz w:val="20"/>
          <w:szCs w:val="20"/>
        </w:rPr>
        <w:t>dod</w:t>
      </w:r>
      <w:r w:rsidR="00536683" w:rsidRPr="00EE3DC1">
        <w:rPr>
          <w:rFonts w:ascii="Tahoma" w:hAnsi="Tahoma" w:cs="Tahoma"/>
          <w:sz w:val="20"/>
          <w:szCs w:val="20"/>
        </w:rPr>
        <w:t>áv</w:t>
      </w:r>
      <w:r w:rsidR="00AC45F4" w:rsidRPr="00EE3DC1">
        <w:rPr>
          <w:rFonts w:ascii="Tahoma" w:hAnsi="Tahoma" w:cs="Tahoma"/>
          <w:sz w:val="20"/>
          <w:szCs w:val="20"/>
        </w:rPr>
        <w:t>at kupujícímu</w:t>
      </w:r>
      <w:r w:rsidR="00420C46" w:rsidRPr="00EE3DC1">
        <w:rPr>
          <w:rFonts w:ascii="Tahoma" w:hAnsi="Tahoma" w:cs="Tahoma"/>
          <w:sz w:val="20"/>
          <w:szCs w:val="20"/>
        </w:rPr>
        <w:t xml:space="preserve"> </w:t>
      </w:r>
      <w:r w:rsidR="00F45122" w:rsidRPr="00EE3DC1">
        <w:rPr>
          <w:rFonts w:ascii="Tahoma" w:hAnsi="Tahoma" w:cs="Tahoma"/>
          <w:sz w:val="20"/>
          <w:szCs w:val="20"/>
        </w:rPr>
        <w:t>diagnostika nutné ke stanovení</w:t>
      </w:r>
      <w:r w:rsidR="00EE3DC1" w:rsidRPr="00EE3DC1">
        <w:rPr>
          <w:rFonts w:ascii="Tahoma" w:hAnsi="Tahoma" w:cs="Tahoma"/>
          <w:sz w:val="20"/>
          <w:szCs w:val="20"/>
        </w:rPr>
        <w:t xml:space="preserve"> hladiny glykemie.</w:t>
      </w:r>
      <w:r w:rsidR="00EE3DC1">
        <w:rPr>
          <w:rFonts w:ascii="Tahoma" w:hAnsi="Tahoma" w:cs="Tahoma"/>
          <w:sz w:val="20"/>
          <w:szCs w:val="20"/>
        </w:rPr>
        <w:t xml:space="preserve"> </w:t>
      </w:r>
      <w:r w:rsidR="00557BF4" w:rsidRPr="00EE3DC1">
        <w:rPr>
          <w:rFonts w:ascii="Tahoma" w:hAnsi="Tahoma" w:cs="Tahoma"/>
          <w:sz w:val="20"/>
          <w:szCs w:val="20"/>
        </w:rPr>
        <w:t>K</w:t>
      </w:r>
      <w:r w:rsidRPr="00EE3DC1">
        <w:rPr>
          <w:rFonts w:ascii="Tahoma" w:hAnsi="Tahoma" w:cs="Tahoma"/>
          <w:sz w:val="20"/>
          <w:szCs w:val="20"/>
        </w:rPr>
        <w:t xml:space="preserve">upující se zavazuje prodávajícímu za poskytnuté plnění zaplatit za podmínek uvedených v této smlouvě kupní cenu dle čl. V této smlouvy. </w:t>
      </w:r>
    </w:p>
    <w:p w14:paraId="1EF93920" w14:textId="77777777"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 a seznámení zaměstnanců uživatele s jeho řádným užíváním. </w:t>
      </w:r>
    </w:p>
    <w:p w14:paraId="5A114196" w14:textId="77777777" w:rsidR="003912CF" w:rsidRPr="009529C3" w:rsidRDefault="008E6DD4" w:rsidP="009529C3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29C3">
        <w:rPr>
          <w:rFonts w:ascii="Tahoma" w:hAnsi="Tahoma" w:cs="Tahoma"/>
          <w:sz w:val="20"/>
          <w:szCs w:val="20"/>
        </w:rPr>
        <w:t xml:space="preserve">Prodávající poskytuje kupujícímu následující záruku na jakost: </w:t>
      </w:r>
      <w:r w:rsidR="00F45122" w:rsidRPr="009529C3">
        <w:rPr>
          <w:rFonts w:ascii="Tahoma" w:hAnsi="Tahoma" w:cs="Tahoma"/>
          <w:sz w:val="20"/>
          <w:szCs w:val="20"/>
        </w:rPr>
        <w:t xml:space="preserve">exspirace diagnostik musí být v okamžiku dodání maximálně v polovině exspirační doby </w:t>
      </w:r>
      <w:r w:rsidRPr="009529C3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14:paraId="630E03D6" w14:textId="77777777"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14:paraId="2BB61B9C" w14:textId="77777777"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44DF49C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14:paraId="3DADBC58" w14:textId="77777777"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14:paraId="4D1F543C" w14:textId="77777777" w:rsidR="006664E7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9529C3">
        <w:rPr>
          <w:rFonts w:ascii="Tahoma" w:hAnsi="Tahoma" w:cs="Tahoma"/>
          <w:sz w:val="20"/>
          <w:szCs w:val="20"/>
        </w:rPr>
        <w:t>nemocniční lékárna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>(dále jen „uživatel“) v období od podpisu kupní smlouvy v průběžných dodávkác</w:t>
      </w:r>
      <w:r w:rsidR="006664E7">
        <w:rPr>
          <w:rFonts w:ascii="Tahoma" w:hAnsi="Tahoma" w:cs="Tahoma"/>
          <w:sz w:val="20"/>
          <w:szCs w:val="20"/>
        </w:rPr>
        <w:t>h.</w:t>
      </w:r>
    </w:p>
    <w:p w14:paraId="45EF5A96" w14:textId="77777777" w:rsidR="00C71EFE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budou realizovány na základě dílčích objednávek kupujícího, a to za využití prostředků elektronické komunikace či výjimečně telefonicky.</w:t>
      </w:r>
      <w:r w:rsidR="0046140A" w:rsidRPr="002E01D8">
        <w:rPr>
          <w:rFonts w:ascii="Tahoma" w:hAnsi="Tahoma" w:cs="Tahoma"/>
          <w:sz w:val="20"/>
          <w:szCs w:val="20"/>
        </w:rPr>
        <w:t xml:space="preserve"> </w:t>
      </w:r>
    </w:p>
    <w:p w14:paraId="0A730FB3" w14:textId="77777777" w:rsidR="006664E7" w:rsidRDefault="006664E7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osobou prodávajícího pro účely přijímání objednávek je určen:</w:t>
      </w:r>
    </w:p>
    <w:p w14:paraId="37B0ECC2" w14:textId="565CE4BD" w:rsidR="00C71EFE" w:rsidRPr="006664E7" w:rsidRDefault="00F46DC4" w:rsidP="006664E7">
      <w:pPr>
        <w:pStyle w:val="Odstavecseseznamem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</w:p>
    <w:p w14:paraId="197795F6" w14:textId="77777777"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9529C3">
        <w:rPr>
          <w:rFonts w:ascii="Tahoma" w:hAnsi="Tahoma" w:cs="Tahoma"/>
          <w:b/>
          <w:sz w:val="20"/>
          <w:szCs w:val="20"/>
        </w:rPr>
        <w:t>5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9529C3">
        <w:rPr>
          <w:rFonts w:ascii="Tahoma" w:hAnsi="Tahoma" w:cs="Tahoma"/>
          <w:b/>
          <w:sz w:val="20"/>
          <w:szCs w:val="20"/>
        </w:rPr>
        <w:t>pracovních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14:paraId="1BC0BCC9" w14:textId="77777777"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</w:t>
      </w:r>
      <w:proofErr w:type="gramStart"/>
      <w:r w:rsidR="0097291D" w:rsidRPr="002E01D8">
        <w:rPr>
          <w:rFonts w:ascii="Tahoma" w:hAnsi="Tahoma" w:cs="Tahoma"/>
          <w:sz w:val="20"/>
          <w:szCs w:val="20"/>
        </w:rPr>
        <w:t>7 – 15</w:t>
      </w:r>
      <w:proofErr w:type="gramEnd"/>
      <w:r w:rsidR="0097291D" w:rsidRPr="002E01D8">
        <w:rPr>
          <w:rFonts w:ascii="Tahoma" w:hAnsi="Tahoma" w:cs="Tahoma"/>
          <w:sz w:val="20"/>
          <w:szCs w:val="20"/>
        </w:rPr>
        <w:t xml:space="preserve"> hod.</w:t>
      </w:r>
    </w:p>
    <w:p w14:paraId="4C172A42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 xml:space="preserve">místě jeho sídla </w:t>
      </w:r>
      <w:r w:rsidRPr="002E01D8">
        <w:rPr>
          <w:rFonts w:ascii="Tahoma" w:hAnsi="Tahoma" w:cs="Tahoma"/>
          <w:sz w:val="20"/>
          <w:szCs w:val="20"/>
        </w:rPr>
        <w:lastRenderedPageBreak/>
        <w:t>potvrzením dodacího listu.</w:t>
      </w:r>
    </w:p>
    <w:p w14:paraId="2FBD0B81" w14:textId="77777777"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14:paraId="026F326D" w14:textId="77777777"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14:paraId="7EEE3BE9" w14:textId="77777777"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7D6252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14:paraId="293193F8" w14:textId="77777777"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14:paraId="6E066310" w14:textId="77777777"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6135214" w14:textId="77777777"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9529C3">
        <w:rPr>
          <w:rFonts w:ascii="Tahoma" w:hAnsi="Tahoma" w:cs="Tahoma"/>
          <w:sz w:val="20"/>
          <w:szCs w:val="20"/>
        </w:rPr>
        <w:t>diagnostika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14:paraId="2E408715" w14:textId="77777777"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9529C3">
        <w:rPr>
          <w:rFonts w:ascii="Tahoma" w:hAnsi="Tahoma" w:cs="Tahoma"/>
          <w:sz w:val="20"/>
          <w:szCs w:val="20"/>
        </w:rPr>
        <w:t>čtyř</w:t>
      </w:r>
      <w:r w:rsidR="00D17450" w:rsidRPr="0060091F">
        <w:rPr>
          <w:rFonts w:ascii="Tahoma" w:hAnsi="Tahoma" w:cs="Tahoma"/>
          <w:sz w:val="20"/>
          <w:szCs w:val="20"/>
        </w:rPr>
        <w:t xml:space="preserve"> let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14:paraId="7C8B04D8" w14:textId="77777777"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14:paraId="7C45D8F6" w14:textId="77777777"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1EA1575F" w14:textId="77777777"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EA190AF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14:paraId="073853C2" w14:textId="77777777"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6F1E636" w14:textId="77777777"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91969F3" w14:textId="77777777"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14:paraId="3F02824B" w14:textId="77777777"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14:paraId="5E4D4A1E" w14:textId="77777777"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6664E7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6664E7">
        <w:rPr>
          <w:rFonts w:ascii="Tahoma" w:hAnsi="Tahoma" w:cs="Tahoma"/>
          <w:b/>
          <w:sz w:val="20"/>
          <w:szCs w:val="20"/>
        </w:rPr>
        <w:t>06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14:paraId="562136B1" w14:textId="00649B5C"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proofErr w:type="spellStart"/>
        <w:r w:rsidR="00F46DC4">
          <w:rPr>
            <w:rStyle w:val="Hypertextovodkaz"/>
            <w:rFonts w:ascii="Tahoma" w:hAnsi="Tahoma" w:cs="Tahoma"/>
            <w:sz w:val="20"/>
            <w:szCs w:val="20"/>
          </w:rPr>
          <w:t>xxx</w:t>
        </w:r>
        <w:proofErr w:type="spellEnd"/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14:paraId="533BFD51" w14:textId="77777777"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F71DE2C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14:paraId="0E651E58" w14:textId="77777777"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 xml:space="preserve"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</w:t>
      </w:r>
      <w:r w:rsidRPr="00CD3E67">
        <w:rPr>
          <w:rFonts w:ascii="Tahoma" w:hAnsi="Tahoma" w:cs="Tahoma"/>
          <w:sz w:val="20"/>
          <w:szCs w:val="20"/>
        </w:rPr>
        <w:lastRenderedPageBreak/>
        <w:t>splatnosti. Nová lhůta splatnosti běží ode dne doručení nové faktury kupujícímu.</w:t>
      </w:r>
    </w:p>
    <w:p w14:paraId="5849E012" w14:textId="77777777"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14:paraId="25260508" w14:textId="77777777"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14:paraId="3E9BCC5D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14:paraId="79FBD80F" w14:textId="77777777"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14:paraId="4D9CB434" w14:textId="77777777" w:rsidR="00B035C3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14:paraId="0FBA195E" w14:textId="77777777" w:rsidR="004272CB" w:rsidRPr="004272CB" w:rsidRDefault="004272CB" w:rsidP="004272CB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Hlk190684933"/>
      <w:r w:rsidRPr="004272CB">
        <w:rPr>
          <w:rFonts w:ascii="Tahoma" w:hAnsi="Tahoma" w:cs="Tahoma"/>
          <w:sz w:val="20"/>
          <w:szCs w:val="20"/>
        </w:rPr>
        <w:t xml:space="preserve">Smluvní strany si sjednávají, že pokud průměrná meziroční míra inflace dle oficiálních údajů Českého statistického úřadu v předchozím kalendářním roce překročí 3 %, je prodávající oprávněn zvýšit sjednanou a dosud neuhrazenou kupní cenu dle této smlouvy tak, že toto zvýšení bude odpovídat poměrnému navýšení o částku přesahující meziroční míru inflace nad uvedená 3 %. K případnému zvýšení smluvní ceny může dojít vždy k 1. březnu příslušného roku, počínaje rokem 2026 a dále v každém roce trvání smlouvy, a to výhradně na základě písemného dodatku ke smlouvě podepsaného oběma smluvními stranami. Prodávající se zavazuje zaslat kupujícímu oznámení o uplatnění této inflační doložky nejpozději do 31. 1. příslušného kalendářního roku, v opačném případě své právo na uzavření dodatku o navýšení kupní ceny za daný rok ztrácí. </w:t>
      </w:r>
    </w:p>
    <w:bookmarkEnd w:id="3"/>
    <w:p w14:paraId="716BE2E4" w14:textId="77777777" w:rsidR="006664E7" w:rsidRPr="00633675" w:rsidRDefault="006664E7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</w:p>
    <w:p w14:paraId="52EC4A6D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14:paraId="4DF00C57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14:paraId="0D165028" w14:textId="77777777"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dle článku IV. </w:t>
      </w:r>
      <w:r w:rsidR="0042387F">
        <w:rPr>
          <w:rFonts w:ascii="Tahoma" w:hAnsi="Tahoma" w:cs="Tahoma"/>
          <w:sz w:val="20"/>
          <w:szCs w:val="20"/>
        </w:rPr>
        <w:t>odst.</w:t>
      </w:r>
      <w:r w:rsidR="00653C49">
        <w:rPr>
          <w:rFonts w:ascii="Tahoma" w:hAnsi="Tahoma" w:cs="Tahoma"/>
          <w:sz w:val="20"/>
          <w:szCs w:val="20"/>
        </w:rPr>
        <w:t xml:space="preserve"> 1.</w:t>
      </w:r>
      <w:r w:rsidR="0042387F">
        <w:rPr>
          <w:rFonts w:ascii="Tahoma" w:hAnsi="Tahoma" w:cs="Tahoma"/>
          <w:sz w:val="20"/>
          <w:szCs w:val="20"/>
        </w:rPr>
        <w:t xml:space="preserve"> této smlouvy</w:t>
      </w:r>
      <w:r w:rsidRPr="00AB2206">
        <w:rPr>
          <w:rFonts w:ascii="Tahoma" w:hAnsi="Tahoma" w:cs="Tahoma"/>
          <w:sz w:val="20"/>
          <w:szCs w:val="20"/>
        </w:rPr>
        <w:t>, je povinen zaplatit kupujícímu smluvní pokutu ve výši 0,05 % z kupní ceny 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DPH.</w:t>
      </w:r>
    </w:p>
    <w:p w14:paraId="2C0DCD3F" w14:textId="77777777"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</w:t>
      </w:r>
      <w:r w:rsidR="00B21598">
        <w:rPr>
          <w:rFonts w:ascii="Tahoma" w:hAnsi="Tahoma" w:cs="Tahoma"/>
          <w:sz w:val="20"/>
          <w:szCs w:val="20"/>
        </w:rPr>
        <w:t>,</w:t>
      </w:r>
      <w:r w:rsidRPr="00AB2206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14:paraId="2887C500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9D660A" w14:textId="77777777"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14:paraId="6060940D" w14:textId="77777777"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14:paraId="741CB1D4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14:paraId="0BDEFC91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lastRenderedPageBreak/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14:paraId="048C058B" w14:textId="77777777"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14:paraId="0ABD6830" w14:textId="77777777"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14:paraId="1F529FE1" w14:textId="77777777"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14:paraId="3FCC352F" w14:textId="77777777"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14:paraId="182119A1" w14:textId="77777777"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14:paraId="48E0E8E4" w14:textId="77777777"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77533D87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4F6C67EB" w14:textId="77777777"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14:paraId="0CDB703A" w14:textId="77777777"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596D09FB" w14:textId="77777777"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24C2C4" w14:textId="77777777"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6850B836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14:paraId="7BB7D5BE" w14:textId="77777777" w:rsidR="00EE61B5" w:rsidRDefault="00EE61B5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Tato smlouva 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se uzavírá </w:t>
      </w:r>
      <w:r w:rsidR="00FD2C28" w:rsidRPr="00FD2C28">
        <w:rPr>
          <w:rFonts w:ascii="Tahoma" w:eastAsia="Times New Roman" w:hAnsi="Tahoma" w:cs="Tahoma"/>
          <w:b/>
          <w:snapToGrid w:val="0"/>
          <w:kern w:val="0"/>
          <w:sz w:val="20"/>
          <w:szCs w:val="20"/>
          <w:lang w:eastAsia="cs-CZ" w:bidi="ar-SA"/>
        </w:rPr>
        <w:t>na dobu určitou, a to na období 4 let ode dne nabytí účinnosti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této smlouvy s možností prodloužení dodatkem</w:t>
      </w:r>
      <w:r w:rsidR="00475E9D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 xml:space="preserve"> po vzájemné domluvě</w:t>
      </w:r>
      <w:r w:rsidR="00FD2C28" w:rsidRPr="00FD2C28"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.</w:t>
      </w:r>
    </w:p>
    <w:p w14:paraId="568FC9F7" w14:textId="77777777" w:rsidR="00FD2C28" w:rsidRPr="00FD2C28" w:rsidRDefault="00FD2C28" w:rsidP="00FD2C28">
      <w:pPr>
        <w:pStyle w:val="Odstavecseseznamem"/>
        <w:numPr>
          <w:ilvl w:val="3"/>
          <w:numId w:val="9"/>
        </w:numPr>
        <w:tabs>
          <w:tab w:val="left" w:pos="360"/>
          <w:tab w:val="left" w:pos="426"/>
        </w:tabs>
        <w:spacing w:before="120" w:after="120" w:line="276" w:lineRule="auto"/>
        <w:ind w:left="284" w:hanging="284"/>
        <w:jc w:val="both"/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</w:pPr>
      <w:r>
        <w:rPr>
          <w:rFonts w:ascii="Tahoma" w:eastAsia="Times New Roman" w:hAnsi="Tahoma" w:cs="Tahoma"/>
          <w:snapToGrid w:val="0"/>
          <w:kern w:val="0"/>
          <w:sz w:val="20"/>
          <w:szCs w:val="20"/>
          <w:lang w:eastAsia="cs-CZ" w:bidi="ar-SA"/>
        </w:rPr>
        <w:t>Tato smlouva zaniká:</w:t>
      </w:r>
    </w:p>
    <w:p w14:paraId="6543F0F4" w14:textId="77777777"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7A7FB3E1" w14:textId="77777777"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  <w:r w:rsidR="00FD2C28">
        <w:rPr>
          <w:rFonts w:ascii="Tahoma" w:eastAsia="Calibri" w:hAnsi="Tahoma" w:cs="Tahoma"/>
          <w:sz w:val="20"/>
          <w:szCs w:val="20"/>
        </w:rPr>
        <w:t>:</w:t>
      </w:r>
    </w:p>
    <w:p w14:paraId="1024A684" w14:textId="77777777"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14:paraId="6914DF75" w14:textId="77777777"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14:paraId="60CD6C9C" w14:textId="77777777"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14:paraId="43CC8619" w14:textId="77777777"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FD2C28">
        <w:rPr>
          <w:rFonts w:ascii="Tahoma" w:eastAsia="Calibri" w:hAnsi="Tahoma" w:cs="Tahoma"/>
          <w:sz w:val="20"/>
          <w:szCs w:val="20"/>
        </w:rPr>
        <w:t>2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14:paraId="1841365D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14:paraId="18CF59FD" w14:textId="77777777"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5BC0E55" w14:textId="77777777"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4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 xml:space="preserve">li zákon č. 340/2015 Sb., o zvláštních podmínkách účinnosti některých smluv, uveřejňování těchto smluv a o registru smluv (zákon o registru smluv), ve znění </w:t>
      </w:r>
      <w:r w:rsidRPr="003D07FB">
        <w:rPr>
          <w:rFonts w:ascii="Tahoma" w:hAnsi="Tahoma" w:cs="Tahoma"/>
          <w:sz w:val="20"/>
          <w:szCs w:val="20"/>
        </w:rPr>
        <w:lastRenderedPageBreak/>
        <w:t>pozdějších předpisů (dále jen „zákon o registru smluv“), jinak. V takovém případě nabývá smlouva účinnosti dnem jejího uveřejnění v registru smluv.</w:t>
      </w:r>
    </w:p>
    <w:p w14:paraId="7A7EC165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6BCE3CD2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14:paraId="62002B50" w14:textId="77777777"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14:paraId="3B8A92F9" w14:textId="77777777"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5" w:name="_Hlk82415956"/>
      <w:bookmarkEnd w:id="4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14:paraId="4E353E69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14:paraId="6BA827D2" w14:textId="77777777"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14:paraId="2D0C8FC9" w14:textId="77777777"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5"/>
    <w:p w14:paraId="55F4EC75" w14:textId="77777777"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14:paraId="3020278F" w14:textId="77777777"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14:paraId="5C9A77BB" w14:textId="77777777"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6"/>
      </w:tblGrid>
      <w:tr w:rsidR="00D43E8E" w:rsidRPr="00633675" w14:paraId="3D09F6EE" w14:textId="77777777" w:rsidTr="00763000">
        <w:tc>
          <w:tcPr>
            <w:tcW w:w="4581" w:type="dxa"/>
          </w:tcPr>
          <w:p w14:paraId="2CF03885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14:paraId="16B51C43" w14:textId="0BE2E16B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AB2DC4">
              <w:rPr>
                <w:rFonts w:ascii="Tahoma" w:hAnsi="Tahoma" w:cs="Tahoma"/>
                <w:sz w:val="20"/>
                <w:szCs w:val="20"/>
              </w:rPr>
              <w:t xml:space="preserve">Poličce </w:t>
            </w:r>
            <w:r w:rsidRPr="00633675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</w:tc>
      </w:tr>
      <w:tr w:rsidR="00D43E8E" w:rsidRPr="00633675" w14:paraId="0F84D4BF" w14:textId="77777777" w:rsidTr="00763000">
        <w:tc>
          <w:tcPr>
            <w:tcW w:w="4581" w:type="dxa"/>
          </w:tcPr>
          <w:p w14:paraId="4252D1F7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E4DD1D6" w14:textId="35326C15" w:rsidR="00D43E8E" w:rsidRDefault="00F46DC4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9.4.2025</w:t>
            </w:r>
          </w:p>
          <w:p w14:paraId="0A77E82B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1282FA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3783FE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</w:tc>
        <w:tc>
          <w:tcPr>
            <w:tcW w:w="4705" w:type="dxa"/>
          </w:tcPr>
          <w:p w14:paraId="46CF7294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F6B604C" w14:textId="6EE7177B" w:rsidR="00D43E8E" w:rsidRDefault="00F46DC4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8.4.2025</w:t>
            </w:r>
          </w:p>
          <w:p w14:paraId="755A16DA" w14:textId="77777777"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C2BA1D5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0EC2CF0" w14:textId="77777777"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14:paraId="75E269E4" w14:textId="41F1B16C" w:rsidR="00D43E8E" w:rsidRPr="00633675" w:rsidRDefault="00D43E8E" w:rsidP="00AB2DC4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="00AB2DC4">
        <w:rPr>
          <w:rFonts w:ascii="Tahoma" w:hAnsi="Tahoma" w:cs="Tahoma"/>
          <w:sz w:val="20"/>
          <w:szCs w:val="20"/>
        </w:rPr>
        <w:t>Mgr. Martin Klepárník, Ph.D., prokurista</w:t>
      </w:r>
      <w:r>
        <w:rPr>
          <w:rFonts w:ascii="Tahoma" w:hAnsi="Tahoma" w:cs="Tahoma"/>
          <w:sz w:val="20"/>
          <w:szCs w:val="20"/>
        </w:rPr>
        <w:tab/>
      </w:r>
    </w:p>
    <w:p w14:paraId="0A054D1D" w14:textId="192D3B8D"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 w:rsidR="00AB2DC4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14:paraId="086BF9A0" w14:textId="77777777"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footerReference w:type="default" r:id="rId13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3154296C" w14:textId="77777777" w:rsid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6DD518C0" w14:textId="77777777" w:rsidR="00AB2DC4" w:rsidRDefault="00AB2DC4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60"/>
        <w:gridCol w:w="2240"/>
        <w:gridCol w:w="945"/>
        <w:gridCol w:w="1486"/>
        <w:gridCol w:w="1282"/>
        <w:gridCol w:w="1234"/>
        <w:gridCol w:w="1623"/>
        <w:gridCol w:w="1623"/>
        <w:gridCol w:w="1637"/>
      </w:tblGrid>
      <w:tr w:rsidR="00AB2DC4" w:rsidRPr="00AB2DC4" w14:paraId="280F45C5" w14:textId="77777777" w:rsidTr="00AB2DC4">
        <w:trPr>
          <w:trHeight w:val="84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B5D280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Název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96AD6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 xml:space="preserve">Katalogové </w:t>
            </w:r>
            <w:proofErr w:type="spellStart"/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čístlo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49B23" w14:textId="77777777" w:rsidR="00AB2DC4" w:rsidRPr="00AB2DC4" w:rsidRDefault="00AB2DC4" w:rsidP="00AB2DC4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Velikost balení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0703E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Předpokládaná spotřeba /rok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EF542" w14:textId="77777777" w:rsidR="00AB2DC4" w:rsidRPr="00AB2DC4" w:rsidRDefault="00AB2DC4" w:rsidP="00AB2DC4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Jednotková cena v Kč bez DPH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3ACD5" w14:textId="77777777" w:rsidR="00AB2DC4" w:rsidRPr="00AB2DC4" w:rsidRDefault="00AB2DC4" w:rsidP="00AB2DC4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DPH v 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A48A4" w14:textId="77777777" w:rsidR="00AB2DC4" w:rsidRPr="00AB2DC4" w:rsidRDefault="00AB2DC4" w:rsidP="00AB2DC4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Celková cena v Kč bez DPH/rok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16636" w14:textId="77777777" w:rsidR="00AB2DC4" w:rsidRPr="00AB2DC4" w:rsidRDefault="00AB2DC4" w:rsidP="00AB2DC4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DPH v Kč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B0D06" w14:textId="77777777" w:rsidR="00AB2DC4" w:rsidRPr="00AB2DC4" w:rsidRDefault="00AB2DC4" w:rsidP="00AB2DC4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cs-CZ" w:bidi="ar-SA"/>
              </w:rPr>
              <w:t>Celková cena v Kč vč. DPH/rok</w:t>
            </w:r>
          </w:p>
        </w:tc>
      </w:tr>
      <w:tr w:rsidR="00AB2DC4" w:rsidRPr="00AB2DC4" w14:paraId="5F08ADDB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EF2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5595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systémový roztok pro analýzu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3614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0030 343.001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E54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063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3A2E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2 140,00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C5FC" w14:textId="47367B8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3522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74 900,00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1FF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15 729,00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49C3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90 629,00</w:t>
            </w:r>
          </w:p>
        </w:tc>
      </w:tr>
      <w:tr w:rsidR="00AB2DC4" w:rsidRPr="00AB2DC4" w14:paraId="5F70335A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9AD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69FF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systémový roztok pro přípravu vzorků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80F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0030 343.001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AEB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08D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4959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2 140,00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0AE" w14:textId="102DC7DB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49A4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38 520,00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EEA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8 089,20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0B03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46 609,20</w:t>
            </w:r>
          </w:p>
        </w:tc>
      </w:tr>
      <w:tr w:rsidR="00AB2DC4" w:rsidRPr="00AB2DC4" w14:paraId="5034B333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58D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49B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proofErr w:type="spellStart"/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biosenzor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4D0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5206-3011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CD9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ks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B8EB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008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2 112,00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0E8" w14:textId="4758DFEB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117D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25 344,00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E71D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5 322,24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35E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30 666,24</w:t>
            </w:r>
          </w:p>
        </w:tc>
      </w:tr>
      <w:tr w:rsidR="00AB2DC4" w:rsidRPr="00AB2DC4" w14:paraId="795F8A98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481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EB2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kalibrační materiál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798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5211-3015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8F79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50x2 ml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2DA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A04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1 501,00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5DD3" w14:textId="37931F86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69F5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30 020,00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8AAE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6 304,20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3BA2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36 324,20</w:t>
            </w:r>
          </w:p>
        </w:tc>
      </w:tr>
      <w:tr w:rsidR="00AB2DC4" w:rsidRPr="00AB2DC4" w14:paraId="34E8AA4F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3C4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B6F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kontrolní materiál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403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5130-6152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3E5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25 ks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D2A3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4C4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1 419,00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2CF8" w14:textId="222D39C3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F0C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22 704,00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F9F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4 767,84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49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27 471,84</w:t>
            </w:r>
          </w:p>
        </w:tc>
      </w:tr>
      <w:tr w:rsidR="00AB2DC4" w:rsidRPr="00AB2DC4" w14:paraId="0B594028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96E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5DE8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kontrolní materiál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B2A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5130-6162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AF3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25 ks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BD4F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228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1 419,00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5EE" w14:textId="3C0DBEC3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4DA7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22 704,00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29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4 767,84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DC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27 471,84</w:t>
            </w:r>
          </w:p>
        </w:tc>
      </w:tr>
      <w:tr w:rsidR="00AB2DC4" w:rsidRPr="00AB2DC4" w14:paraId="532214D6" w14:textId="77777777" w:rsidTr="00AB2DC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839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9DAA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další spotřební materiál (hadičky, pumpy)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F72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kern w:val="0"/>
                <w:sz w:val="18"/>
                <w:szCs w:val="18"/>
                <w:lang w:eastAsia="cs-CZ" w:bidi="ar-SA"/>
              </w:rPr>
              <w:t>0201-0004-001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658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5 ks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DD9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A4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977,00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EA0" w14:textId="765C1F45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 xml:space="preserve"> </w:t>
            </w: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F917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3 908,00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90F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820,68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81C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4 728,68</w:t>
            </w:r>
          </w:p>
        </w:tc>
      </w:tr>
      <w:tr w:rsidR="00AB2DC4" w:rsidRPr="00AB2DC4" w14:paraId="540C6F9F" w14:textId="77777777" w:rsidTr="00AB2DC4">
        <w:trPr>
          <w:trHeight w:val="900"/>
        </w:trPr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756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CENA za předpokládaný počet stanovení/ rok/35.000 st.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0706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218 100,00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9E3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bookmarkStart w:id="6" w:name="_GoBack"/>
            <w:bookmarkEnd w:id="6"/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45 801,00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B48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cs-CZ" w:bidi="ar-SA"/>
              </w:rPr>
              <w:t>263 901,00</w:t>
            </w:r>
          </w:p>
        </w:tc>
      </w:tr>
      <w:tr w:rsidR="00AB2DC4" w:rsidRPr="00AB2DC4" w14:paraId="7FADEC49" w14:textId="77777777" w:rsidTr="00AB2DC4">
        <w:trPr>
          <w:trHeight w:val="900"/>
        </w:trPr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231820" w14:textId="77777777" w:rsidR="00AB2DC4" w:rsidRPr="00AB2DC4" w:rsidRDefault="00AB2DC4" w:rsidP="00AB2DC4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CENA za předpokládaný počet stanovení/4 roky/140.000 st.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617D02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872 400,00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059974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183 204,00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DCEE46" w14:textId="77777777" w:rsidR="00AB2DC4" w:rsidRPr="00AB2DC4" w:rsidRDefault="00AB2DC4" w:rsidP="00AB2DC4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</w:pPr>
            <w:r w:rsidRPr="00AB2DC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cs-CZ" w:bidi="ar-SA"/>
              </w:rPr>
              <w:t>1 055 604,00</w:t>
            </w:r>
          </w:p>
        </w:tc>
      </w:tr>
    </w:tbl>
    <w:p w14:paraId="230E521D" w14:textId="77777777" w:rsidR="00AB2DC4" w:rsidRPr="001E046B" w:rsidRDefault="00AB2DC4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sectPr w:rsidR="00AB2DC4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9337" w14:textId="77777777" w:rsidR="006A3B8B" w:rsidRDefault="006A3B8B" w:rsidP="00CA4C3A">
      <w:r>
        <w:separator/>
      </w:r>
    </w:p>
  </w:endnote>
  <w:endnote w:type="continuationSeparator" w:id="0">
    <w:p w14:paraId="1D0BF0D0" w14:textId="77777777" w:rsidR="006A3B8B" w:rsidRDefault="006A3B8B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14:paraId="506E698E" w14:textId="77777777" w:rsidR="00BD67D0" w:rsidRDefault="006A3B8B" w:rsidP="00BD67D0">
            <w:pPr>
              <w:pStyle w:val="Zpat"/>
            </w:pPr>
            <w:r>
              <w:pict w14:anchorId="080E326F">
                <v:rect id="_x0000_i1025" style="width:0;height:1.5pt" o:hralign="center" o:hrstd="t" o:hr="t" fillcolor="#a0a0a0" stroked="f"/>
              </w:pict>
            </w:r>
          </w:p>
          <w:p w14:paraId="36D456E9" w14:textId="77777777"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14:paraId="0B16F8D2" w14:textId="77777777"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A81633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F45122">
              <w:rPr>
                <w:rFonts w:ascii="Tahoma" w:hAnsi="Tahoma" w:cs="Tahoma"/>
                <w:sz w:val="20"/>
                <w:szCs w:val="20"/>
              </w:rPr>
              <w:t>06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/a</w:t>
            </w:r>
            <w:r w:rsidR="00F45122">
              <w:rPr>
                <w:rFonts w:ascii="Tahoma" w:hAnsi="Tahoma" w:cs="Tahoma"/>
                <w:sz w:val="20"/>
                <w:szCs w:val="20"/>
              </w:rPr>
              <w:t>nalyzátory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-CL</w:t>
            </w:r>
          </w:p>
          <w:p w14:paraId="0B545168" w14:textId="77777777" w:rsidR="00BD67D0" w:rsidRDefault="006A3B8B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4784" w14:textId="77777777" w:rsidR="006A3B8B" w:rsidRDefault="006A3B8B" w:rsidP="00CA4C3A">
      <w:r>
        <w:separator/>
      </w:r>
    </w:p>
  </w:footnote>
  <w:footnote w:type="continuationSeparator" w:id="0">
    <w:p w14:paraId="36D87F92" w14:textId="77777777" w:rsidR="006A3B8B" w:rsidRDefault="006A3B8B" w:rsidP="00CA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683539D"/>
    <w:multiLevelType w:val="hybridMultilevel"/>
    <w:tmpl w:val="F1169A84"/>
    <w:lvl w:ilvl="0" w:tplc="4AA8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94400"/>
    <w:multiLevelType w:val="hybridMultilevel"/>
    <w:tmpl w:val="C70EE9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44E03"/>
    <w:multiLevelType w:val="hybridMultilevel"/>
    <w:tmpl w:val="052C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B588B"/>
    <w:multiLevelType w:val="hybridMultilevel"/>
    <w:tmpl w:val="36BAE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FEE1C8F"/>
    <w:multiLevelType w:val="hybridMultilevel"/>
    <w:tmpl w:val="873EF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4"/>
  </w:num>
  <w:num w:numId="16">
    <w:abstractNumId w:val="0"/>
  </w:num>
  <w:num w:numId="17">
    <w:abstractNumId w:val="14"/>
  </w:num>
  <w:num w:numId="18">
    <w:abstractNumId w:val="31"/>
  </w:num>
  <w:num w:numId="19">
    <w:abstractNumId w:val="30"/>
  </w:num>
  <w:num w:numId="20">
    <w:abstractNumId w:val="15"/>
  </w:num>
  <w:num w:numId="21">
    <w:abstractNumId w:val="11"/>
  </w:num>
  <w:num w:numId="22">
    <w:abstractNumId w:val="22"/>
  </w:num>
  <w:num w:numId="23">
    <w:abstractNumId w:val="21"/>
  </w:num>
  <w:num w:numId="24">
    <w:abstractNumId w:val="27"/>
  </w:num>
  <w:num w:numId="25">
    <w:abstractNumId w:val="28"/>
  </w:num>
  <w:num w:numId="26">
    <w:abstractNumId w:val="23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 w:numId="35">
    <w:abstractNumId w:val="2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4AB9"/>
    <w:rsid w:val="00305ABB"/>
    <w:rsid w:val="00306AA6"/>
    <w:rsid w:val="003112B9"/>
    <w:rsid w:val="00312233"/>
    <w:rsid w:val="00314881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578F"/>
    <w:rsid w:val="00376394"/>
    <w:rsid w:val="0037660F"/>
    <w:rsid w:val="0038306C"/>
    <w:rsid w:val="003856F4"/>
    <w:rsid w:val="00385DFA"/>
    <w:rsid w:val="003912CF"/>
    <w:rsid w:val="003929F1"/>
    <w:rsid w:val="00393FD7"/>
    <w:rsid w:val="00396986"/>
    <w:rsid w:val="003A04A9"/>
    <w:rsid w:val="003A1F18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272CB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5E9D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4E7"/>
    <w:rsid w:val="00666E11"/>
    <w:rsid w:val="00667F34"/>
    <w:rsid w:val="0067177C"/>
    <w:rsid w:val="00672DED"/>
    <w:rsid w:val="006753E3"/>
    <w:rsid w:val="0067583C"/>
    <w:rsid w:val="0068582E"/>
    <w:rsid w:val="0068776E"/>
    <w:rsid w:val="00687FCB"/>
    <w:rsid w:val="00693AA6"/>
    <w:rsid w:val="00695AAF"/>
    <w:rsid w:val="006A3B8B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0345"/>
    <w:rsid w:val="008325E5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29C3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1409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1633"/>
    <w:rsid w:val="00A83252"/>
    <w:rsid w:val="00A853DB"/>
    <w:rsid w:val="00A94087"/>
    <w:rsid w:val="00AA0452"/>
    <w:rsid w:val="00AA0C63"/>
    <w:rsid w:val="00AA524A"/>
    <w:rsid w:val="00AB174E"/>
    <w:rsid w:val="00AB2206"/>
    <w:rsid w:val="00AB2DC4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1598"/>
    <w:rsid w:val="00B2532C"/>
    <w:rsid w:val="00B27009"/>
    <w:rsid w:val="00B274F9"/>
    <w:rsid w:val="00B27880"/>
    <w:rsid w:val="00B278B8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2A11"/>
    <w:rsid w:val="00BD58B7"/>
    <w:rsid w:val="00BD67D0"/>
    <w:rsid w:val="00BD6C85"/>
    <w:rsid w:val="00BD79B7"/>
    <w:rsid w:val="00BE40A8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2D79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06C6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2C13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3DC1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C3B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5122"/>
    <w:rsid w:val="00F46DC4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0DE4"/>
    <w:rsid w:val="00FB5948"/>
    <w:rsid w:val="00FB63A9"/>
    <w:rsid w:val="00FC0100"/>
    <w:rsid w:val="00FC0380"/>
    <w:rsid w:val="00FC4397"/>
    <w:rsid w:val="00FD2C28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621E5"/>
  <w15:docId w15:val="{1FE56788-B104-4076-8714-DC12A1D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1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AAA51-3B85-4667-8284-45456F2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2479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Ing. Veronika Austová</cp:lastModifiedBy>
  <cp:revision>2</cp:revision>
  <cp:lastPrinted>2025-04-01T05:17:00Z</cp:lastPrinted>
  <dcterms:created xsi:type="dcterms:W3CDTF">2025-04-15T05:16:00Z</dcterms:created>
  <dcterms:modified xsi:type="dcterms:W3CDTF">2025-04-15T05:16:00Z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