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objednatele: 362/2025</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393700</wp:posOffset>
                </wp:positionV>
                <wp:extent cx="1085215" cy="1115695"/>
                <wp:wrapSquare wrapText="bothSides"/>
                <wp:docPr id="1" name="Shape 1"/>
                <a:graphic xmlns:a="http://schemas.openxmlformats.org/drawingml/2006/main">
                  <a:graphicData uri="http://schemas.microsoft.com/office/word/2010/wordprocessingShape">
                    <wps:wsp>
                      <wps:cNvSpPr txBox="1"/>
                      <wps:spPr>
                        <a:xfrm>
                          <a:ext cx="1085215" cy="111569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31.pt;width:85.450000000000003pt;height:87.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Pokratický potok v Litoměřicích - sekání travních porostů v roce 2025</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888365</wp:posOffset>
                </wp:positionH>
                <wp:positionV relativeFrom="paragraph">
                  <wp:posOffset>12700</wp:posOffset>
                </wp:positionV>
                <wp:extent cx="749935" cy="557530"/>
                <wp:wrapSquare wrapText="bothSides"/>
                <wp:docPr id="3" name="Shape 3"/>
                <a:graphic xmlns:a="http://schemas.openxmlformats.org/drawingml/2006/main">
                  <a:graphicData uri="http://schemas.microsoft.com/office/word/2010/wordprocessingShape">
                    <wps:wsp>
                      <wps:cNvSpPr txBox="1"/>
                      <wps:spPr>
                        <a:xfrm>
                          <a:ext cx="74993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wps:txbx>
                      <wps:bodyPr lIns="0" tIns="0" rIns="0" bIns="0">
                        <a:noAutoFit/>
                      </wps:bodyPr>
                    </wps:wsp>
                  </a:graphicData>
                </a:graphic>
              </wp:anchor>
            </w:drawing>
          </mc:Choice>
          <mc:Fallback>
            <w:pict>
              <v:shape id="_x0000_s1029" type="#_x0000_t202" style="position:absolute;margin-left:69.950000000000003pt;margin-top:1.pt;width:59.050000000000004pt;height:43.8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v:textbox>
                <w10:wrap type="square" anchorx="page"/>
              </v:shape>
            </w:pict>
          </mc:Fallback>
        </mc:AlternateContent>
      </w:r>
      <w:r>
        <w:rPr>
          <w:b/>
          <w:bCs/>
          <w:color w:val="000000"/>
          <w:spacing w:val="0"/>
          <w:w w:val="100"/>
          <w:position w:val="0"/>
          <w:shd w:val="clear" w:color="auto" w:fill="auto"/>
          <w:lang w:val="cs-CZ" w:eastAsia="cs-CZ" w:bidi="cs-CZ"/>
        </w:rPr>
        <w:t>Libor Klenot</w:t>
      </w:r>
    </w:p>
    <w:p>
      <w:pPr>
        <w:pStyle w:val="Style2"/>
        <w:keepNext w:val="0"/>
        <w:keepLines w:val="0"/>
        <w:widowControl w:val="0"/>
        <w:shd w:val="clear" w:color="auto" w:fill="auto"/>
        <w:bidi w:val="0"/>
        <w:spacing w:before="0" w:after="320" w:line="240" w:lineRule="auto"/>
        <w:ind w:left="2340" w:right="0" w:firstLine="40"/>
        <w:jc w:val="left"/>
      </w:pPr>
      <w:r>
        <w:rPr>
          <w:color w:val="000000"/>
          <w:spacing w:val="0"/>
          <w:w w:val="100"/>
          <w:position w:val="0"/>
          <w:shd w:val="clear" w:color="auto" w:fill="auto"/>
          <w:lang w:val="cs-CZ" w:eastAsia="cs-CZ" w:bidi="cs-CZ"/>
        </w:rPr>
        <w:t>Dolánky nad Ohří 14, 413 01 Roudnice nad Labem 71843795</w:t>
      </w:r>
    </w:p>
    <w:p>
      <w:pPr>
        <w:pStyle w:val="Style2"/>
        <w:keepNext w:val="0"/>
        <w:keepLines w:val="0"/>
        <w:widowControl w:val="0"/>
        <w:shd w:val="clear" w:color="auto" w:fill="auto"/>
        <w:bidi w:val="0"/>
        <w:spacing w:before="0" w:after="590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320" w:line="240" w:lineRule="auto"/>
        <w:ind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Pokratický potok v Litoměřicích - sekání travních porostů v roce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after="60" w:line="240" w:lineRule="auto"/>
        <w:ind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sečení travních porostů v průtočném profilu vodního toku Pokratický potok v Litoměřicích (ř. km 1,135-2,678).</w:t>
      </w:r>
      <w:bookmarkEnd w:id="11"/>
      <w:bookmarkEnd w:id="8"/>
      <w:bookmarkEnd w:id="9"/>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30" w:lineRule="auto"/>
        <w:ind w:left="110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travních porostů na březích opevněného lichoběžníkového profilu VT na ploše 11700 m2 vždy v rámci jedné seče</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33" w:lineRule="auto"/>
        <w:ind w:left="110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Odstranění naplaveného a napadaného materiálu </w:t>
      </w:r>
      <w:r>
        <w:rPr>
          <w:color w:val="000000"/>
          <w:spacing w:val="0"/>
          <w:w w:val="100"/>
          <w:position w:val="0"/>
          <w:shd w:val="clear" w:color="auto" w:fill="auto"/>
          <w:lang w:val="cs-CZ" w:eastAsia="cs-CZ" w:bidi="cs-CZ"/>
        </w:rPr>
        <w:t xml:space="preserve">(včetně komunálního odpadu, napadané dřevní hmoty a zátarasů) </w:t>
      </w:r>
      <w:r>
        <w:rPr>
          <w:b/>
          <w:bCs/>
          <w:color w:val="000000"/>
          <w:spacing w:val="0"/>
          <w:w w:val="100"/>
          <w:position w:val="0"/>
          <w:shd w:val="clear" w:color="auto" w:fill="auto"/>
          <w:lang w:val="cs-CZ" w:eastAsia="cs-CZ" w:bidi="cs-CZ"/>
        </w:rPr>
        <w:t>z koryta VT o objemu 5 m3 vždy v rámci jedné seče</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30" w:lineRule="auto"/>
        <w:ind w:left="110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Výřez náletových dřevin z průtočného profilu na ploše 200 m2 včetně likvidace štěpkováním na místě v rámci 3. seče.</w:t>
      </w:r>
    </w:p>
    <w:p>
      <w:pPr>
        <w:pStyle w:val="Style12"/>
        <w:keepNext/>
        <w:keepLines/>
        <w:widowControl w:val="0"/>
        <w:shd w:val="clear" w:color="auto" w:fill="auto"/>
        <w:bidi w:val="0"/>
        <w:spacing w:before="0" w:after="0" w:line="240" w:lineRule="auto"/>
        <w:ind w:right="0" w:firstLine="40"/>
        <w:jc w:val="both"/>
      </w:pPr>
      <w:bookmarkStart w:id="12" w:name="bookmark12"/>
      <w:bookmarkStart w:id="13" w:name="bookmark13"/>
      <w:bookmarkStart w:id="14" w:name="bookmark14"/>
      <w:r>
        <w:rPr>
          <w:b/>
          <w:bCs/>
          <w:color w:val="000000"/>
          <w:spacing w:val="0"/>
          <w:w w:val="100"/>
          <w:position w:val="0"/>
          <w:shd w:val="clear" w:color="auto" w:fill="auto"/>
          <w:lang w:val="cs-CZ" w:eastAsia="cs-CZ" w:bidi="cs-CZ"/>
        </w:rPr>
        <w:t xml:space="preserve">Budou provedeny tři seče v kalendářním roce 2025 </w:t>
      </w:r>
      <w:r>
        <w:rPr>
          <w:color w:val="000000"/>
          <w:spacing w:val="0"/>
          <w:w w:val="100"/>
          <w:position w:val="0"/>
          <w:shd w:val="clear" w:color="auto" w:fill="auto"/>
          <w:lang w:val="cs-CZ" w:eastAsia="cs-CZ" w:bidi="cs-CZ"/>
        </w:rPr>
        <w:t>(1. seč květen, 2. seč srpen, 3. seč říjen-listopad)</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Termín započetí jednotlivých sečí bude upřesněn technickým dozorem investora (TDI).</w:t>
      </w:r>
      <w:bookmarkEnd w:id="12"/>
      <w:bookmarkEnd w:id="13"/>
      <w:bookmarkEnd w:id="14"/>
    </w:p>
    <w:p>
      <w:pPr>
        <w:pStyle w:val="Style2"/>
        <w:keepNext w:val="0"/>
        <w:keepLines w:val="0"/>
        <w:widowControl w:val="0"/>
        <w:shd w:val="clear" w:color="auto" w:fill="auto"/>
        <w:bidi w:val="0"/>
        <w:spacing w:before="0" w:after="0" w:line="240" w:lineRule="auto"/>
        <w:ind w:left="360" w:right="0" w:firstLine="40"/>
        <w:jc w:val="both"/>
      </w:pPr>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after="0" w:line="240" w:lineRule="auto"/>
        <w:ind w:left="360" w:right="0" w:firstLine="40"/>
        <w:jc w:val="both"/>
      </w:pPr>
      <w:r>
        <w:rPr>
          <w:color w:val="000000"/>
          <w:spacing w:val="0"/>
          <w:w w:val="100"/>
          <w:position w:val="0"/>
          <w:shd w:val="clear" w:color="auto" w:fill="auto"/>
          <w:lang w:val="cs-CZ" w:eastAsia="cs-CZ" w:bidi="cs-CZ"/>
        </w:rPr>
        <w:t>Místo provádění díla:</w:t>
      </w:r>
    </w:p>
    <w:p>
      <w:pPr>
        <w:pStyle w:val="Style12"/>
        <w:keepNext/>
        <w:keepLines/>
        <w:widowControl w:val="0"/>
        <w:shd w:val="clear" w:color="auto" w:fill="auto"/>
        <w:bidi w:val="0"/>
        <w:spacing w:before="0" w:after="0" w:line="240" w:lineRule="auto"/>
        <w:ind w:right="0" w:firstLine="40"/>
        <w:jc w:val="both"/>
      </w:pPr>
      <w:bookmarkStart w:id="15" w:name="bookmark15"/>
      <w:bookmarkStart w:id="16" w:name="bookmark16"/>
      <w:bookmarkStart w:id="17" w:name="bookmark17"/>
      <w:r>
        <w:rPr>
          <w:color w:val="000000"/>
          <w:spacing w:val="0"/>
          <w:w w:val="100"/>
          <w:position w:val="0"/>
          <w:shd w:val="clear" w:color="auto" w:fill="auto"/>
          <w:lang w:val="cs-CZ" w:eastAsia="cs-CZ" w:bidi="cs-CZ"/>
        </w:rPr>
        <w:t xml:space="preserve">Koryto vodního toku Pokratický potok v úseku od vtoku do krytého profilu v ul. Werichova (50°32'15.047"N, 14°7'31.811"E), po vývar štěrkové přehrážky v ul. Mlýnská u č.p. 16 (50°32'59.224"N, 14°7'46.309"E) </w:t>
      </w:r>
      <w:r>
        <w:rPr>
          <w:b/>
          <w:bCs/>
          <w:color w:val="000000"/>
          <w:spacing w:val="0"/>
          <w:w w:val="100"/>
          <w:position w:val="0"/>
          <w:shd w:val="clear" w:color="auto" w:fill="auto"/>
          <w:lang w:val="cs-CZ" w:eastAsia="cs-CZ" w:bidi="cs-CZ"/>
        </w:rPr>
        <w:t xml:space="preserve">– viz příloha č . 2 – Situace. </w:t>
      </w:r>
      <w:r>
        <w:rPr>
          <w:color w:val="000000"/>
          <w:spacing w:val="0"/>
          <w:w w:val="100"/>
          <w:position w:val="0"/>
          <w:shd w:val="clear" w:color="auto" w:fill="auto"/>
          <w:lang w:val="cs-CZ" w:eastAsia="cs-CZ" w:bidi="cs-CZ"/>
        </w:rPr>
        <w:t>Jde o tyto pozemky ve správě Povodí Ohře, státní podnik:</w:t>
      </w:r>
      <w:bookmarkEnd w:id="15"/>
      <w:bookmarkEnd w:id="16"/>
      <w:bookmarkEnd w:id="17"/>
    </w:p>
    <w:p>
      <w:pPr>
        <w:pStyle w:val="Style12"/>
        <w:keepNext/>
        <w:keepLines/>
        <w:widowControl w:val="0"/>
        <w:shd w:val="clear" w:color="auto" w:fill="auto"/>
        <w:bidi w:val="0"/>
        <w:spacing w:before="0" w:after="0" w:line="221" w:lineRule="auto"/>
        <w:ind w:left="0" w:right="0" w:firstLine="360"/>
        <w:jc w:val="both"/>
      </w:pPr>
      <w:bookmarkStart w:id="18" w:name="bookmark18"/>
      <w:bookmarkStart w:id="19" w:name="bookmark19"/>
      <w:bookmarkStart w:id="20" w:name="bookmark20"/>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Litoměřice - p. p. č. 1241/4, 2004/3, 2005/1, 3294/1, 3294/2, 3294/3,</w:t>
      </w:r>
      <w:bookmarkEnd w:id="18"/>
      <w:bookmarkEnd w:id="19"/>
      <w:bookmarkEnd w:id="20"/>
    </w:p>
    <w:p>
      <w:pPr>
        <w:pStyle w:val="Style12"/>
        <w:keepNext/>
        <w:keepLines/>
        <w:widowControl w:val="0"/>
        <w:shd w:val="clear" w:color="auto" w:fill="auto"/>
        <w:bidi w:val="0"/>
        <w:spacing w:before="0" w:after="60" w:line="221" w:lineRule="auto"/>
        <w:ind w:left="0" w:right="0" w:firstLine="360"/>
        <w:jc w:val="both"/>
      </w:pPr>
      <w:bookmarkStart w:id="21" w:name="bookmark21"/>
      <w:bookmarkStart w:id="22" w:name="bookmark22"/>
      <w:bookmarkStart w:id="23" w:name="bookmark23"/>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Pokratice – p. p. č. 363/1, 363/7, 363/8, 363/9, 363/11 , 646/1, 646/2 a 646/3.</w:t>
      </w:r>
      <w:bookmarkEnd w:id="21"/>
      <w:bookmarkEnd w:id="22"/>
      <w:bookmarkEnd w:id="23"/>
    </w:p>
    <w:p>
      <w:pPr>
        <w:pStyle w:val="Style12"/>
        <w:keepNext/>
        <w:keepLines/>
        <w:widowControl w:val="0"/>
        <w:numPr>
          <w:ilvl w:val="0"/>
          <w:numId w:val="1"/>
        </w:numPr>
        <w:shd w:val="clear" w:color="auto" w:fill="auto"/>
        <w:tabs>
          <w:tab w:pos="382" w:val="left"/>
        </w:tabs>
        <w:bidi w:val="0"/>
        <w:spacing w:before="0" w:after="60" w:line="240" w:lineRule="auto"/>
        <w:ind w:right="0" w:hanging="36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24"/>
      <w:bookmarkEnd w:id="25"/>
      <w:bookmarkEnd w:id="27"/>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Za předmět díla se dále považuje:</w:t>
      </w:r>
      <w:bookmarkEnd w:id="28"/>
      <w:bookmarkEnd w:id="29"/>
      <w:bookmarkEnd w:id="31"/>
    </w:p>
    <w:p>
      <w:pPr>
        <w:pStyle w:val="Style12"/>
        <w:keepNext/>
        <w:keepLines/>
        <w:widowControl w:val="0"/>
        <w:numPr>
          <w:ilvl w:val="0"/>
          <w:numId w:val="3"/>
        </w:numPr>
        <w:shd w:val="clear" w:color="auto" w:fill="auto"/>
        <w:tabs>
          <w:tab w:pos="797" w:val="left"/>
        </w:tabs>
        <w:bidi w:val="0"/>
        <w:spacing w:before="0" w:after="0" w:line="240" w:lineRule="auto"/>
        <w:ind w:left="720" w:right="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32"/>
      <w:bookmarkEnd w:id="33"/>
      <w:bookmarkEnd w:id="35"/>
    </w:p>
    <w:p>
      <w:pPr>
        <w:pStyle w:val="Style12"/>
        <w:keepNext/>
        <w:keepLines/>
        <w:widowControl w:val="0"/>
        <w:numPr>
          <w:ilvl w:val="0"/>
          <w:numId w:val="3"/>
        </w:numPr>
        <w:shd w:val="clear" w:color="auto" w:fill="auto"/>
        <w:tabs>
          <w:tab w:pos="806" w:val="left"/>
        </w:tabs>
        <w:bidi w:val="0"/>
        <w:spacing w:before="0" w:after="0" w:line="240" w:lineRule="auto"/>
        <w:ind w:left="720" w:right="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zajištění povolení ke vstupu a vjezdu na pozemky (mimo pozemků ve vlastnictví objednatele),</w:t>
      </w:r>
      <w:bookmarkEnd w:id="36"/>
      <w:bookmarkEnd w:id="37"/>
      <w:bookmarkEnd w:id="39"/>
    </w:p>
    <w:p>
      <w:pPr>
        <w:pStyle w:val="Style12"/>
        <w:keepNext/>
        <w:keepLines/>
        <w:widowControl w:val="0"/>
        <w:numPr>
          <w:ilvl w:val="0"/>
          <w:numId w:val="3"/>
        </w:numPr>
        <w:shd w:val="clear" w:color="auto" w:fill="auto"/>
        <w:tabs>
          <w:tab w:pos="806" w:val="left"/>
        </w:tabs>
        <w:bidi w:val="0"/>
        <w:spacing w:before="0" w:after="0" w:line="240" w:lineRule="auto"/>
        <w:ind w:left="720" w:right="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40"/>
      <w:bookmarkEnd w:id="41"/>
      <w:bookmarkEnd w:id="43"/>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zajištění povolení zvláštního užívání pozemní komunikace, bude-li potřeba,</w:t>
      </w:r>
      <w:bookmarkEnd w:id="44"/>
      <w:bookmarkEnd w:id="45"/>
      <w:bookmarkEnd w:id="47"/>
    </w:p>
    <w:p>
      <w:pPr>
        <w:pStyle w:val="Style12"/>
        <w:keepNext/>
        <w:keepLines/>
        <w:widowControl w:val="0"/>
        <w:numPr>
          <w:ilvl w:val="0"/>
          <w:numId w:val="3"/>
        </w:numPr>
        <w:shd w:val="clear" w:color="auto" w:fill="auto"/>
        <w:tabs>
          <w:tab w:pos="806" w:val="left"/>
        </w:tabs>
        <w:bidi w:val="0"/>
        <w:spacing w:before="0" w:after="0" w:line="240" w:lineRule="auto"/>
        <w:ind w:left="720"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48"/>
      <w:bookmarkEnd w:id="49"/>
      <w:bookmarkEnd w:id="51"/>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zhotovitel zodpovídá za místo realizace díla i v době přerušení prací,</w:t>
      </w:r>
      <w:bookmarkEnd w:id="52"/>
      <w:bookmarkEnd w:id="53"/>
      <w:bookmarkEnd w:id="55"/>
    </w:p>
    <w:p>
      <w:pPr>
        <w:pStyle w:val="Style12"/>
        <w:keepNext/>
        <w:keepLines/>
        <w:widowControl w:val="0"/>
        <w:numPr>
          <w:ilvl w:val="0"/>
          <w:numId w:val="3"/>
        </w:numPr>
        <w:shd w:val="clear" w:color="auto" w:fill="auto"/>
        <w:tabs>
          <w:tab w:pos="806" w:val="left"/>
        </w:tabs>
        <w:bidi w:val="0"/>
        <w:spacing w:before="0" w:after="0" w:line="240" w:lineRule="auto"/>
        <w:ind w:left="720" w:right="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56"/>
      <w:bookmarkEnd w:id="57"/>
      <w:bookmarkEnd w:id="59"/>
    </w:p>
    <w:p>
      <w:pPr>
        <w:pStyle w:val="Style2"/>
        <w:keepNext w:val="0"/>
        <w:keepLines w:val="0"/>
        <w:widowControl w:val="0"/>
        <w:numPr>
          <w:ilvl w:val="0"/>
          <w:numId w:val="3"/>
        </w:numPr>
        <w:shd w:val="clear" w:color="auto" w:fill="auto"/>
        <w:tabs>
          <w:tab w:pos="806" w:val="left"/>
        </w:tabs>
        <w:bidi w:val="0"/>
        <w:spacing w:before="0" w:after="0" w:line="240" w:lineRule="auto"/>
        <w:ind w:left="720" w:right="0" w:hanging="320"/>
        <w:jc w:val="both"/>
      </w:pPr>
      <w:bookmarkStart w:id="60" w:name="bookmark60"/>
      <w:bookmarkStart w:id="61" w:name="bookmark61"/>
      <w:bookmarkEnd w:id="60"/>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w:t>
      </w:r>
      <w:bookmarkEnd w:id="61"/>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bližších minimálních požadavcích na bezpečnost a ochranu zdraví při práci na pracovištích, ve znění pozdějších předpisů),</w:t>
      </w:r>
    </w:p>
    <w:p>
      <w:pPr>
        <w:pStyle w:val="Style12"/>
        <w:keepNext/>
        <w:keepLines/>
        <w:widowControl w:val="0"/>
        <w:numPr>
          <w:ilvl w:val="0"/>
          <w:numId w:val="3"/>
        </w:numPr>
        <w:shd w:val="clear" w:color="auto" w:fill="auto"/>
        <w:tabs>
          <w:tab w:pos="734" w:val="left"/>
        </w:tabs>
        <w:bidi w:val="0"/>
        <w:spacing w:before="0" w:after="200" w:line="240" w:lineRule="auto"/>
        <w:ind w:left="720" w:right="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62"/>
      <w:bookmarkEnd w:id="63"/>
      <w:bookmarkEnd w:id="65"/>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66"/>
      <w:bookmarkEnd w:id="67"/>
      <w:bookmarkEnd w:id="69"/>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70"/>
      <w:bookmarkEnd w:id="71"/>
      <w:bookmarkEnd w:id="73"/>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Objednatel předá zhotoviteli pracoviště (nebo jeho ucelenou část) prosté práv třetích osob.</w:t>
      </w:r>
      <w:bookmarkEnd w:id="74"/>
      <w:bookmarkEnd w:id="75"/>
      <w:bookmarkEnd w:id="77"/>
    </w:p>
    <w:p>
      <w:pPr>
        <w:pStyle w:val="Style12"/>
        <w:keepNext/>
        <w:keepLines/>
        <w:widowControl w:val="0"/>
        <w:shd w:val="clear" w:color="auto" w:fill="auto"/>
        <w:bidi w:val="0"/>
        <w:spacing w:before="0" w:after="200" w:line="240" w:lineRule="auto"/>
        <w:ind w:right="0" w:firstLine="40"/>
        <w:jc w:val="both"/>
      </w:pPr>
      <w:bookmarkStart w:id="78" w:name="bookmark78"/>
      <w:bookmarkStart w:id="79" w:name="bookmark79"/>
      <w:bookmarkStart w:id="80" w:name="bookmark80"/>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78"/>
      <w:bookmarkEnd w:id="79"/>
      <w:bookmarkEnd w:id="80"/>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after="200" w:line="293" w:lineRule="auto"/>
        <w:ind w:left="360" w:right="0" w:hanging="360"/>
        <w:jc w:val="both"/>
      </w:pPr>
      <w:bookmarkStart w:id="81" w:name="bookmark81"/>
      <w:bookmarkEnd w:id="81"/>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82" w:name="bookmark82"/>
      <w:bookmarkEnd w:id="82"/>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83" w:name="bookmark83"/>
      <w:bookmarkEnd w:id="83"/>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 nejdříve však od 1.5.2025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84" w:name="bookmark84"/>
      <w:bookmarkEnd w:id="84"/>
      <w:r>
        <w:rPr>
          <w:b/>
          <w:bCs/>
          <w:color w:val="000000"/>
          <w:spacing w:val="0"/>
          <w:w w:val="100"/>
          <w:position w:val="0"/>
          <w:shd w:val="clear" w:color="auto" w:fill="auto"/>
          <w:lang w:val="cs-CZ" w:eastAsia="cs-CZ" w:bidi="cs-CZ"/>
        </w:rPr>
        <w:t>Dílčí termín pro dokončení 1.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30.5.2025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85" w:name="bookmark85"/>
      <w:bookmarkEnd w:id="85"/>
      <w:r>
        <w:rPr>
          <w:b/>
          <w:bCs/>
          <w:color w:val="000000"/>
          <w:spacing w:val="0"/>
          <w:w w:val="100"/>
          <w:position w:val="0"/>
          <w:shd w:val="clear" w:color="auto" w:fill="auto"/>
          <w:lang w:val="cs-CZ" w:eastAsia="cs-CZ" w:bidi="cs-CZ"/>
        </w:rPr>
        <w:t>Dílčí termín pro dokončení 2.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29.8.2025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86" w:name="bookmark86"/>
      <w:bookmarkEnd w:id="86"/>
      <w:r>
        <w:rPr>
          <w:b/>
          <w:bCs/>
          <w:color w:val="000000"/>
          <w:spacing w:val="0"/>
          <w:w w:val="100"/>
          <w:position w:val="0"/>
          <w:shd w:val="clear" w:color="auto" w:fill="auto"/>
          <w:lang w:val="cs-CZ" w:eastAsia="cs-CZ" w:bidi="cs-CZ"/>
        </w:rPr>
        <w:t>předání a převzetí dokončeného díla včetně 3.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14.11.2025</w:t>
      </w:r>
    </w:p>
    <w:p>
      <w:pPr>
        <w:pStyle w:val="Style2"/>
        <w:keepNext w:val="0"/>
        <w:keepLines w:val="0"/>
        <w:widowControl w:val="0"/>
        <w:numPr>
          <w:ilvl w:val="0"/>
          <w:numId w:val="7"/>
        </w:numPr>
        <w:shd w:val="clear" w:color="auto" w:fill="auto"/>
        <w:tabs>
          <w:tab w:pos="806" w:val="left"/>
        </w:tabs>
        <w:bidi w:val="0"/>
        <w:spacing w:before="0" w:after="200" w:line="240" w:lineRule="auto"/>
        <w:ind w:left="720" w:right="0" w:hanging="320"/>
        <w:jc w:val="both"/>
      </w:pPr>
      <w:bookmarkStart w:id="87" w:name="bookmark87"/>
      <w:bookmarkEnd w:id="87"/>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88" w:name="bookmark88"/>
      <w:bookmarkEnd w:id="88"/>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after="200" w:line="293" w:lineRule="auto"/>
        <w:ind w:left="360" w:right="0" w:hanging="360"/>
        <w:jc w:val="both"/>
      </w:pPr>
      <w:bookmarkStart w:id="89" w:name="bookmark89"/>
      <w:bookmarkEnd w:id="89"/>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90" w:name="bookmark90"/>
      <w:bookmarkEnd w:id="90"/>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after="32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4312" w:val="left"/>
        </w:tabs>
        <w:bidi w:val="0"/>
        <w:spacing w:before="0" w:after="60" w:line="240" w:lineRule="auto"/>
        <w:ind w:left="380" w:right="0" w:firstLine="0"/>
        <w:jc w:val="both"/>
      </w:pPr>
      <w:r>
        <w:rPr>
          <w:color w:val="000000"/>
          <w:spacing w:val="0"/>
          <w:w w:val="100"/>
          <w:position w:val="0"/>
          <w:shd w:val="clear" w:color="auto" w:fill="auto"/>
          <w:lang w:val="cs-CZ" w:eastAsia="cs-CZ" w:bidi="cs-CZ"/>
        </w:rPr>
        <w:t>Dílčí cena za 1. seč:</w:t>
        <w:tab/>
        <w:t>39.700,00 Kč bez DPH</w:t>
      </w:r>
    </w:p>
    <w:p>
      <w:pPr>
        <w:pStyle w:val="Style2"/>
        <w:keepNext w:val="0"/>
        <w:keepLines w:val="0"/>
        <w:widowControl w:val="0"/>
        <w:shd w:val="clear" w:color="auto" w:fill="auto"/>
        <w:tabs>
          <w:tab w:pos="4312" w:val="left"/>
        </w:tabs>
        <w:bidi w:val="0"/>
        <w:spacing w:before="0" w:after="60" w:line="240" w:lineRule="auto"/>
        <w:ind w:left="380" w:right="0" w:firstLine="0"/>
        <w:jc w:val="both"/>
      </w:pPr>
      <w:r>
        <w:rPr>
          <w:color w:val="000000"/>
          <w:spacing w:val="0"/>
          <w:w w:val="100"/>
          <w:position w:val="0"/>
          <w:shd w:val="clear" w:color="auto" w:fill="auto"/>
          <w:lang w:val="cs-CZ" w:eastAsia="cs-CZ" w:bidi="cs-CZ"/>
        </w:rPr>
        <w:t>Dílčí cena za 2. seč:</w:t>
        <w:tab/>
        <w:t>39.700,00 Kč bez DPH</w:t>
      </w:r>
    </w:p>
    <w:p>
      <w:pPr>
        <w:pStyle w:val="Style2"/>
        <w:keepNext w:val="0"/>
        <w:keepLines w:val="0"/>
        <w:widowControl w:val="0"/>
        <w:shd w:val="clear" w:color="auto" w:fill="auto"/>
        <w:tabs>
          <w:tab w:pos="4312" w:val="left"/>
        </w:tabs>
        <w:bidi w:val="0"/>
        <w:spacing w:before="0" w:after="60" w:line="240" w:lineRule="auto"/>
        <w:ind w:left="380" w:right="0" w:firstLine="0"/>
        <w:jc w:val="both"/>
      </w:pPr>
      <w:r>
        <w:rPr>
          <w:color w:val="000000"/>
          <w:spacing w:val="0"/>
          <w:w w:val="100"/>
          <w:position w:val="0"/>
          <w:shd w:val="clear" w:color="auto" w:fill="auto"/>
          <w:lang w:val="cs-CZ" w:eastAsia="cs-CZ" w:bidi="cs-CZ"/>
        </w:rPr>
        <w:t>Dílčí cena za 3. seč:</w:t>
        <w:tab/>
        <w:t>39.700,00 Kč bez DPH</w:t>
      </w:r>
    </w:p>
    <w:p>
      <w:pPr>
        <w:pStyle w:val="Style2"/>
        <w:keepNext w:val="0"/>
        <w:keepLines w:val="0"/>
        <w:widowControl w:val="0"/>
        <w:shd w:val="clear" w:color="auto" w:fill="auto"/>
        <w:tabs>
          <w:tab w:pos="4312" w:val="left"/>
        </w:tabs>
        <w:bidi w:val="0"/>
        <w:spacing w:before="0" w:after="60" w:line="240" w:lineRule="auto"/>
        <w:ind w:left="380" w:right="0" w:firstLine="0"/>
        <w:jc w:val="both"/>
      </w:pPr>
      <w:r>
        <w:rPr>
          <w:b/>
          <w:bCs/>
          <w:color w:val="000000"/>
          <w:spacing w:val="0"/>
          <w:w w:val="100"/>
          <w:position w:val="0"/>
          <w:shd w:val="clear" w:color="auto" w:fill="auto"/>
          <w:lang w:val="cs-CZ" w:eastAsia="cs-CZ" w:bidi="cs-CZ"/>
        </w:rPr>
        <w:t>Cena díla celkem:</w:t>
        <w:tab/>
        <w:t>119.100,00 Kč bez DPH</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2" w:val="left"/>
        </w:tabs>
        <w:bidi w:val="0"/>
        <w:spacing w:before="0" w:after="20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2" w:val="left"/>
        </w:tabs>
        <w:bidi w:val="0"/>
        <w:spacing w:before="0" w:after="6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 xml:space="preserve">Cena za dílo bude hrazena průběžně po dokončení uceleně provedených a objednatelem odsouhlasených prací (jednotlivých sečí).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 xml:space="preserve">Předat faktury lze i elektronicky ve formátu PDF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2" w:val="left"/>
        </w:tabs>
        <w:bidi w:val="0"/>
        <w:spacing w:before="0" w:after="60" w:line="240" w:lineRule="auto"/>
        <w:ind w:left="0" w:right="0" w:firstLine="0"/>
        <w:jc w:val="both"/>
      </w:pPr>
      <w:bookmarkStart w:id="97" w:name="bookmark97"/>
      <w:bookmarkEnd w:id="97"/>
      <w:r>
        <w:rPr>
          <w:color w:val="000000"/>
          <w:spacing w:val="0"/>
          <w:w w:val="100"/>
          <w:position w:val="0"/>
          <w:shd w:val="clear" w:color="auto" w:fill="auto"/>
          <w:lang w:val="cs-CZ" w:eastAsia="cs-CZ" w:bidi="cs-CZ"/>
        </w:rPr>
        <w:t>Zdanitelné plnění se považuje za uskutečněné:</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98" w:name="bookmark98"/>
      <w:bookmarkEnd w:id="98"/>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 xml:space="preserve">do 30.5.2025 (1. seč). </w:t>
      </w:r>
      <w:r>
        <w:rPr>
          <w:color w:val="000000"/>
          <w:spacing w:val="0"/>
          <w:w w:val="100"/>
          <w:position w:val="0"/>
          <w:shd w:val="clear" w:color="auto" w:fill="auto"/>
          <w:lang w:val="cs-CZ" w:eastAsia="cs-CZ" w:bidi="cs-CZ"/>
        </w:rPr>
        <w:t>K datu předání a převzetí dílčího plnění uvedeného na dílčím předávacím a přejímacím protokolu.</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99" w:name="bookmark99"/>
      <w:bookmarkEnd w:id="99"/>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 xml:space="preserve">do 29.8.2025 (2. seč). </w:t>
      </w:r>
      <w:r>
        <w:rPr>
          <w:color w:val="000000"/>
          <w:spacing w:val="0"/>
          <w:w w:val="100"/>
          <w:position w:val="0"/>
          <w:shd w:val="clear" w:color="auto" w:fill="auto"/>
          <w:lang w:val="cs-CZ" w:eastAsia="cs-CZ" w:bidi="cs-CZ"/>
        </w:rPr>
        <w:t>K datu předání a převzetí dílčího plnění uvedeného na dílčím předávacím a přejímacím protokolu.</w:t>
      </w:r>
    </w:p>
    <w:p>
      <w:pPr>
        <w:pStyle w:val="Style2"/>
        <w:keepNext w:val="0"/>
        <w:keepLines w:val="0"/>
        <w:widowControl w:val="0"/>
        <w:numPr>
          <w:ilvl w:val="0"/>
          <w:numId w:val="13"/>
        </w:numPr>
        <w:shd w:val="clear" w:color="auto" w:fill="auto"/>
        <w:tabs>
          <w:tab w:pos="740" w:val="left"/>
        </w:tabs>
        <w:bidi w:val="0"/>
        <w:spacing w:before="0" w:after="60" w:line="240" w:lineRule="auto"/>
        <w:ind w:left="740" w:right="0" w:hanging="360"/>
        <w:jc w:val="both"/>
      </w:pPr>
      <w:bookmarkStart w:id="100" w:name="bookmark100"/>
      <w:bookmarkEnd w:id="100"/>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2"/>
        <w:keepNext w:val="0"/>
        <w:keepLines w:val="0"/>
        <w:widowControl w:val="0"/>
        <w:shd w:val="clear" w:color="auto" w:fill="auto"/>
        <w:bidi w:val="0"/>
        <w:spacing w:before="0" w:after="120" w:line="240" w:lineRule="auto"/>
        <w:ind w:left="380" w:right="0" w:firstLine="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2"/>
        <w:keepNext w:val="0"/>
        <w:keepLines w:val="0"/>
        <w:widowControl w:val="0"/>
        <w:numPr>
          <w:ilvl w:val="0"/>
          <w:numId w:val="11"/>
        </w:numPr>
        <w:shd w:val="clear" w:color="auto" w:fill="auto"/>
        <w:tabs>
          <w:tab w:pos="360" w:val="left"/>
        </w:tabs>
        <w:bidi w:val="0"/>
        <w:spacing w:before="0" w:after="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60" w:val="left"/>
        </w:tabs>
        <w:bidi w:val="0"/>
        <w:spacing w:before="0" w:after="20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60" w:val="left"/>
        </w:tabs>
        <w:bidi w:val="0"/>
        <w:spacing w:before="0" w:after="200" w:line="240" w:lineRule="auto"/>
        <w:ind w:left="0" w:right="0" w:firstLine="0"/>
        <w:jc w:val="both"/>
      </w:pPr>
      <w:bookmarkStart w:id="103" w:name="bookmark103"/>
      <w:bookmarkEnd w:id="103"/>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60" w:val="left"/>
        </w:tabs>
        <w:bidi w:val="0"/>
        <w:spacing w:before="0" w:after="20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60" w:val="left"/>
        </w:tabs>
        <w:bidi w:val="0"/>
        <w:spacing w:before="0" w:after="6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Pokud bude zhotovitel v prodlení proti dílčímu termínu předání a převzetí dokončené části díla (1. seče nebo 2. seče) sjednaného dle čl. II. odst. 1. písm. c) nebo d) této smlouvy, je povinen zaplatit objednateli smluvní pokutu ve výši 0,2 % z celkové ceny díla bez DPH dle čl. III. této smlouvy za každý i započatý kalendářní den prodlení, až do dne podpisu zápisu o předání a převzetí dokončené části díla (1. seče nebo 2. seče).</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e) této smlouvy, je povinen zaplatit objednateli smluvní pokutu ve výši 0,2 % z celkové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Při nesplnění termínu vyklizení pracoviště, oproti dohodnutému termínu v čl. II. odst.1. písm. f)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5"/>
        </w:numPr>
        <w:shd w:val="clear" w:color="auto" w:fill="auto"/>
        <w:tabs>
          <w:tab w:pos="360" w:val="left"/>
        </w:tabs>
        <w:bidi w:val="0"/>
        <w:spacing w:before="0" w:after="20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382"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502"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502"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502" w:val="left"/>
        </w:tabs>
        <w:bidi w:val="0"/>
        <w:spacing w:before="0" w:after="36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117" w:name="bookmark117"/>
      <w:bookmarkEnd w:id="117"/>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3"/>
        </w:numPr>
        <w:shd w:val="clear" w:color="auto" w:fill="auto"/>
        <w:tabs>
          <w:tab w:pos="973" w:val="left"/>
        </w:tabs>
        <w:bidi w:val="0"/>
        <w:spacing w:before="0" w:after="0" w:line="240" w:lineRule="auto"/>
        <w:ind w:left="0" w:right="0" w:firstLine="380"/>
        <w:jc w:val="both"/>
      </w:pPr>
      <w:bookmarkStart w:id="118" w:name="bookmark118"/>
      <w:bookmarkEnd w:id="118"/>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3"/>
        </w:numPr>
        <w:shd w:val="clear" w:color="auto" w:fill="auto"/>
        <w:tabs>
          <w:tab w:pos="973" w:val="left"/>
        </w:tabs>
        <w:bidi w:val="0"/>
        <w:spacing w:before="0" w:after="0" w:line="240" w:lineRule="auto"/>
        <w:ind w:left="1020" w:right="0" w:hanging="600"/>
        <w:jc w:val="both"/>
      </w:pPr>
      <w:bookmarkStart w:id="119" w:name="bookmark119"/>
      <w:bookmarkEnd w:id="119"/>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3"/>
        </w:numPr>
        <w:shd w:val="clear" w:color="auto" w:fill="auto"/>
        <w:tabs>
          <w:tab w:pos="973" w:val="left"/>
        </w:tabs>
        <w:bidi w:val="0"/>
        <w:spacing w:before="0" w:after="0" w:line="240" w:lineRule="auto"/>
        <w:ind w:left="1020" w:right="0" w:hanging="600"/>
        <w:jc w:val="both"/>
      </w:pPr>
      <w:bookmarkStart w:id="120" w:name="bookmark120"/>
      <w:bookmarkEnd w:id="120"/>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7" w:val="left"/>
        </w:tabs>
        <w:bidi w:val="0"/>
        <w:spacing w:before="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57" w:val="left"/>
        </w:tabs>
        <w:bidi w:val="0"/>
        <w:spacing w:before="0" w:after="30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7" w:val="left"/>
        </w:tabs>
        <w:bidi w:val="0"/>
        <w:spacing w:before="0" w:after="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30"/>
      <w:bookmarkEnd w:id="131"/>
      <w:bookmarkEnd w:id="133"/>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bezdůvodném přerušení prací zhotovitele, které trvá více než 14 dnů,</w:t>
      </w:r>
      <w:bookmarkEnd w:id="134"/>
      <w:bookmarkEnd w:id="135"/>
      <w:bookmarkEnd w:id="137"/>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38"/>
      <w:bookmarkEnd w:id="139"/>
      <w:bookmarkEnd w:id="141"/>
    </w:p>
    <w:p>
      <w:pPr>
        <w:pStyle w:val="Style12"/>
        <w:keepNext/>
        <w:keepLines/>
        <w:widowControl w:val="0"/>
        <w:numPr>
          <w:ilvl w:val="0"/>
          <w:numId w:val="25"/>
        </w:numPr>
        <w:shd w:val="clear" w:color="auto" w:fill="auto"/>
        <w:tabs>
          <w:tab w:pos="1376" w:val="left"/>
        </w:tabs>
        <w:bidi w:val="0"/>
        <w:spacing w:before="0" w:after="180" w:line="240" w:lineRule="auto"/>
        <w:ind w:left="0" w:right="0" w:firstLine="80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neplněním povinností zhotovitele vést řádně zápisy do stavebního deníku.</w:t>
      </w:r>
      <w:bookmarkEnd w:id="142"/>
      <w:bookmarkEnd w:id="143"/>
      <w:bookmarkEnd w:id="145"/>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7"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60" w:val="left"/>
        </w:tabs>
        <w:bidi w:val="0"/>
        <w:spacing w:before="0" w:after="20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2" w:val="left"/>
        </w:tabs>
        <w:bidi w:val="0"/>
        <w:spacing w:before="0" w:after="200" w:line="240" w:lineRule="auto"/>
        <w:ind w:left="0" w:right="0" w:firstLine="0"/>
        <w:jc w:val="both"/>
      </w:pPr>
      <w:bookmarkStart w:id="154" w:name="bookmark154"/>
      <w:bookmarkEnd w:id="15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0" w:line="240" w:lineRule="auto"/>
        <w:ind w:left="380" w:right="0" w:hanging="380"/>
        <w:jc w:val="left"/>
      </w:pPr>
      <w:bookmarkStart w:id="157" w:name="bookmark157"/>
      <w:bookmarkEnd w:id="15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left"/>
        <w:sectPr>
          <w:headerReference w:type="default" r:id="rId5"/>
          <w:footerReference w:type="default" r:id="rId6"/>
          <w:footnotePr>
            <w:pos w:val="pageBottom"/>
            <w:numFmt w:val="decimal"/>
            <w:numRestart w:val="continuous"/>
          </w:footnotePr>
          <w:pgSz w:w="11909" w:h="16838"/>
          <w:pgMar w:top="1060" w:left="1392" w:right="1387" w:bottom="1240"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3941" w:left="0" w:right="0" w:bottom="394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3941" w:left="1394" w:right="2335" w:bottom="3941" w:header="0" w:footer="3" w:gutter="0"/>
          <w:cols w:num="2" w:space="1901"/>
          <w:noEndnote/>
          <w:rtlGutter w:val="0"/>
          <w:docGrid w:linePitch="360"/>
        </w:sectPr>
      </w:pPr>
      <w:r>
        <w:rPr>
          <w:color w:val="000000"/>
          <w:spacing w:val="0"/>
          <w:w w:val="100"/>
          <w:position w:val="0"/>
          <w:shd w:val="clear" w:color="auto" w:fill="auto"/>
          <w:lang w:val="cs-CZ" w:eastAsia="cs-CZ" w:bidi="cs-CZ"/>
        </w:rPr>
        <w:t>Libor Klenot</w:t>
      </w:r>
    </w:p>
    <w:sectPr>
      <w:footnotePr>
        <w:pos w:val="pageBottom"/>
        <w:numFmt w:val="decimal"/>
        <w:numRestart w:val="continuous"/>
      </w:footnotePr>
      <w:type w:val="continuous"/>
      <w:pgSz w:w="11909" w:h="16838"/>
      <w:pgMar w:top="3941" w:left="1394" w:right="2335" w:bottom="3941"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5993765</wp:posOffset>
              </wp:positionH>
              <wp:positionV relativeFrom="page">
                <wp:posOffset>9958705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71.94999999999999pt;margin-top:784.14999999999998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3366135</wp:posOffset>
              </wp:positionH>
              <wp:positionV relativeFrom="page">
                <wp:posOffset>383540</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5.05000000000001pt;margin-top:30.199999999999999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360" w:hanging="32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