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shd w:val="clear" w:color="auto" w:fill="auto"/>
          <w:lang w:val="cs-CZ" w:eastAsia="cs-CZ" w:bidi="cs-CZ"/>
        </w:rPr>
        <w:t xml:space="preserve">Smlouva o dílo </w:t>
      </w:r>
      <w:r>
        <w:rPr>
          <w:rFonts w:ascii="Times New Roman" w:eastAsia="Times New Roman" w:hAnsi="Times New Roman" w:cs="Times New Roman"/>
          <w:b w:val="0"/>
          <w:bCs w:val="0"/>
          <w:color w:val="000000"/>
          <w:spacing w:val="0"/>
          <w:w w:val="100"/>
          <w:position w:val="0"/>
          <w:shd w:val="clear" w:color="auto" w:fill="auto"/>
          <w:lang w:val="cs-CZ" w:eastAsia="cs-CZ" w:bidi="cs-CZ"/>
        </w:rPr>
        <w:t>č.334/2025</w:t>
      </w:r>
      <w:bookmarkEnd w:id="0"/>
      <w:bookmarkEnd w:id="1"/>
      <w:bookmarkEnd w:id="2"/>
    </w:p>
    <w:p>
      <w:pPr>
        <w:pStyle w:val="Style7"/>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shd w:val="clear" w:color="auto" w:fill="auto"/>
          <w:lang w:val="cs-CZ" w:eastAsia="cs-CZ" w:bidi="cs-CZ"/>
        </w:rPr>
        <w:t>(dále jen „Smlouva“)</w:t>
      </w:r>
      <w:bookmarkEnd w:id="3"/>
      <w:bookmarkEnd w:id="4"/>
      <w:bookmarkEnd w:id="5"/>
    </w:p>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shd w:val="clear" w:color="auto" w:fill="auto"/>
          <w:lang w:val="cs-CZ" w:eastAsia="cs-CZ" w:bidi="cs-CZ"/>
        </w:rPr>
        <w:t>uzavřená podle § 2586 a násl. zákona č. 89/2012 Sb., občanského zákoníku, v platném znění,</w:t>
        <w:br/>
        <w:t>mezi:</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E.ON Energie, a.s.</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 F. A. Gerstnera 2151/6, 370 01 České Budějovice</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26078201 DIČ: CZ26078201</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Zapsaná v obchodním rejstříku vedeném u Krajského soudu v Českých Budějovicích, oddíl B, vložka 1390</w:t>
      </w:r>
    </w:p>
    <w:p>
      <w:pPr>
        <w:pStyle w:val="Style2"/>
        <w:keepNext w:val="0"/>
        <w:keepLines w:val="0"/>
        <w:widowControl w:val="0"/>
        <w:shd w:val="clear" w:color="auto" w:fill="auto"/>
        <w:bidi w:val="0"/>
        <w:spacing w:before="0" w:after="0" w:line="240" w:lineRule="auto"/>
        <w:ind w:left="4380" w:right="0" w:firstLine="24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(dále jen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„Dodavatel“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a</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 Bezručova 4219, 430 03 Chomutov</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70889988 DIČ: CZ70889988</w:t>
      </w:r>
    </w:p>
    <w:p>
      <w:pPr>
        <w:pStyle w:val="Style2"/>
        <w:keepNext w:val="0"/>
        <w:keepLines w:val="0"/>
        <w:widowControl w:val="0"/>
        <w:shd w:val="clear" w:color="auto" w:fill="auto"/>
        <w:bidi w:val="0"/>
        <w:spacing w:before="0" w:after="0" w:line="276"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Zapsaná v obchodním rejstříku vedeném u Krajského soudu v Ústí nad Labem, oddíl A, vložka 130052</w:t>
      </w:r>
    </w:p>
    <w:p>
      <w:pPr>
        <w:pStyle w:val="Style2"/>
        <w:keepNext w:val="0"/>
        <w:keepLines w:val="0"/>
        <w:widowControl w:val="0"/>
        <w:shd w:val="clear" w:color="auto" w:fill="auto"/>
        <w:bidi w:val="0"/>
        <w:spacing w:before="0" w:after="0" w:line="240" w:lineRule="auto"/>
        <w:ind w:left="602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(dále jen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„Objednatel“ </w:t>
      </w:r>
      <w:r>
        <w:rPr>
          <w:rFonts w:ascii="Times New Roman" w:eastAsia="Times New Roman" w:hAnsi="Times New Roman" w:cs="Times New Roman"/>
          <w:color w:val="000000"/>
          <w:spacing w:val="0"/>
          <w:w w:val="100"/>
          <w:position w:val="0"/>
          <w:sz w:val="24"/>
          <w:szCs w:val="24"/>
          <w:shd w:val="clear" w:color="auto" w:fill="auto"/>
          <w:lang w:val="cs-CZ" w:eastAsia="cs-CZ" w:bidi="cs-CZ"/>
        </w:rPr>
        <w:t>) Společně též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smluvní strany</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bookmarkStart w:id="6" w:name="bookmark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w:t>
      </w:r>
      <w:bookmarkEnd w:id="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Předmět smlouvy</w:t>
      </w:r>
    </w:p>
    <w:p>
      <w:pPr>
        <w:pStyle w:val="Style2"/>
        <w:keepNext w:val="0"/>
        <w:keepLines w:val="0"/>
        <w:widowControl w:val="0"/>
        <w:numPr>
          <w:ilvl w:val="0"/>
          <w:numId w:val="1"/>
        </w:numPr>
        <w:shd w:val="clear" w:color="auto" w:fill="auto"/>
        <w:tabs>
          <w:tab w:pos="560" w:val="left"/>
        </w:tabs>
        <w:bidi w:val="0"/>
        <w:spacing w:before="0" w:after="60" w:line="240" w:lineRule="auto"/>
        <w:ind w:left="580" w:right="0" w:hanging="580"/>
        <w:jc w:val="both"/>
      </w:pPr>
      <w:bookmarkStart w:id="7" w:name="bookmark7"/>
      <w:bookmarkEnd w:id="7"/>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Předmětem této Smlouvy je závazek Dodavatele provést na svůj náklad a nebezpečí pro Objednatele Dílo dále specifikované touto Smlouvou a tomu odpovídající závazek Objednatele toto Dílo převzít a zaplatit Dodavateli za provedení Díla cenu podle této Smlouvy.</w:t>
      </w:r>
    </w:p>
    <w:p>
      <w:pPr>
        <w:pStyle w:val="Style2"/>
        <w:keepNext w:val="0"/>
        <w:keepLines w:val="0"/>
        <w:widowControl w:val="0"/>
        <w:numPr>
          <w:ilvl w:val="0"/>
          <w:numId w:val="1"/>
        </w:numPr>
        <w:shd w:val="clear" w:color="auto" w:fill="auto"/>
        <w:tabs>
          <w:tab w:pos="560" w:val="left"/>
        </w:tabs>
        <w:bidi w:val="0"/>
        <w:spacing w:before="0" w:after="60" w:line="240" w:lineRule="auto"/>
        <w:ind w:left="580" w:right="0" w:hanging="580"/>
        <w:jc w:val="both"/>
      </w:pPr>
      <w:bookmarkStart w:id="8" w:name="bookmark8"/>
      <w:bookmarkEnd w:id="8"/>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se zavazuje poskytnout Dodavateli při plnění této Smlouvy veškerou potřebnou součinnost, zejména se zavazuje Dodavateli a dalším osobám pověřeným plněním poskytovat včas veškeré jimi požadované informace či podklady, účastnit se dohodnutých termínů schůzek a nemařit svým jednáním či opomenutím činnost Dodavatele dle této Smlouvy.</w:t>
      </w:r>
    </w:p>
    <w:p>
      <w:pPr>
        <w:pStyle w:val="Style2"/>
        <w:keepNext w:val="0"/>
        <w:keepLines w:val="0"/>
        <w:widowControl w:val="0"/>
        <w:shd w:val="clear" w:color="auto" w:fill="auto"/>
        <w:bidi w:val="0"/>
        <w:spacing w:before="0" w:after="0" w:line="240" w:lineRule="auto"/>
        <w:ind w:left="0" w:right="0" w:firstLine="0"/>
        <w:jc w:val="center"/>
      </w:pPr>
      <w:bookmarkStart w:id="9" w:name="bookmark9"/>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w:t>
      </w:r>
      <w:bookmarkEnd w:id="9"/>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w:t>
      </w:r>
    </w:p>
    <w:p>
      <w:pPr>
        <w:pStyle w:val="Style2"/>
        <w:keepNext w:val="0"/>
        <w:keepLines w:val="0"/>
        <w:widowControl w:val="0"/>
        <w:shd w:val="clear" w:color="auto" w:fill="auto"/>
        <w:bidi w:val="0"/>
        <w:spacing w:before="0" w:after="6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Předmět Díla</w:t>
      </w:r>
    </w:p>
    <w:p>
      <w:pPr>
        <w:pStyle w:val="Style2"/>
        <w:keepNext w:val="0"/>
        <w:keepLines w:val="0"/>
        <w:widowControl w:val="0"/>
        <w:numPr>
          <w:ilvl w:val="0"/>
          <w:numId w:val="3"/>
        </w:numPr>
        <w:shd w:val="clear" w:color="auto" w:fill="auto"/>
        <w:tabs>
          <w:tab w:pos="498" w:val="left"/>
        </w:tabs>
        <w:bidi w:val="0"/>
        <w:spacing w:before="0" w:after="220" w:line="240" w:lineRule="auto"/>
        <w:ind w:left="380" w:right="0" w:hanging="380"/>
        <w:jc w:val="both"/>
      </w:pPr>
      <w:bookmarkStart w:id="10" w:name="bookmark10"/>
      <w:bookmarkEnd w:id="10"/>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Díla dle této Smlouvy zahrnuje zajištění kompletní dodávky dobíjecí stanice, dle přiloženého Cenového rozpočtu v Příloze č. 1(varianta č. 1), včetně odborné instalace a zprovoznění dobíjecí stanice</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díla obsahuje i realizaci kabelové přípojky napájení AC dobíjecí stanice.</w:t>
      </w:r>
    </w:p>
    <w:p>
      <w:pPr>
        <w:pStyle w:val="Style2"/>
        <w:keepNext w:val="0"/>
        <w:keepLines w:val="0"/>
        <w:widowControl w:val="0"/>
        <w:numPr>
          <w:ilvl w:val="0"/>
          <w:numId w:val="3"/>
        </w:numPr>
        <w:shd w:val="clear" w:color="auto" w:fill="auto"/>
        <w:tabs>
          <w:tab w:pos="498" w:val="left"/>
        </w:tabs>
        <w:bidi w:val="0"/>
        <w:spacing w:before="0" w:after="220" w:line="240" w:lineRule="auto"/>
        <w:ind w:left="0" w:right="0" w:firstLine="0"/>
        <w:jc w:val="both"/>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Dílem se pro účely této Smlouvy rozumí dodání a montáž AC dobíjecí stanice s ko</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nfigurovatelným výkonem od 3,7 kW do 22 kW (2x11kW) od </w:t>
      </w:r>
      <w:r>
        <w:rPr>
          <w:rFonts w:ascii="Times New Roman" w:eastAsia="Times New Roman" w:hAnsi="Times New Roman" w:cs="Times New Roman"/>
          <w:color w:val="000000"/>
          <w:spacing w:val="0"/>
          <w:w w:val="100"/>
          <w:position w:val="0"/>
          <w:sz w:val="24"/>
          <w:szCs w:val="24"/>
          <w:shd w:val="clear" w:color="auto" w:fill="auto"/>
          <w:lang w:val="cs-CZ" w:eastAsia="cs-CZ" w:bidi="cs-CZ"/>
        </w:rPr>
        <w:t>výrobce Alfen, model Eve Double Pro-line 1FC, 3-fázová AC dobíjecí stanice s integrovaným kabelem.</w:t>
      </w:r>
    </w:p>
    <w:p>
      <w:pPr>
        <w:pStyle w:val="Style2"/>
        <w:keepNext w:val="0"/>
        <w:keepLines w:val="0"/>
        <w:widowControl w:val="0"/>
        <w:shd w:val="clear" w:color="auto" w:fill="auto"/>
        <w:bidi w:val="0"/>
        <w:spacing w:before="0" w:after="0" w:line="240" w:lineRule="auto"/>
        <w:ind w:left="0" w:right="0" w:firstLine="0"/>
        <w:jc w:val="center"/>
      </w:pPr>
      <w:bookmarkStart w:id="12" w:name="bookmark12"/>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w:t>
      </w:r>
      <w:bookmarkEnd w:id="12"/>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II.</w:t>
      </w:r>
    </w:p>
    <w:p>
      <w:pPr>
        <w:pStyle w:val="Style2"/>
        <w:keepNext w:val="0"/>
        <w:keepLines w:val="0"/>
        <w:widowControl w:val="0"/>
        <w:shd w:val="clear" w:color="auto" w:fill="auto"/>
        <w:bidi w:val="0"/>
        <w:spacing w:before="0" w:after="22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Doba a místo plnění – termín dokončení Díla</w:t>
      </w:r>
    </w:p>
    <w:p>
      <w:pPr>
        <w:pStyle w:val="Style2"/>
        <w:keepNext w:val="0"/>
        <w:keepLines w:val="0"/>
        <w:widowControl w:val="0"/>
        <w:numPr>
          <w:ilvl w:val="0"/>
          <w:numId w:val="5"/>
        </w:numPr>
        <w:shd w:val="clear" w:color="auto" w:fill="auto"/>
        <w:tabs>
          <w:tab w:pos="498" w:val="left"/>
        </w:tabs>
        <w:bidi w:val="0"/>
        <w:spacing w:before="0" w:line="240" w:lineRule="auto"/>
        <w:ind w:left="380" w:right="0" w:hanging="380"/>
        <w:jc w:val="both"/>
      </w:pPr>
      <w:bookmarkStart w:id="13" w:name="bookmark13"/>
      <w:bookmarkEnd w:id="13"/>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dodat, nainstalovat a zprovoznit dobíjecí stanici nejpozději do 8 týdnů od podpisu smlouvy, a to v případě, že nenastanou okolnosti, jež nemůže Dodavatel ovlivnit a nastaly v případě zásahu „Vyšší moci“.</w:t>
      </w:r>
    </w:p>
    <w:p>
      <w:pPr>
        <w:pStyle w:val="Style2"/>
        <w:keepNext w:val="0"/>
        <w:keepLines w:val="0"/>
        <w:widowControl w:val="0"/>
        <w:numPr>
          <w:ilvl w:val="0"/>
          <w:numId w:val="5"/>
        </w:numPr>
        <w:shd w:val="clear" w:color="auto" w:fill="auto"/>
        <w:tabs>
          <w:tab w:pos="490" w:val="left"/>
        </w:tabs>
        <w:bidi w:val="0"/>
        <w:spacing w:before="0" w:line="240" w:lineRule="auto"/>
        <w:ind w:left="380" w:right="0" w:hanging="380"/>
        <w:jc w:val="both"/>
      </w:pPr>
      <w:bookmarkStart w:id="14" w:name="bookmark14"/>
      <w:bookmarkEnd w:id="14"/>
      <w:r>
        <w:rPr>
          <w:rFonts w:ascii="Times New Roman" w:eastAsia="Times New Roman" w:hAnsi="Times New Roman" w:cs="Times New Roman"/>
          <w:color w:val="000000"/>
          <w:spacing w:val="0"/>
          <w:w w:val="100"/>
          <w:position w:val="0"/>
          <w:sz w:val="24"/>
          <w:szCs w:val="24"/>
          <w:shd w:val="clear" w:color="auto" w:fill="auto"/>
          <w:lang w:val="cs-CZ" w:eastAsia="cs-CZ" w:bidi="cs-CZ"/>
        </w:rPr>
        <w:t>„Vyšší mocí“ se rozumí jakákoli situace, která je nepředvídatelná a výjimečná a mimo kontrolu strany Dodavatele a která brání straně Dodavatele ve splnění jeho povinností a která nebyla způsobena chybou nebo nedbalostí Dodavatele. Jakýkoli případ „Vyšší moci“ je třeba neprodleně oznámit straně Objednatele.</w:t>
      </w:r>
    </w:p>
    <w:p>
      <w:pPr>
        <w:pStyle w:val="Style2"/>
        <w:keepNext w:val="0"/>
        <w:keepLines w:val="0"/>
        <w:widowControl w:val="0"/>
        <w:numPr>
          <w:ilvl w:val="0"/>
          <w:numId w:val="5"/>
        </w:numPr>
        <w:shd w:val="clear" w:color="auto" w:fill="auto"/>
        <w:tabs>
          <w:tab w:pos="490" w:val="left"/>
        </w:tabs>
        <w:bidi w:val="0"/>
        <w:spacing w:before="0" w:line="240" w:lineRule="auto"/>
        <w:ind w:left="380" w:right="0" w:hanging="380"/>
        <w:jc w:val="both"/>
      </w:pPr>
      <w:bookmarkStart w:id="15" w:name="bookmark15"/>
      <w:bookmarkEnd w:id="15"/>
      <w:r>
        <w:rPr>
          <w:rFonts w:ascii="Times New Roman" w:eastAsia="Times New Roman" w:hAnsi="Times New Roman" w:cs="Times New Roman"/>
          <w:color w:val="000000"/>
          <w:spacing w:val="0"/>
          <w:w w:val="100"/>
          <w:position w:val="0"/>
          <w:sz w:val="24"/>
          <w:szCs w:val="24"/>
          <w:shd w:val="clear" w:color="auto" w:fill="auto"/>
          <w:lang w:val="cs-CZ" w:eastAsia="cs-CZ" w:bidi="cs-CZ"/>
        </w:rPr>
        <w:t>Adresa dodání, instalace a zprovoznění dobíjecí stanice: Bezručova 4219, 430 03 Chomutov.</w:t>
      </w:r>
    </w:p>
    <w:p>
      <w:pPr>
        <w:pStyle w:val="Style2"/>
        <w:keepNext w:val="0"/>
        <w:keepLines w:val="0"/>
        <w:widowControl w:val="0"/>
        <w:shd w:val="clear" w:color="auto" w:fill="auto"/>
        <w:bidi w:val="0"/>
        <w:spacing w:before="0" w:after="0" w:line="240" w:lineRule="auto"/>
        <w:ind w:left="0" w:right="0" w:firstLine="0"/>
        <w:jc w:val="center"/>
      </w:pPr>
      <w:bookmarkStart w:id="16" w:name="bookmark1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w:t>
      </w:r>
      <w:bookmarkEnd w:id="1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w:t>
      </w:r>
    </w:p>
    <w:p>
      <w:pPr>
        <w:pStyle w:val="Style2"/>
        <w:keepNext w:val="0"/>
        <w:keepLines w:val="0"/>
        <w:widowControl w:val="0"/>
        <w:shd w:val="clear" w:color="auto" w:fill="auto"/>
        <w:bidi w:val="0"/>
        <w:spacing w:before="0" w:after="6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Platební podmínky</w:t>
      </w:r>
    </w:p>
    <w:p>
      <w:pPr>
        <w:pStyle w:val="Style2"/>
        <w:keepNext w:val="0"/>
        <w:keepLines w:val="0"/>
        <w:widowControl w:val="0"/>
        <w:numPr>
          <w:ilvl w:val="0"/>
          <w:numId w:val="7"/>
        </w:numPr>
        <w:shd w:val="clear" w:color="auto" w:fill="auto"/>
        <w:tabs>
          <w:tab w:pos="490" w:val="left"/>
        </w:tabs>
        <w:bidi w:val="0"/>
        <w:spacing w:before="0" w:after="60" w:line="240" w:lineRule="auto"/>
        <w:ind w:left="380" w:right="0" w:hanging="380"/>
        <w:jc w:val="left"/>
      </w:pPr>
      <w:bookmarkStart w:id="17" w:name="bookmark17"/>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se zavazuje uhradit Dodavateli za provedení Díla cenu v celkové výši 240.800,- Kč bez DPH (slovy: dvěstěčtyřicettisícosmset korun českých). Vzhledem ke skutečnosti, že se jedná o stavebně montážní práce pro plátce DPH, bude fakturováno v režimu přenesené daňové povinnosti. Tato cena Díla je stanovena dle Cenového rozpočtu uvedeného v Příloze č. 1(varianta č. 1) této Smlouvy.</w:t>
      </w:r>
    </w:p>
    <w:p>
      <w:pPr>
        <w:pStyle w:val="Style2"/>
        <w:keepNext w:val="0"/>
        <w:keepLines w:val="0"/>
        <w:widowControl w:val="0"/>
        <w:numPr>
          <w:ilvl w:val="0"/>
          <w:numId w:val="7"/>
        </w:numPr>
        <w:shd w:val="clear" w:color="auto" w:fill="auto"/>
        <w:tabs>
          <w:tab w:pos="490" w:val="left"/>
        </w:tabs>
        <w:bidi w:val="0"/>
        <w:spacing w:before="0" w:after="60" w:line="240" w:lineRule="auto"/>
        <w:ind w:left="380" w:right="0" w:hanging="380"/>
        <w:jc w:val="both"/>
      </w:pPr>
      <w:bookmarkStart w:id="18" w:name="bookmark18"/>
      <w:bookmarkEnd w:id="18"/>
      <w:r>
        <w:rPr>
          <w:rFonts w:ascii="Times New Roman" w:eastAsia="Times New Roman" w:hAnsi="Times New Roman" w:cs="Times New Roman"/>
          <w:color w:val="000000"/>
          <w:spacing w:val="0"/>
          <w:w w:val="100"/>
          <w:position w:val="0"/>
          <w:sz w:val="24"/>
          <w:szCs w:val="24"/>
          <w:shd w:val="clear" w:color="auto" w:fill="auto"/>
          <w:lang w:val="cs-CZ" w:eastAsia="cs-CZ" w:bidi="cs-CZ"/>
        </w:rPr>
        <w:t>Cena Díla může být měněna pouze na základě písemně uzavřeného dodatku k této Smlouvě. V případě rozšíření Díla musí být v dodatku uveden i rozsah tohoto rozšíření. .</w:t>
      </w:r>
    </w:p>
    <w:p>
      <w:pPr>
        <w:pStyle w:val="Style2"/>
        <w:keepNext w:val="0"/>
        <w:keepLines w:val="0"/>
        <w:widowControl w:val="0"/>
        <w:numPr>
          <w:ilvl w:val="0"/>
          <w:numId w:val="7"/>
        </w:numPr>
        <w:shd w:val="clear" w:color="auto" w:fill="auto"/>
        <w:tabs>
          <w:tab w:pos="490" w:val="left"/>
        </w:tabs>
        <w:bidi w:val="0"/>
        <w:spacing w:before="0" w:after="60" w:line="240" w:lineRule="auto"/>
        <w:ind w:left="380" w:right="0" w:hanging="38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částce ve smyslu odst. 4.1 této Smlouvy jsou zahrnuty již všechny nutné a účelné náklady. Částka bude vyplacena na základě daňového dokladu (dále jen „Faktura“) vystaveného v souladu se zákonem č. 235/2004 Sb., o dani z přidané hodnoty, v platném znění, který bude vystaven a zaslán po předání Díla e-mailem na adresu Objednatele: </w:t>
      </w:r>
      <w:r>
        <w:fldChar w:fldCharType="begin"/>
      </w:r>
      <w:r>
        <w:rPr/>
        <w:instrText> HYPERLINK "mailto:faktury-pr@poh.cz"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faktury-pr@poh.cz</w:t>
      </w:r>
      <w:r>
        <w:fldChar w:fldCharType="end"/>
      </w:r>
      <w:r>
        <w:rPr>
          <w:rFonts w:ascii="Times New Roman" w:eastAsia="Times New Roman" w:hAnsi="Times New Roman" w:cs="Times New Roman"/>
          <w:color w:val="0000FF"/>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 03 Chomutov).</w:t>
      </w:r>
    </w:p>
    <w:p>
      <w:pPr>
        <w:pStyle w:val="Style2"/>
        <w:keepNext w:val="0"/>
        <w:keepLines w:val="0"/>
        <w:widowControl w:val="0"/>
        <w:numPr>
          <w:ilvl w:val="0"/>
          <w:numId w:val="7"/>
        </w:numPr>
        <w:shd w:val="clear" w:color="auto" w:fill="auto"/>
        <w:tabs>
          <w:tab w:pos="490" w:val="left"/>
        </w:tabs>
        <w:bidi w:val="0"/>
        <w:spacing w:before="0" w:after="60" w:line="240" w:lineRule="auto"/>
        <w:ind w:left="0" w:right="0" w:firstLine="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Podkladem pro vystavení faktury je protokol o předání a převzetí díla, viz. příloha č. 2.</w:t>
      </w:r>
    </w:p>
    <w:p>
      <w:pPr>
        <w:pStyle w:val="Style2"/>
        <w:keepNext w:val="0"/>
        <w:keepLines w:val="0"/>
        <w:widowControl w:val="0"/>
        <w:numPr>
          <w:ilvl w:val="0"/>
          <w:numId w:val="7"/>
        </w:numPr>
        <w:shd w:val="clear" w:color="auto" w:fill="auto"/>
        <w:tabs>
          <w:tab w:pos="490" w:val="left"/>
        </w:tabs>
        <w:bidi w:val="0"/>
        <w:spacing w:before="0" w:after="60" w:line="240" w:lineRule="auto"/>
        <w:ind w:left="380" w:right="0" w:hanging="380"/>
        <w:jc w:val="both"/>
      </w:pPr>
      <w:bookmarkStart w:id="21" w:name="bookmark21"/>
      <w:bookmarkEnd w:id="21"/>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je povinen zaplatit cenu Díla na účet Dodavatele nejpozději do 14 dnů ode dne přijetí faktury dle odst. 4.3.</w:t>
      </w:r>
    </w:p>
    <w:p>
      <w:pPr>
        <w:pStyle w:val="Style2"/>
        <w:keepNext w:val="0"/>
        <w:keepLines w:val="0"/>
        <w:widowControl w:val="0"/>
        <w:numPr>
          <w:ilvl w:val="0"/>
          <w:numId w:val="7"/>
        </w:numPr>
        <w:shd w:val="clear" w:color="auto" w:fill="auto"/>
        <w:tabs>
          <w:tab w:pos="490" w:val="left"/>
        </w:tabs>
        <w:bidi w:val="0"/>
        <w:spacing w:before="0" w:after="60" w:line="240" w:lineRule="auto"/>
        <w:ind w:left="0" w:right="0" w:firstLine="0"/>
        <w:jc w:val="both"/>
      </w:pPr>
      <w:bookmarkStart w:id="22" w:name="bookmark22"/>
      <w:bookmarkEnd w:id="22"/>
      <w:r>
        <w:rPr>
          <w:rFonts w:ascii="Times New Roman" w:eastAsia="Times New Roman" w:hAnsi="Times New Roman" w:cs="Times New Roman"/>
          <w:color w:val="000000"/>
          <w:spacing w:val="0"/>
          <w:w w:val="100"/>
          <w:position w:val="0"/>
          <w:sz w:val="24"/>
          <w:szCs w:val="24"/>
          <w:shd w:val="clear" w:color="auto" w:fill="auto"/>
          <w:lang w:val="cs-CZ" w:eastAsia="cs-CZ" w:bidi="cs-CZ"/>
        </w:rPr>
        <w:t>Dnem zaplacení se rozumí den připsání zaplacené částky na účet Dodavatele.</w:t>
      </w:r>
    </w:p>
    <w:p>
      <w:pPr>
        <w:pStyle w:val="Style2"/>
        <w:keepNext w:val="0"/>
        <w:keepLines w:val="0"/>
        <w:widowControl w:val="0"/>
        <w:numPr>
          <w:ilvl w:val="0"/>
          <w:numId w:val="7"/>
        </w:numPr>
        <w:shd w:val="clear" w:color="auto" w:fill="auto"/>
        <w:tabs>
          <w:tab w:pos="490" w:val="left"/>
        </w:tabs>
        <w:bidi w:val="0"/>
        <w:spacing w:before="0" w:after="860" w:line="240" w:lineRule="auto"/>
        <w:ind w:left="380" w:right="0" w:hanging="380"/>
        <w:jc w:val="both"/>
      </w:pPr>
      <w:bookmarkStart w:id="23" w:name="bookmark23"/>
      <w:bookmarkEnd w:id="23"/>
      <w:r>
        <w:rPr>
          <w:rFonts w:ascii="Times New Roman" w:eastAsia="Times New Roman" w:hAnsi="Times New Roman" w:cs="Times New Roman"/>
          <w:color w:val="000000"/>
          <w:spacing w:val="0"/>
          <w:w w:val="100"/>
          <w:position w:val="0"/>
          <w:sz w:val="24"/>
          <w:szCs w:val="24"/>
          <w:shd w:val="clear" w:color="auto" w:fill="auto"/>
          <w:lang w:val="cs-CZ" w:eastAsia="cs-CZ" w:bidi="cs-CZ"/>
        </w:rPr>
        <w:t>Pokud Objednatel neuhradí částku uvedenou na faktuře nebo její jakoukoliv část ve lhůtě splatnosti, je Dodavatel oprávněn účtovat mu úrok z prodlení ve výši 0,05 % z dlužné částky za každý i jen započatý den prodlení s placením faktury. Výslovně se sjednává, že ačkoliv je sjednán úrok z prodlení, má vedle toho Dodavatel také právo na náhradu škody vzniklé nesplněním peněžitého dluhu. V případě, že faktura nebude obsahovat výše uvedené náležitosti nebo dojde k chybnému vyúčtování, je Objednatel oprávněn ji vrátit Dodavateli k přepracování. V takovém případě je Dodavatel povinen vystavit novou fakturu se všemi náležitostmi a s novým datem splatnosti.</w:t>
      </w:r>
    </w:p>
    <w:p>
      <w:pPr>
        <w:pStyle w:val="Style2"/>
        <w:keepNext w:val="0"/>
        <w:keepLines w:val="0"/>
        <w:widowControl w:val="0"/>
        <w:shd w:val="clear" w:color="auto" w:fill="auto"/>
        <w:bidi w:val="0"/>
        <w:spacing w:before="0" w:after="0" w:line="240" w:lineRule="auto"/>
        <w:ind w:left="0" w:right="0" w:firstLine="0"/>
        <w:jc w:val="center"/>
      </w:pPr>
      <w:bookmarkStart w:id="24" w:name="bookmark24"/>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w:t>
      </w:r>
      <w:bookmarkEnd w:id="24"/>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22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Způsob provádění díla, předání a převzetí, vady díla</w:t>
      </w:r>
    </w:p>
    <w:p>
      <w:pPr>
        <w:pStyle w:val="Style2"/>
        <w:keepNext w:val="0"/>
        <w:keepLines w:val="0"/>
        <w:widowControl w:val="0"/>
        <w:numPr>
          <w:ilvl w:val="0"/>
          <w:numId w:val="9"/>
        </w:numPr>
        <w:shd w:val="clear" w:color="auto" w:fill="auto"/>
        <w:tabs>
          <w:tab w:pos="490" w:val="left"/>
        </w:tabs>
        <w:bidi w:val="0"/>
        <w:spacing w:before="0" w:line="240" w:lineRule="auto"/>
        <w:ind w:left="0" w:right="0" w:firstLine="0"/>
        <w:jc w:val="both"/>
      </w:pPr>
      <w:bookmarkStart w:id="25" w:name="bookmark25"/>
      <w:bookmarkEnd w:id="25"/>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provést Dílo ve vysoké kvalitě za dohodnutých podmínek.</w:t>
      </w:r>
    </w:p>
    <w:p>
      <w:pPr>
        <w:pStyle w:val="Style2"/>
        <w:keepNext w:val="0"/>
        <w:keepLines w:val="0"/>
        <w:widowControl w:val="0"/>
        <w:numPr>
          <w:ilvl w:val="0"/>
          <w:numId w:val="9"/>
        </w:numPr>
        <w:shd w:val="clear" w:color="auto" w:fill="auto"/>
        <w:tabs>
          <w:tab w:pos="490" w:val="left"/>
        </w:tabs>
        <w:bidi w:val="0"/>
        <w:spacing w:before="0" w:after="60" w:line="240" w:lineRule="auto"/>
        <w:ind w:left="380" w:right="0" w:hanging="380"/>
        <w:jc w:val="both"/>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Při provádění Díla postupuje Dodavatel samostatně, nebo pomocí svého subdodavatele. V případě chybně zhotovené kabelové přípojky pro dobíjecí stanici ze strany Objednatele a následné poškození stanice, Dodavatel prohlašuje, že nenese za tyto prokázané vady a veškeré náklady s tímto spojené, žádnou odpovědnost.</w:t>
      </w:r>
    </w:p>
    <w:p>
      <w:pPr>
        <w:pStyle w:val="Style2"/>
        <w:keepNext w:val="0"/>
        <w:keepLines w:val="0"/>
        <w:widowControl w:val="0"/>
        <w:numPr>
          <w:ilvl w:val="0"/>
          <w:numId w:val="9"/>
        </w:numPr>
        <w:shd w:val="clear" w:color="auto" w:fill="auto"/>
        <w:tabs>
          <w:tab w:pos="463" w:val="left"/>
        </w:tabs>
        <w:bidi w:val="0"/>
        <w:spacing w:before="0" w:line="240" w:lineRule="auto"/>
        <w:ind w:left="440" w:right="0" w:hanging="440"/>
        <w:jc w:val="both"/>
      </w:pPr>
      <w:bookmarkStart w:id="27" w:name="bookmark27"/>
      <w:bookmarkEnd w:id="27"/>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je oprávněn kontrolovat provádění Díla. Pokud toto provádí Dodavatel v rozporu se svými povinnostmi, zavazuje se k odstranění vad vzniklých vadným prováděním Díla.</w:t>
      </w:r>
    </w:p>
    <w:p>
      <w:pPr>
        <w:pStyle w:val="Style2"/>
        <w:keepNext w:val="0"/>
        <w:keepLines w:val="0"/>
        <w:widowControl w:val="0"/>
        <w:numPr>
          <w:ilvl w:val="0"/>
          <w:numId w:val="9"/>
        </w:numPr>
        <w:shd w:val="clear" w:color="auto" w:fill="auto"/>
        <w:tabs>
          <w:tab w:pos="463" w:val="left"/>
        </w:tabs>
        <w:bidi w:val="0"/>
        <w:spacing w:before="0" w:line="240" w:lineRule="auto"/>
        <w:ind w:left="440" w:right="0" w:hanging="440"/>
        <w:jc w:val="both"/>
      </w:pPr>
      <w:bookmarkStart w:id="28" w:name="bookmark28"/>
      <w:bookmarkEnd w:id="28"/>
      <w:r>
        <w:rPr>
          <w:rFonts w:ascii="Times New Roman" w:eastAsia="Times New Roman" w:hAnsi="Times New Roman" w:cs="Times New Roman"/>
          <w:color w:val="000000"/>
          <w:spacing w:val="0"/>
          <w:w w:val="100"/>
          <w:position w:val="0"/>
          <w:sz w:val="24"/>
          <w:szCs w:val="24"/>
          <w:shd w:val="clear" w:color="auto" w:fill="auto"/>
          <w:lang w:val="cs-CZ" w:eastAsia="cs-CZ" w:bidi="cs-CZ"/>
        </w:rPr>
        <w:t>Zjistí-li Dodavatel skryté překážky při provádění Díla, týkající se věci, na níž má být Dílo provedeno a tyto znemožní provedení Díla dohodnutým způsobem, je Dodavatel povinen to oznámit bez zbytečného odkladu Objednateli a navrhnout změnu Díla, popřípadě i upravit cenovou nabídku. Pokud se změnou Díla, popřípadě s upravenou cenovou nabídkou, nebude Objednatel souhlasit a Dílo dle původní nabídky nebude možné realizovat, je Zhotovitel oprávněn od Smlouvy odstoupit.</w:t>
      </w:r>
    </w:p>
    <w:p>
      <w:pPr>
        <w:pStyle w:val="Style2"/>
        <w:keepNext w:val="0"/>
        <w:keepLines w:val="0"/>
        <w:widowControl w:val="0"/>
        <w:numPr>
          <w:ilvl w:val="0"/>
          <w:numId w:val="9"/>
        </w:numPr>
        <w:shd w:val="clear" w:color="auto" w:fill="auto"/>
        <w:tabs>
          <w:tab w:pos="463" w:val="left"/>
        </w:tabs>
        <w:bidi w:val="0"/>
        <w:spacing w:before="0" w:line="240" w:lineRule="auto"/>
        <w:ind w:left="440" w:right="0" w:hanging="440"/>
        <w:jc w:val="both"/>
      </w:pPr>
      <w:bookmarkStart w:id="29" w:name="bookmark29"/>
      <w:bookmarkEnd w:id="29"/>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je povinen zajistit a umožnit pracovníkům Dodavatele nebo jeho smluvního partnera přístup na místo plnění Díla a veškerou potřebnou součinnost k provedení Díla.</w:t>
      </w:r>
    </w:p>
    <w:p>
      <w:pPr>
        <w:pStyle w:val="Style2"/>
        <w:keepNext w:val="0"/>
        <w:keepLines w:val="0"/>
        <w:widowControl w:val="0"/>
        <w:numPr>
          <w:ilvl w:val="0"/>
          <w:numId w:val="9"/>
        </w:numPr>
        <w:shd w:val="clear" w:color="auto" w:fill="auto"/>
        <w:tabs>
          <w:tab w:pos="463" w:val="left"/>
        </w:tabs>
        <w:bidi w:val="0"/>
        <w:spacing w:before="0" w:line="240" w:lineRule="auto"/>
        <w:ind w:left="440" w:right="0" w:hanging="440"/>
        <w:jc w:val="both"/>
      </w:pPr>
      <w:bookmarkStart w:id="30" w:name="bookmark30"/>
      <w:bookmarkEnd w:id="30"/>
      <w:r>
        <w:rPr>
          <w:rFonts w:ascii="Times New Roman" w:eastAsia="Times New Roman" w:hAnsi="Times New Roman" w:cs="Times New Roman"/>
          <w:color w:val="000000"/>
          <w:spacing w:val="0"/>
          <w:w w:val="100"/>
          <w:position w:val="0"/>
          <w:sz w:val="24"/>
          <w:szCs w:val="24"/>
          <w:shd w:val="clear" w:color="auto" w:fill="auto"/>
          <w:lang w:val="cs-CZ" w:eastAsia="cs-CZ" w:bidi="cs-CZ"/>
        </w:rPr>
        <w:t>Dílo je provedeno jeho řádným dokončením a předáním Objednateli. O předání a převzetí sepíší Dodavatel s Objednatelem písemný zápis v podobě Protokolu o předání a převzetí Díla.</w:t>
      </w:r>
    </w:p>
    <w:p>
      <w:pPr>
        <w:pStyle w:val="Style2"/>
        <w:keepNext w:val="0"/>
        <w:keepLines w:val="0"/>
        <w:widowControl w:val="0"/>
        <w:numPr>
          <w:ilvl w:val="0"/>
          <w:numId w:val="9"/>
        </w:numPr>
        <w:shd w:val="clear" w:color="auto" w:fill="auto"/>
        <w:tabs>
          <w:tab w:pos="463" w:val="left"/>
        </w:tabs>
        <w:bidi w:val="0"/>
        <w:spacing w:before="0" w:line="240" w:lineRule="auto"/>
        <w:ind w:left="0" w:right="0" w:firstLine="0"/>
        <w:jc w:val="both"/>
      </w:pPr>
      <w:bookmarkStart w:id="31" w:name="bookmark31"/>
      <w:bookmarkEnd w:id="31"/>
      <w:r>
        <w:rPr>
          <w:rFonts w:ascii="Times New Roman" w:eastAsia="Times New Roman" w:hAnsi="Times New Roman" w:cs="Times New Roman"/>
          <w:color w:val="000000"/>
          <w:spacing w:val="0"/>
          <w:w w:val="100"/>
          <w:position w:val="0"/>
          <w:sz w:val="24"/>
          <w:szCs w:val="24"/>
          <w:shd w:val="clear" w:color="auto" w:fill="auto"/>
          <w:lang w:val="cs-CZ" w:eastAsia="cs-CZ" w:bidi="cs-CZ"/>
        </w:rPr>
        <w:t>Dílo má vady, jestliže provedení Díla neodpovídá výsledku určenému v této Smlouvě.</w:t>
      </w:r>
    </w:p>
    <w:p>
      <w:pPr>
        <w:pStyle w:val="Style2"/>
        <w:keepNext w:val="0"/>
        <w:keepLines w:val="0"/>
        <w:widowControl w:val="0"/>
        <w:numPr>
          <w:ilvl w:val="0"/>
          <w:numId w:val="9"/>
        </w:numPr>
        <w:shd w:val="clear" w:color="auto" w:fill="auto"/>
        <w:tabs>
          <w:tab w:pos="463" w:val="left"/>
        </w:tabs>
        <w:bidi w:val="0"/>
        <w:spacing w:before="0" w:line="240" w:lineRule="auto"/>
        <w:ind w:left="440" w:right="0" w:hanging="440"/>
        <w:jc w:val="both"/>
      </w:pPr>
      <w:bookmarkStart w:id="32" w:name="bookmark32"/>
      <w:bookmarkEnd w:id="32"/>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odpovídá za vadu Díla, kterou má Dílo v době předání. Za vady Díla, na něž se vztahuje záruka, odpovídá Dodavatel v rozsahu této záruky.</w:t>
      </w:r>
    </w:p>
    <w:p>
      <w:pPr>
        <w:pStyle w:val="Style2"/>
        <w:keepNext w:val="0"/>
        <w:keepLines w:val="0"/>
        <w:widowControl w:val="0"/>
        <w:numPr>
          <w:ilvl w:val="0"/>
          <w:numId w:val="9"/>
        </w:numPr>
        <w:shd w:val="clear" w:color="auto" w:fill="auto"/>
        <w:tabs>
          <w:tab w:pos="463" w:val="left"/>
        </w:tabs>
        <w:bidi w:val="0"/>
        <w:spacing w:before="0" w:line="240" w:lineRule="auto"/>
        <w:ind w:left="440" w:right="0" w:hanging="440"/>
        <w:jc w:val="both"/>
      </w:pPr>
      <w:bookmarkStart w:id="33" w:name="bookmark33"/>
      <w:bookmarkEnd w:id="33"/>
      <w:r>
        <w:rPr>
          <w:rFonts w:ascii="Times New Roman" w:eastAsia="Times New Roman" w:hAnsi="Times New Roman" w:cs="Times New Roman"/>
          <w:color w:val="000000"/>
          <w:spacing w:val="0"/>
          <w:w w:val="100"/>
          <w:position w:val="0"/>
          <w:sz w:val="24"/>
          <w:szCs w:val="24"/>
          <w:shd w:val="clear" w:color="auto" w:fill="auto"/>
          <w:lang w:val="cs-CZ" w:eastAsia="cs-CZ" w:bidi="cs-CZ"/>
        </w:rPr>
        <w:t>Záruční lhůta od předání a převzetí Díla činí 24 měsíců, a to na dodanou dobíjecí stanici vč. kabelové přípojky Dodavatelem v objektu Objednatele.</w:t>
      </w:r>
    </w:p>
    <w:p>
      <w:pPr>
        <w:pStyle w:val="Style2"/>
        <w:keepNext w:val="0"/>
        <w:keepLines w:val="0"/>
        <w:widowControl w:val="0"/>
        <w:shd w:val="clear" w:color="auto" w:fill="auto"/>
        <w:bidi w:val="0"/>
        <w:spacing w:before="0" w:line="240" w:lineRule="auto"/>
        <w:ind w:left="440" w:right="0" w:hanging="4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5.10Záruční doba neběží, pokud zhotovené Dílo nebo jeho část není v provozu z důvodu reklamované vady, a to až do doby jejího odstranění. Za začátek reklamační doby se považuje den, kdy byla písemně Objednatelem uplatněna reklamace. Koncem této doby je den sepsání zápisu o odstranění reklamované vady.</w:t>
      </w:r>
    </w:p>
    <w:p>
      <w:pPr>
        <w:pStyle w:val="Style2"/>
        <w:keepNext w:val="0"/>
        <w:keepLines w:val="0"/>
        <w:widowControl w:val="0"/>
        <w:shd w:val="clear" w:color="auto" w:fill="auto"/>
        <w:bidi w:val="0"/>
        <w:spacing w:before="0" w:line="240" w:lineRule="auto"/>
        <w:ind w:left="440" w:right="0" w:hanging="4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5.11Dodavatel neodpovídá za vady vzniklé v důsledku neodborného zásahu či neodborného užívání ze strany Objednatele, či zásahu třetích osob (uživatele). Pokyny pro užívání a udržování Díla budou Objednateli předány spolu s dokončeným Dílem.</w:t>
      </w:r>
    </w:p>
    <w:p>
      <w:pPr>
        <w:pStyle w:val="Style2"/>
        <w:keepNext w:val="0"/>
        <w:keepLines w:val="0"/>
        <w:widowControl w:val="0"/>
        <w:shd w:val="clear" w:color="auto" w:fill="auto"/>
        <w:bidi w:val="0"/>
        <w:spacing w:before="0" w:line="240" w:lineRule="auto"/>
        <w:ind w:left="440" w:right="0" w:hanging="4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5.12Objednatel je oprávněn účtovat Dodavateli smluvní pokutu ve výši 0,05 % z celkové částky za dílo za každý započatý den trvání prodlení s dokončením sjednaného Díla dle této Smlouvy, pokud Dodavatel toto prodlení zavinil.</w:t>
      </w:r>
    </w:p>
    <w:p>
      <w:pPr>
        <w:pStyle w:val="Style2"/>
        <w:keepNext w:val="0"/>
        <w:keepLines w:val="0"/>
        <w:widowControl w:val="0"/>
        <w:shd w:val="clear" w:color="auto" w:fill="auto"/>
        <w:bidi w:val="0"/>
        <w:spacing w:before="0" w:line="240" w:lineRule="auto"/>
        <w:ind w:left="440" w:right="0" w:hanging="4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5.13Veškeré smluvní pokuty uložené dle této Smlouvy jsou splatné do 10 dní od doručení vyúčtování smluvní pokuty Smluvní straně, která porušila svoji povinnost dle této Smlouvy. Smluvní pokuty budou uhrazeny po vystavení faktury jednou ze Smluvních stran. Zaplacením smluvních pokut dle této Smlouvy není dotčen nárok Smluvních stran domáhat se újmy vzniklé jedné Smluvní straně v důsledku porušení povinností druhé Smluvní strany, které převzala touto Smlouvou.</w:t>
      </w:r>
    </w:p>
    <w:p>
      <w:pPr>
        <w:pStyle w:val="Style2"/>
        <w:keepNext w:val="0"/>
        <w:keepLines w:val="0"/>
        <w:widowControl w:val="0"/>
        <w:shd w:val="clear" w:color="auto" w:fill="auto"/>
        <w:bidi w:val="0"/>
        <w:spacing w:before="0" w:line="240" w:lineRule="auto"/>
        <w:ind w:left="440" w:right="0" w:hanging="4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5.14Smluvní strany si vzájemně odpovídají za škody vzniklé porušením povinností ze závazkového vztahu.</w:t>
      </w:r>
    </w:p>
    <w:p>
      <w:pPr>
        <w:pStyle w:val="Style2"/>
        <w:keepNext w:val="0"/>
        <w:keepLines w:val="0"/>
        <w:widowControl w:val="0"/>
        <w:numPr>
          <w:ilvl w:val="0"/>
          <w:numId w:val="11"/>
        </w:numPr>
        <w:shd w:val="clear" w:color="auto" w:fill="auto"/>
        <w:bidi w:val="0"/>
        <w:spacing w:before="0" w:line="240" w:lineRule="auto"/>
        <w:ind w:left="0" w:right="0" w:firstLine="0"/>
        <w:jc w:val="center"/>
        <w:rPr>
          <w:sz w:val="22"/>
          <w:szCs w:val="22"/>
        </w:rPr>
      </w:pPr>
      <w:bookmarkStart w:id="34" w:name="bookmark34"/>
      <w:bookmarkEnd w:id="34"/>
      <w:r>
        <w:rPr>
          <w:rFonts w:ascii="Times New Roman" w:eastAsia="Times New Roman" w:hAnsi="Times New Roman" w:cs="Times New Roman"/>
          <w:b/>
          <w:bCs/>
          <w:color w:val="000000"/>
          <w:spacing w:val="0"/>
          <w:w w:val="100"/>
          <w:position w:val="0"/>
          <w:sz w:val="22"/>
          <w:szCs w:val="22"/>
          <w:shd w:val="clear" w:color="auto" w:fill="auto"/>
          <w:lang w:val="cs-CZ" w:eastAsia="cs-CZ" w:bidi="cs-CZ"/>
        </w:rPr>
        <w:br/>
        <w:t>COMPLIANCE DOLOŽKA</w:t>
      </w:r>
    </w:p>
    <w:p>
      <w:pPr>
        <w:pStyle w:val="Style2"/>
        <w:keepNext w:val="0"/>
        <w:keepLines w:val="0"/>
        <w:widowControl w:val="0"/>
        <w:numPr>
          <w:ilvl w:val="0"/>
          <w:numId w:val="13"/>
        </w:numPr>
        <w:shd w:val="clear" w:color="auto" w:fill="auto"/>
        <w:tabs>
          <w:tab w:pos="706" w:val="left"/>
        </w:tabs>
        <w:bidi w:val="0"/>
        <w:spacing w:before="0" w:after="160" w:line="276" w:lineRule="auto"/>
        <w:ind w:left="380" w:right="0" w:hanging="380"/>
        <w:jc w:val="both"/>
      </w:pPr>
      <w:bookmarkStart w:id="35" w:name="bookmark35"/>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3"/>
        </w:numPr>
        <w:shd w:val="clear" w:color="auto" w:fill="auto"/>
        <w:tabs>
          <w:tab w:pos="706" w:val="left"/>
        </w:tabs>
        <w:bidi w:val="0"/>
        <w:spacing w:before="0" w:after="160" w:line="276" w:lineRule="auto"/>
        <w:ind w:left="380" w:right="0" w:hanging="380"/>
        <w:jc w:val="both"/>
      </w:pPr>
      <w:bookmarkStart w:id="36" w:name="bookmark36"/>
      <w:bookmarkEnd w:id="36"/>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3"/>
        </w:numPr>
        <w:shd w:val="clear" w:color="auto" w:fill="auto"/>
        <w:tabs>
          <w:tab w:pos="706" w:val="left"/>
        </w:tabs>
        <w:bidi w:val="0"/>
        <w:spacing w:before="0" w:after="0" w:line="276" w:lineRule="auto"/>
        <w:ind w:left="0" w:right="0" w:firstLine="0"/>
        <w:jc w:val="both"/>
      </w:pPr>
      <w:bookmarkStart w:id="37" w:name="bookmark37"/>
      <w:bookmarkEnd w:id="37"/>
      <w:r>
        <w:rPr>
          <w:rFonts w:ascii="Times New Roman" w:eastAsia="Times New Roman" w:hAnsi="Times New Roman" w:cs="Times New Roman"/>
          <w:color w:val="000000"/>
          <w:spacing w:val="0"/>
          <w:w w:val="100"/>
          <w:position w:val="0"/>
          <w:sz w:val="24"/>
          <w:szCs w:val="24"/>
          <w:shd w:val="clear" w:color="auto" w:fill="auto"/>
          <w:lang w:val="cs-CZ" w:eastAsia="cs-CZ" w:bidi="cs-CZ"/>
        </w:rPr>
        <w:t>Druhá smluvní strana (zhotovitel, kupující, prodávající, pronajímatel, nájemce, atd.)</w:t>
      </w:r>
    </w:p>
    <w:p>
      <w:pPr>
        <w:pStyle w:val="Style2"/>
        <w:keepNext w:val="0"/>
        <w:keepLines w:val="0"/>
        <w:widowControl w:val="0"/>
        <w:shd w:val="clear" w:color="auto" w:fill="auto"/>
        <w:tabs>
          <w:tab w:pos="3404" w:val="left"/>
          <w:tab w:pos="6044" w:val="left"/>
          <w:tab w:pos="8713" w:val="left"/>
        </w:tabs>
        <w:bidi w:val="0"/>
        <w:spacing w:before="0" w:after="0" w:line="276" w:lineRule="auto"/>
        <w:ind w:left="38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prohlašuje, že se seznámila se zásadami, hodnotami a cíli Compliance programu Povodí Ohře,</w:t>
        <w:tab/>
        <w:t>s.</w:t>
        <w:tab/>
        <w:t>p.</w:t>
        <w:tab/>
        <w:t>(viz</w:t>
      </w:r>
    </w:p>
    <w:p>
      <w:pPr>
        <w:pStyle w:val="Style2"/>
        <w:keepNext w:val="0"/>
        <w:keepLines w:val="0"/>
        <w:widowControl w:val="0"/>
        <w:shd w:val="clear" w:color="auto" w:fill="auto"/>
        <w:tabs>
          <w:tab w:pos="8031" w:val="left"/>
        </w:tabs>
        <w:bidi w:val="0"/>
        <w:spacing w:before="0" w:after="0" w:line="276" w:lineRule="auto"/>
        <w:ind w:left="380" w:right="0" w:firstLine="0"/>
        <w:jc w:val="both"/>
      </w:pP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http://www.poh.cz/protikorupcni-a-compliance-program/d-1346/p1=1458</w:t>
      </w:r>
      <w:r>
        <w:fldChar w:fldCharType="end"/>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dále s</w:t>
      </w:r>
    </w:p>
    <w:p>
      <w:pPr>
        <w:pStyle w:val="Style2"/>
        <w:keepNext w:val="0"/>
        <w:keepLines w:val="0"/>
        <w:widowControl w:val="0"/>
        <w:shd w:val="clear" w:color="auto" w:fill="auto"/>
        <w:bidi w:val="0"/>
        <w:spacing w:before="0" w:after="160" w:line="276" w:lineRule="auto"/>
        <w:ind w:left="38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3"/>
        </w:numPr>
        <w:shd w:val="clear" w:color="auto" w:fill="auto"/>
        <w:tabs>
          <w:tab w:pos="706" w:val="left"/>
        </w:tabs>
        <w:bidi w:val="0"/>
        <w:spacing w:before="0" w:after="160" w:line="276" w:lineRule="auto"/>
        <w:ind w:left="380" w:right="0" w:hanging="380"/>
        <w:jc w:val="both"/>
      </w:pPr>
      <w:bookmarkStart w:id="38" w:name="bookmark38"/>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line="276" w:lineRule="auto"/>
        <w:ind w:left="0" w:right="0" w:firstLine="0"/>
        <w:jc w:val="center"/>
      </w:pPr>
      <w:bookmarkStart w:id="39" w:name="bookmark39"/>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w:t>
      </w:r>
      <w:bookmarkEnd w:id="39"/>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II.</w:t>
      </w:r>
    </w:p>
    <w:p>
      <w:pPr>
        <w:pStyle w:val="Style2"/>
        <w:keepNext w:val="0"/>
        <w:keepLines w:val="0"/>
        <w:widowControl w:val="0"/>
        <w:shd w:val="clear" w:color="auto" w:fill="auto"/>
        <w:bidi w:val="0"/>
        <w:spacing w:before="0" w:after="160" w:line="276"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Ochrana a zpracování osobních údajů</w:t>
      </w:r>
    </w:p>
    <w:p>
      <w:pPr>
        <w:pStyle w:val="Style2"/>
        <w:keepNext w:val="0"/>
        <w:keepLines w:val="0"/>
        <w:widowControl w:val="0"/>
        <w:shd w:val="clear" w:color="auto" w:fill="auto"/>
        <w:bidi w:val="0"/>
        <w:spacing w:before="0" w:after="720" w:line="276"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http://www.poh.cz/informace-o-zpracovani-osobnich-udaju/d-</w:t>
      </w:r>
      <w:r>
        <w:fldChar w:fldCharType="end"/>
      </w:r>
      <w:r>
        <w:rPr>
          <w:rFonts w:ascii="Times New Roman" w:eastAsia="Times New Roman" w:hAnsi="Times New Roman" w:cs="Times New Roman"/>
          <w:color w:val="0000FF"/>
          <w:spacing w:val="0"/>
          <w:w w:val="100"/>
          <w:position w:val="0"/>
          <w:sz w:val="24"/>
          <w:szCs w:val="24"/>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1369/p1=1459</w:t>
      </w:r>
      <w:r>
        <w:fldChar w:fldCharType="end"/>
      </w:r>
    </w:p>
    <w:p>
      <w:pPr>
        <w:pStyle w:val="Style2"/>
        <w:keepNext w:val="0"/>
        <w:keepLines w:val="0"/>
        <w:widowControl w:val="0"/>
        <w:shd w:val="clear" w:color="auto" w:fill="auto"/>
        <w:bidi w:val="0"/>
        <w:spacing w:before="0" w:after="0" w:line="240" w:lineRule="auto"/>
        <w:ind w:left="0" w:right="0" w:firstLine="0"/>
        <w:jc w:val="center"/>
      </w:pPr>
      <w:bookmarkStart w:id="40" w:name="bookmark40"/>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w:t>
      </w:r>
      <w:bookmarkEnd w:id="40"/>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III.</w:t>
      </w:r>
    </w:p>
    <w:p>
      <w:pPr>
        <w:pStyle w:val="Style2"/>
        <w:keepNext w:val="0"/>
        <w:keepLines w:val="0"/>
        <w:widowControl w:val="0"/>
        <w:shd w:val="clear" w:color="auto" w:fill="auto"/>
        <w:bidi w:val="0"/>
        <w:spacing w:before="0" w:after="22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Společná závěrečná ustanovení</w:t>
      </w:r>
    </w:p>
    <w:p>
      <w:pPr>
        <w:pStyle w:val="Style2"/>
        <w:keepNext w:val="0"/>
        <w:keepLines w:val="0"/>
        <w:widowControl w:val="0"/>
        <w:numPr>
          <w:ilvl w:val="0"/>
          <w:numId w:val="15"/>
        </w:numPr>
        <w:shd w:val="clear" w:color="auto" w:fill="auto"/>
        <w:bidi w:val="0"/>
        <w:spacing w:before="0" w:after="160" w:line="240" w:lineRule="auto"/>
        <w:ind w:left="0" w:right="0" w:firstLine="0"/>
        <w:jc w:val="both"/>
      </w:pPr>
      <w:bookmarkStart w:id="41" w:name="bookmark41"/>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Veškeré změny a doplňky této Smlouvy musí být učiněny písemně, formou postupně číslovaných dodatků podepsaných všemi Smluvními stranami.</w:t>
      </w:r>
    </w:p>
    <w:p>
      <w:pPr>
        <w:pStyle w:val="Style2"/>
        <w:keepNext w:val="0"/>
        <w:keepLines w:val="0"/>
        <w:widowControl w:val="0"/>
        <w:numPr>
          <w:ilvl w:val="0"/>
          <w:numId w:val="15"/>
        </w:numPr>
        <w:shd w:val="clear" w:color="auto" w:fill="auto"/>
        <w:bidi w:val="0"/>
        <w:spacing w:before="0" w:after="160" w:line="271" w:lineRule="auto"/>
        <w:ind w:left="0" w:right="0" w:firstLine="0"/>
        <w:jc w:val="both"/>
      </w:pPr>
      <w:bookmarkStart w:id="42" w:name="bookmark42"/>
      <w:bookmarkEnd w:id="42"/>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je vyhotovena ve dvou vyhotoveních, přičemž každá Smluvní strana obdrží po jednom znění</w:t>
      </w:r>
    </w:p>
    <w:p>
      <w:pPr>
        <w:pStyle w:val="Style2"/>
        <w:keepNext w:val="0"/>
        <w:keepLines w:val="0"/>
        <w:widowControl w:val="0"/>
        <w:shd w:val="clear" w:color="auto" w:fill="auto"/>
        <w:bidi w:val="0"/>
        <w:spacing w:before="0" w:after="160" w:line="276" w:lineRule="auto"/>
        <w:ind w:left="0" w:right="0" w:firstLine="0"/>
        <w:jc w:val="both"/>
      </w:pPr>
      <w:bookmarkStart w:id="43" w:name="bookmark43"/>
      <w:r>
        <w:rPr>
          <w:rFonts w:ascii="Times New Roman" w:eastAsia="Times New Roman" w:hAnsi="Times New Roman" w:cs="Times New Roman"/>
          <w:color w:val="000000"/>
          <w:spacing w:val="0"/>
          <w:w w:val="100"/>
          <w:position w:val="0"/>
          <w:sz w:val="24"/>
          <w:szCs w:val="24"/>
          <w:shd w:val="clear" w:color="auto" w:fill="auto"/>
          <w:lang w:val="cs-CZ" w:eastAsia="cs-CZ" w:bidi="cs-CZ"/>
        </w:rPr>
        <w:t>8</w:t>
      </w:r>
      <w:bookmarkEnd w:id="43"/>
      <w:r>
        <w:rPr>
          <w:rFonts w:ascii="Times New Roman" w:eastAsia="Times New Roman" w:hAnsi="Times New Roman" w:cs="Times New Roman"/>
          <w:color w:val="000000"/>
          <w:spacing w:val="0"/>
          <w:w w:val="100"/>
          <w:position w:val="0"/>
          <w:sz w:val="24"/>
          <w:szCs w:val="24"/>
          <w:shd w:val="clear" w:color="auto" w:fill="auto"/>
          <w:lang w:val="cs-CZ" w:eastAsia="cs-CZ" w:bidi="cs-CZ"/>
        </w:rPr>
        <w:t>.3.Smluvní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17"/>
        </w:numPr>
        <w:shd w:val="clear" w:color="auto" w:fill="auto"/>
        <w:tabs>
          <w:tab w:pos="706" w:val="left"/>
        </w:tabs>
        <w:bidi w:val="0"/>
        <w:spacing w:before="0" w:after="0" w:line="240" w:lineRule="auto"/>
        <w:ind w:left="380" w:right="0" w:hanging="380"/>
        <w:jc w:val="both"/>
      </w:pPr>
      <w:bookmarkStart w:id="44" w:name="bookmark44"/>
      <w:bookmarkEnd w:id="44"/>
      <w:r>
        <w:rPr>
          <w:rFonts w:ascii="Times New Roman" w:eastAsia="Times New Roman" w:hAnsi="Times New Roman" w:cs="Times New Roman"/>
          <w:color w:val="000000"/>
          <w:spacing w:val="0"/>
          <w:w w:val="100"/>
          <w:position w:val="0"/>
          <w:sz w:val="24"/>
          <w:szCs w:val="24"/>
          <w:shd w:val="clear" w:color="auto" w:fill="auto"/>
          <w:lang w:val="cs-CZ" w:eastAsia="cs-CZ" w:bidi="cs-CZ"/>
        </w:rPr>
        <w:t>Účastníci této Smlouvy po jejím přečtení prohlašují, že souhlasí s jejím obsahem, že tato</w:t>
      </w:r>
    </w:p>
    <w:p>
      <w:pPr>
        <w:pStyle w:val="Style2"/>
        <w:keepNext w:val="0"/>
        <w:keepLines w:val="0"/>
        <w:widowControl w:val="0"/>
        <w:shd w:val="clear" w:color="auto" w:fill="auto"/>
        <w:bidi w:val="0"/>
        <w:spacing w:before="0" w:after="22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Smlouva byla sepsána na základě pravdivých údajů, jejich pravé a svobodné vůle a nebyla ujednána v tísni ani za jinak jednostranně nevýhodných podmínek. Na důkaz toho připojují své podpisy.</w:t>
      </w:r>
    </w:p>
    <w:p>
      <w:pPr>
        <w:pStyle w:val="Style2"/>
        <w:keepNext w:val="0"/>
        <w:keepLines w:val="0"/>
        <w:widowControl w:val="0"/>
        <w:numPr>
          <w:ilvl w:val="0"/>
          <w:numId w:val="17"/>
        </w:numPr>
        <w:shd w:val="clear" w:color="auto" w:fill="auto"/>
        <w:tabs>
          <w:tab w:pos="706" w:val="left"/>
        </w:tabs>
        <w:bidi w:val="0"/>
        <w:spacing w:before="0" w:after="220" w:line="240" w:lineRule="auto"/>
        <w:ind w:left="0" w:right="0" w:firstLine="0"/>
        <w:jc w:val="left"/>
      </w:pPr>
      <w:bookmarkStart w:id="45" w:name="bookmark45"/>
      <w:bookmarkEnd w:id="45"/>
      <w:r>
        <w:rPr>
          <w:rFonts w:ascii="Times New Roman" w:eastAsia="Times New Roman" w:hAnsi="Times New Roman" w:cs="Times New Roman"/>
          <w:color w:val="000000"/>
          <w:spacing w:val="0"/>
          <w:w w:val="100"/>
          <w:position w:val="0"/>
          <w:sz w:val="24"/>
          <w:szCs w:val="24"/>
          <w:shd w:val="clear" w:color="auto" w:fill="auto"/>
          <w:lang w:val="cs-CZ" w:eastAsia="cs-CZ" w:bidi="cs-CZ"/>
        </w:rPr>
        <w:t>Právní vztahy neupravené touto Smlouvou se řídí platnými právními předpisy České republiky, zejména zákonem č. 89/2012 Sb., občanský zákoník, ve znění pozdějších předpisů.</w:t>
      </w:r>
    </w:p>
    <w:p>
      <w:pPr>
        <w:pStyle w:val="Style2"/>
        <w:keepNext w:val="0"/>
        <w:keepLines w:val="0"/>
        <w:widowControl w:val="0"/>
        <w:numPr>
          <w:ilvl w:val="0"/>
          <w:numId w:val="17"/>
        </w:numPr>
        <w:shd w:val="clear" w:color="auto" w:fill="auto"/>
        <w:tabs>
          <w:tab w:pos="706" w:val="left"/>
        </w:tabs>
        <w:bidi w:val="0"/>
        <w:spacing w:before="0" w:after="0" w:line="240" w:lineRule="auto"/>
        <w:ind w:left="0" w:right="0" w:firstLine="0"/>
        <w:jc w:val="left"/>
      </w:pPr>
      <w:bookmarkStart w:id="46" w:name="bookmark46"/>
      <w:bookmarkEnd w:id="46"/>
      <w:r>
        <w:rPr>
          <w:rFonts w:ascii="Times New Roman" w:eastAsia="Times New Roman" w:hAnsi="Times New Roman" w:cs="Times New Roman"/>
          <w:color w:val="000000"/>
          <w:spacing w:val="0"/>
          <w:w w:val="100"/>
          <w:position w:val="0"/>
          <w:sz w:val="24"/>
          <w:szCs w:val="24"/>
          <w:shd w:val="clear" w:color="auto" w:fill="auto"/>
          <w:lang w:val="cs-CZ" w:eastAsia="cs-CZ" w:bidi="cs-CZ"/>
        </w:rPr>
        <w:t>Nedílnou součástí této Smlouvy jsou:</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 č. 1 – Cenová kalkulace instalace nabíjecí stanice a Technická specifikace</w:t>
      </w:r>
    </w:p>
    <w:p>
      <w:pPr>
        <w:pStyle w:val="Style2"/>
        <w:keepNext w:val="0"/>
        <w:keepLines w:val="0"/>
        <w:widowControl w:val="0"/>
        <w:shd w:val="clear" w:color="auto" w:fill="auto"/>
        <w:bidi w:val="0"/>
        <w:spacing w:before="0" w:after="62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 č. 2 – Protokol o předání a převzetí díla</w:t>
      </w:r>
    </w:p>
    <w:p>
      <w:pPr>
        <w:pStyle w:val="Style2"/>
        <w:keepNext w:val="0"/>
        <w:keepLines w:val="0"/>
        <w:widowControl w:val="0"/>
        <w:numPr>
          <w:ilvl w:val="0"/>
          <w:numId w:val="11"/>
        </w:numPr>
        <w:shd w:val="clear" w:color="auto" w:fill="auto"/>
        <w:bidi w:val="0"/>
        <w:spacing w:before="0" w:after="220" w:line="240" w:lineRule="auto"/>
        <w:ind w:left="0" w:right="0" w:firstLine="0"/>
        <w:jc w:val="center"/>
      </w:pPr>
      <w:bookmarkStart w:id="47" w:name="bookmark47"/>
      <w:bookmarkEnd w:id="47"/>
      <w:r>
        <w:rPr>
          <w:rFonts w:ascii="Times New Roman" w:eastAsia="Times New Roman" w:hAnsi="Times New Roman" w:cs="Times New Roman"/>
          <w:b/>
          <w:bCs/>
          <w:color w:val="000000"/>
          <w:spacing w:val="0"/>
          <w:w w:val="100"/>
          <w:position w:val="0"/>
          <w:sz w:val="24"/>
          <w:szCs w:val="24"/>
          <w:shd w:val="clear" w:color="auto" w:fill="auto"/>
          <w:lang w:val="cs-CZ" w:eastAsia="cs-CZ" w:bidi="cs-CZ"/>
        </w:rPr>
        <w:br/>
        <w:t>Kontaktní osoby</w:t>
      </w:r>
      <w:r>
        <w:br w:type="page"/>
      </w:r>
    </w:p>
    <w:p>
      <w:pPr>
        <w:pStyle w:val="Style2"/>
        <w:keepNext w:val="0"/>
        <w:keepLines w:val="0"/>
        <w:widowControl w:val="0"/>
        <w:shd w:val="clear" w:color="auto" w:fill="auto"/>
        <w:bidi w:val="0"/>
        <w:spacing w:before="0" w:after="82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Jakákoli komunikace dle této Smlouvy bude uskutečňována elektronickou poštou nebo písemně následujícím osobám, oprávněným jednat za smluvní strany, vyjma kontaktní adresy pro vystavení daňového dokladu:</w:t>
      </w:r>
    </w:p>
    <w:p>
      <w:pPr>
        <w:pStyle w:val="Style2"/>
        <w:keepNext w:val="0"/>
        <w:keepLines w:val="0"/>
        <w:widowControl w:val="0"/>
        <w:shd w:val="clear" w:color="auto" w:fill="auto"/>
        <w:bidi w:val="0"/>
        <w:spacing w:before="0" w:after="220" w:line="240" w:lineRule="auto"/>
        <w:ind w:left="3040" w:right="0" w:firstLine="0"/>
        <w:jc w:val="left"/>
      </w:pPr>
      <w:r>
        <mc:AlternateContent>
          <mc:Choice Requires="wps">
            <w:drawing>
              <wp:anchor distT="0" distB="0" distL="114300" distR="114300" simplePos="0" relativeHeight="125829378" behindDoc="0" locked="0" layoutInCell="1" allowOverlap="1">
                <wp:simplePos x="0" y="0"/>
                <wp:positionH relativeFrom="page">
                  <wp:posOffset>953135</wp:posOffset>
                </wp:positionH>
                <wp:positionV relativeFrom="margin">
                  <wp:posOffset>1252855</wp:posOffset>
                </wp:positionV>
                <wp:extent cx="1012190" cy="591185"/>
                <wp:wrapSquare wrapText="right"/>
                <wp:docPr id="1" name="Shape 1"/>
                <a:graphic xmlns:a="http://schemas.openxmlformats.org/drawingml/2006/main">
                  <a:graphicData uri="http://schemas.microsoft.com/office/word/2010/wordprocessingShape">
                    <wps:wsp>
                      <wps:cNvSpPr txBox="1"/>
                      <wps:spPr>
                        <a:xfrm>
                          <a:ext cx="1012190" cy="591185"/>
                        </a:xfrm>
                        <a:prstGeom prst="rect"/>
                        <a:noFill/>
                      </wps:spPr>
                      <wps:txbx>
                        <w:txbxContent>
                          <w:p>
                            <w:pPr>
                              <w:pStyle w:val="Style2"/>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 Objednatele:</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Chomutov, dne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5.049999999999997pt;margin-top:98.650000000000006pt;width:79.700000000000003pt;height:46.550000000000004pt;z-index:-125829375;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 Objednatele:</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Chomutov, dne</w:t>
                      </w:r>
                    </w:p>
                  </w:txbxContent>
                </v:textbox>
                <w10:wrap type="square" side="right" anchorx="page" anchory="margin"/>
              </v:shape>
            </w:pict>
          </mc:Fallback>
        </mc:AlternateContent>
      </w:r>
      <w:r>
        <w:rPr>
          <w:rFonts w:ascii="Times New Roman" w:eastAsia="Times New Roman" w:hAnsi="Times New Roman" w:cs="Times New Roman"/>
          <w:color w:val="000000"/>
          <w:spacing w:val="0"/>
          <w:w w:val="100"/>
          <w:position w:val="0"/>
          <w:sz w:val="24"/>
          <w:szCs w:val="24"/>
          <w:shd w:val="clear" w:color="auto" w:fill="auto"/>
          <w:lang w:val="cs-CZ" w:eastAsia="cs-CZ" w:bidi="cs-CZ"/>
        </w:rPr>
        <w:t>Za Dodavatele:</w:t>
      </w:r>
    </w:p>
    <w:p>
      <w:pPr>
        <w:pStyle w:val="Style2"/>
        <w:keepNext w:val="0"/>
        <w:keepLines w:val="0"/>
        <w:widowControl w:val="0"/>
        <w:shd w:val="clear" w:color="auto" w:fill="auto"/>
        <w:bidi w:val="0"/>
        <w:spacing w:before="0" w:after="520" w:line="240" w:lineRule="auto"/>
        <w:ind w:left="30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České Budějovice, dne</w:t>
      </w:r>
    </w:p>
    <w:sectPr>
      <w:footnotePr>
        <w:pos w:val="pageBottom"/>
        <w:numFmt w:val="decimal"/>
        <w:numRestart w:val="continuous"/>
      </w:footnotePr>
      <w:pgSz w:w="11909" w:h="16838"/>
      <w:pgMar w:top="1357" w:left="1393" w:right="1385" w:bottom="1266" w:header="929" w:footer="838"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6"/>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4"/>
      <w:numFmt w:val="decimal"/>
      <w:lvlText w:val="8.%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5">
    <w:name w:val="Char Style 5"/>
    <w:basedOn w:val="DefaultParagraphFont"/>
    <w:link w:val="Style4"/>
    <w:rPr>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36"/>
      <w:szCs w:val="36"/>
      <w:u w:val="none"/>
    </w:rPr>
  </w:style>
  <w:style w:type="paragraph" w:customStyle="1" w:styleId="Style2">
    <w:name w:val="Style 2"/>
    <w:basedOn w:val="Normal"/>
    <w:link w:val="CharStyle3"/>
    <w:pPr>
      <w:widowControl w:val="0"/>
      <w:shd w:val="clear" w:color="auto" w:fill="FFFFFF"/>
      <w:spacing w:after="140"/>
    </w:pPr>
    <w:rPr>
      <w:b w:val="0"/>
      <w:bCs w:val="0"/>
      <w:i w:val="0"/>
      <w:iCs w:val="0"/>
      <w:smallCaps w:val="0"/>
      <w:strike w:val="0"/>
      <w:u w:val="none"/>
    </w:rPr>
  </w:style>
  <w:style w:type="paragraph" w:customStyle="1" w:styleId="Style4">
    <w:name w:val="Style 4"/>
    <w:basedOn w:val="Normal"/>
    <w:link w:val="CharStyle5"/>
    <w:pPr>
      <w:widowControl w:val="0"/>
      <w:shd w:val="clear" w:color="auto" w:fill="FFFFFF"/>
      <w:jc w:val="center"/>
      <w:outlineLvl w:val="0"/>
    </w:pPr>
    <w:rPr>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spacing w:after="220"/>
      <w:jc w:val="center"/>
      <w:outlineLvl w:val="1"/>
    </w:pPr>
    <w:rPr>
      <w:b w:val="0"/>
      <w:bCs w:val="0"/>
      <w:i w:val="0"/>
      <w:iCs w:val="0"/>
      <w:smallCaps w:val="0"/>
      <w:strike w:val="0"/>
      <w:sz w:val="36"/>
      <w:szCs w:val="3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Martin Pečman</dc:creator>
  <cp:keywords/>
</cp:coreProperties>
</file>