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425/2024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8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zhotovitele: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06-O-2032-15070/24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„Optimalizace vodních poměrů Svitávky v katastrálním území Velenice“- studie</w:t>
        <w:br/>
        <w:t>odtokových poměrů“</w:t>
      </w:r>
    </w:p>
    <w:tbl>
      <w:tblPr>
        <w:tblOverlap w:val="never"/>
        <w:jc w:val="center"/>
        <w:tblLayout w:type="fixed"/>
      </w:tblPr>
      <w:tblGrid>
        <w:gridCol w:w="3725"/>
        <w:gridCol w:w="5400"/>
      </w:tblGrid>
      <w:tr>
        <w:trPr>
          <w:trHeight w:val="19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orgán: zástupce ve věcech smluvních: zástupce ve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 70889988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widowControl w:val="0"/>
        <w:spacing w:after="12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tbl>
      <w:tblPr>
        <w:tblOverlap w:val="never"/>
        <w:jc w:val="center"/>
        <w:tblLayout w:type="fixed"/>
      </w:tblPr>
      <w:tblGrid>
        <w:gridCol w:w="3725"/>
        <w:gridCol w:w="5400"/>
      </w:tblGrid>
      <w:tr>
        <w:trPr>
          <w:trHeight w:val="107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2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Vodohospodářský rozvoj a výstavba a.s.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Nábřežní 90/4, 150 00 Praha 5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tbl>
      <w:tblPr>
        <w:tblOverlap w:val="never"/>
        <w:jc w:val="center"/>
        <w:tblLayout w:type="fixed"/>
      </w:tblPr>
      <w:tblGrid>
        <w:gridCol w:w="3725"/>
        <w:gridCol w:w="5400"/>
      </w:tblGrid>
      <w:tr>
        <w:trPr>
          <w:trHeight w:val="14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47116901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CZ47116901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Městského soud v Praze, v oddílu B, vložce č. 1930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315" w:left="1394" w:right="1389" w:bottom="142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(společně dále jen „smluvní strany“)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120" w:after="760" w:line="336" w:lineRule="auto"/>
        <w:ind w:left="0" w:right="0" w:firstLine="644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Dodatek č. 2 k SOD 425/2024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PŘEDMĚTU SMLOUVY A PŘEDMĚTU DÍLA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výsledku hodnocení ekonomické efektivity, kdy bylo vyhodnoceno investiční komisí 18.02.2025 navrženou variantu PPO (Meandr na Q100) nerealizovat. Z tohoto důvodu není nutné projednávat studii s vlastníky dotčených pozemků, což vede ke snížení objemu prací a zároveň ke snížení ceny díla. Tato skutečnost se promítla jako změna přílohy č.4 – podrobná specifikace díla, která je přílohou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3500" w:right="0" w:hanging="3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Tímto dodatkem se mění Čl. IV. CENA, V. PLATEBNÍ PODMÍNKY, PŘÍLOHA Č. 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DODATKU Č.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Jednotlivá uvedená ustanovení smlouvy se mění takto: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CENA</w:t>
      </w:r>
      <w:bookmarkEnd w:id="3"/>
      <w:bookmarkEnd w:id="4"/>
      <w:bookmarkEnd w:id="5"/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zahrnuje veškeré náklady zhotovitele související s realizací díla a činí celkem: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498 000,-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zákona č. 89/2012 Sb., občanského zákoníku.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zahrnuje veškeré náklady zhotovitele související s realizací díla a činí celkem: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494 000,-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88" w:lineRule="auto"/>
        <w:ind w:left="0" w:right="0" w:firstLine="644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Dodatek č. 2 k SOD 425/2024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zákona č. 89/2012 Sb., občanského zákoníku.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356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PLATEBNÍ PODMÍNKY</w:t>
      </w:r>
      <w:bookmarkEnd w:id="10"/>
      <w:bookmarkEnd w:id="11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prvního dílčího plnění dnem protokolárního předání a převzetí kompletního díla ve výši 80 % z částky 498 000,-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398 400,-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V případě celkového plnění dnem podpisu „Rozhodnutí“ o schválení díla generálním ředitelem Povodí Ohře, s. p., po předchozím projednání v investiční komisi ve výši zbývajících 20 % z částky 498 000,-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99 600,-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prvního dílčího plnění dnem protokolárního předání a převzetí kompletního díla ve výši 80 % z částky 494 000,-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395 200,-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V případě celkového plnění dnem podpisu „Rozhodnutí“ o schválení díla generálním ředitelem Povodí Ohře, s. p., po předchozím projednání v investiční komisi ve výši zbývajících 20 % z částky 494 000,-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98 800,-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DODATKU Č.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příloha č. 4 smlouvy, a to tak, že se původní znění přílohy č. 4 smlouvy nahrazuje novým zněním, které je uvedeno v příloze č. 1 tohoto dodatku. Nové znění přílohy č. 4 smlouvy je nedílnou součástí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2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44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440" w:right="0" w:hanging="4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440" w:right="0" w:hanging="440"/>
        <w:jc w:val="both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8"/>
          <w:pgMar w:top="608" w:left="1394" w:right="1389" w:bottom="1471" w:header="180" w:footer="3" w:gutter="0"/>
          <w:cols w:space="720"/>
          <w:noEndnote/>
          <w:rtlGutter w:val="0"/>
          <w:docGrid w:linePitch="360"/>
        </w:sectPr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 dodatku č. 2: Příloha č. 1 - Podrobná specifikace díla</w:t>
      </w:r>
    </w:p>
    <w:tbl>
      <w:tblPr>
        <w:tblOverlap w:val="never"/>
        <w:jc w:val="center"/>
        <w:tblLayout w:type="fixed"/>
      </w:tblPr>
      <w:tblGrid>
        <w:gridCol w:w="4042"/>
        <w:gridCol w:w="4910"/>
      </w:tblGrid>
      <w:tr>
        <w:trPr>
          <w:trHeight w:val="10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Chomutově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Praze dne:</w:t>
            </w:r>
          </w:p>
        </w:tc>
      </w:tr>
      <w:tr>
        <w:trPr>
          <w:trHeight w:val="11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……………………………………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…………………………………….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investiční ředitel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 (objednatel)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divize 06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 (zhotovitel)</w:t>
            </w:r>
          </w:p>
        </w:tc>
      </w:tr>
    </w:tbl>
    <w:sectPr>
      <w:headerReference w:type="default" r:id="rId9"/>
      <w:footerReference w:type="default" r:id="rId10"/>
      <w:footnotePr>
        <w:pos w:val="pageBottom"/>
        <w:numFmt w:val="decimal"/>
        <w:numRestart w:val="continuous"/>
      </w:footnotePr>
      <w:pgSz w:w="11909" w:h="16838"/>
      <w:pgMar w:top="1281" w:left="1394" w:right="1562" w:bottom="14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9821545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69999999999999pt;margin-top:773.3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1.69999999999999pt;margin-top:770.85000000000002pt;width:53.050000000000004pt;height:12.9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4978400</wp:posOffset>
              </wp:positionH>
              <wp:positionV relativeFrom="page">
                <wp:posOffset>435610</wp:posOffset>
              </wp:positionV>
              <wp:extent cx="168275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27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2 k SOD 425/2024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pt;margin-top:34.300000000000004pt;width:132.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2 k SOD 425/2024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4978400</wp:posOffset>
              </wp:positionH>
              <wp:positionV relativeFrom="page">
                <wp:posOffset>435610</wp:posOffset>
              </wp:positionV>
              <wp:extent cx="1682750" cy="17399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27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2 k SOD 425/2024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92.pt;margin-top:34.300000000000004pt;width:132.5pt;height:13.7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2 k SOD 425/2024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1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