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720" w:hanging="0"/>
        <w:jc w:val="center"/>
        <w:rPr>
          <w:b/>
          <w:b/>
          <w:sz w:val="40"/>
          <w:szCs w:val="40"/>
          <w:u w:val="single"/>
        </w:rPr>
      </w:pPr>
      <w:r>
        <w:rPr>
          <w:b/>
          <w:sz w:val="40"/>
          <w:szCs w:val="40"/>
          <w:u w:val="single"/>
        </w:rPr>
      </w:r>
    </w:p>
    <w:p>
      <w:pPr>
        <w:pStyle w:val="Normal"/>
        <w:widowControl/>
        <w:ind w:left="720" w:hanging="0"/>
        <w:jc w:val="center"/>
        <w:rPr>
          <w:b/>
          <w:b/>
          <w:sz w:val="40"/>
          <w:szCs w:val="40"/>
          <w:u w:val="single"/>
        </w:rPr>
      </w:pPr>
      <w:r>
        <w:rPr>
          <w:b/>
          <w:sz w:val="40"/>
          <w:szCs w:val="40"/>
          <w:u w:val="single"/>
        </w:rPr>
        <w:t>Smlouva o dílo č. 17054</w:t>
      </w:r>
    </w:p>
    <w:p>
      <w:pPr>
        <w:pStyle w:val="Normal"/>
        <w:widowControl/>
        <w:ind w:left="720" w:hanging="0"/>
        <w:jc w:val="center"/>
        <w:rPr>
          <w:b/>
          <w:b/>
          <w:sz w:val="36"/>
        </w:rPr>
      </w:pPr>
      <w:r>
        <w:rPr>
          <w:b/>
          <w:sz w:val="36"/>
        </w:rPr>
      </w:r>
    </w:p>
    <w:p>
      <w:pPr>
        <w:pStyle w:val="Normal"/>
        <w:widowControl/>
        <w:numPr>
          <w:ilvl w:val="0"/>
          <w:numId w:val="1"/>
        </w:numPr>
        <w:rPr>
          <w:b/>
          <w:b/>
          <w:sz w:val="24"/>
          <w:u w:val="single"/>
        </w:rPr>
      </w:pPr>
      <w:r>
        <w:rPr>
          <w:b/>
          <w:sz w:val="24"/>
          <w:u w:val="single"/>
        </w:rPr>
        <w:t>SMLUVNÍ STRANY</w:t>
      </w:r>
    </w:p>
    <w:p>
      <w:pPr>
        <w:pStyle w:val="Normal"/>
        <w:widowControl/>
        <w:ind w:left="720" w:hanging="0"/>
        <w:rPr>
          <w:b/>
          <w:b/>
          <w:sz w:val="24"/>
          <w:u w:val="single"/>
        </w:rPr>
      </w:pPr>
      <w:r>
        <w:rPr>
          <w:b/>
          <w:sz w:val="24"/>
          <w:u w:val="single"/>
        </w:rPr>
      </w:r>
    </w:p>
    <w:p>
      <w:pPr>
        <w:pStyle w:val="Normal"/>
        <w:widowControl/>
        <w:rPr>
          <w:b/>
          <w:b/>
          <w:sz w:val="24"/>
        </w:rPr>
      </w:pPr>
      <w:r>
        <w:rPr>
          <w:sz w:val="24"/>
        </w:rPr>
        <w:t xml:space="preserve">1. Objednatel : </w:t>
      </w:r>
      <w:r>
        <w:rPr>
          <w:b/>
          <w:sz w:val="24"/>
        </w:rPr>
        <w:t>2.základní škola – Škola Propojení</w:t>
      </w:r>
    </w:p>
    <w:p>
      <w:pPr>
        <w:pStyle w:val="Normal"/>
        <w:widowControl/>
        <w:rPr>
          <w:b/>
          <w:b/>
          <w:sz w:val="24"/>
        </w:rPr>
      </w:pPr>
      <w:r>
        <w:rPr>
          <w:sz w:val="24"/>
        </w:rPr>
        <w:t xml:space="preserve">Adresa : </w:t>
      </w:r>
      <w:r>
        <w:rPr>
          <w:b/>
          <w:sz w:val="24"/>
        </w:rPr>
        <w:t>Příkrá 67, Sedlčany 264 01</w:t>
      </w:r>
    </w:p>
    <w:p>
      <w:pPr>
        <w:pStyle w:val="Normal"/>
        <w:widowControl/>
        <w:rPr>
          <w:b/>
          <w:b/>
          <w:sz w:val="24"/>
        </w:rPr>
      </w:pPr>
      <w:r>
        <w:rPr>
          <w:sz w:val="24"/>
        </w:rPr>
        <w:t xml:space="preserve">IČO : </w:t>
      </w:r>
      <w:r>
        <w:rPr>
          <w:b/>
          <w:sz w:val="24"/>
        </w:rPr>
        <w:t>48954004</w:t>
      </w:r>
    </w:p>
    <w:p>
      <w:pPr>
        <w:pStyle w:val="Normal"/>
        <w:widowControl/>
        <w:rPr>
          <w:b/>
          <w:b/>
          <w:sz w:val="24"/>
        </w:rPr>
      </w:pPr>
      <w:r>
        <w:rPr>
          <w:sz w:val="24"/>
        </w:rPr>
        <w:t xml:space="preserve">Odpovědný zástupce </w:t>
      </w:r>
      <w:r>
        <w:rPr>
          <w:b/>
          <w:sz w:val="24"/>
        </w:rPr>
        <w:t>: Jaroslav Nádvorník</w:t>
      </w:r>
    </w:p>
    <w:p>
      <w:pPr>
        <w:pStyle w:val="Normal"/>
        <w:widowControl/>
        <w:rPr>
          <w:b/>
          <w:b/>
          <w:sz w:val="24"/>
        </w:rPr>
      </w:pPr>
      <w:r>
        <w:rPr>
          <w:sz w:val="24"/>
        </w:rPr>
        <w:t>(dále jen objednatel)</w:t>
      </w:r>
    </w:p>
    <w:p>
      <w:pPr>
        <w:pStyle w:val="Normal"/>
        <w:widowControl/>
        <w:rPr>
          <w:sz w:val="24"/>
        </w:rPr>
      </w:pPr>
      <w:r>
        <w:rPr>
          <w:sz w:val="24"/>
        </w:rPr>
        <w:t xml:space="preserve"> </w:t>
      </w:r>
    </w:p>
    <w:p>
      <w:pPr>
        <w:pStyle w:val="Normal"/>
        <w:widowControl/>
        <w:rPr>
          <w:b/>
          <w:b/>
          <w:sz w:val="24"/>
        </w:rPr>
      </w:pPr>
      <w:r>
        <w:rPr>
          <w:sz w:val="24"/>
        </w:rPr>
        <w:t xml:space="preserve">2. Zhotovitel :  </w:t>
      </w:r>
      <w:r>
        <w:rPr>
          <w:b/>
          <w:sz w:val="24"/>
        </w:rPr>
        <w:t>S-B s.r.o.</w:t>
      </w:r>
    </w:p>
    <w:p>
      <w:pPr>
        <w:pStyle w:val="Normal"/>
        <w:widowControl/>
        <w:rPr>
          <w:b/>
          <w:b/>
          <w:sz w:val="24"/>
        </w:rPr>
      </w:pPr>
      <w:r>
        <w:rPr>
          <w:sz w:val="24"/>
        </w:rPr>
        <w:t xml:space="preserve">Adresa : </w:t>
      </w:r>
      <w:r>
        <w:rPr>
          <w:b/>
          <w:sz w:val="24"/>
        </w:rPr>
        <w:t>Husova 332</w:t>
      </w:r>
    </w:p>
    <w:p>
      <w:pPr>
        <w:pStyle w:val="Normal"/>
        <w:widowControl/>
        <w:rPr>
          <w:b/>
          <w:b/>
          <w:sz w:val="24"/>
        </w:rPr>
      </w:pPr>
      <w:r>
        <w:rPr>
          <w:sz w:val="24"/>
        </w:rPr>
        <w:t xml:space="preserve">Jednatel : </w:t>
      </w:r>
      <w:r>
        <w:rPr>
          <w:b/>
          <w:sz w:val="24"/>
        </w:rPr>
        <w:t>Ing. Jiří Barták</w:t>
      </w:r>
    </w:p>
    <w:p>
      <w:pPr>
        <w:pStyle w:val="Normal"/>
        <w:widowControl/>
        <w:rPr>
          <w:b/>
          <w:b/>
          <w:sz w:val="24"/>
        </w:rPr>
      </w:pPr>
      <w:r>
        <w:rPr>
          <w:sz w:val="24"/>
        </w:rPr>
        <w:t xml:space="preserve">Bankovní spojení : </w:t>
      </w:r>
      <w:r>
        <w:rPr>
          <w:b/>
          <w:sz w:val="24"/>
        </w:rPr>
        <w:t>245683647/0300</w:t>
      </w:r>
    </w:p>
    <w:p>
      <w:pPr>
        <w:pStyle w:val="Normal"/>
        <w:widowControl/>
        <w:rPr>
          <w:b/>
          <w:b/>
          <w:sz w:val="24"/>
        </w:rPr>
      </w:pPr>
      <w:r>
        <w:rPr>
          <w:sz w:val="24"/>
        </w:rPr>
        <w:t>IČO</w:t>
      </w:r>
      <w:r>
        <w:rPr>
          <w:b/>
          <w:sz w:val="24"/>
        </w:rPr>
        <w:t xml:space="preserve"> : 25652362</w:t>
      </w:r>
    </w:p>
    <w:p>
      <w:pPr>
        <w:pStyle w:val="Normal"/>
        <w:widowControl/>
        <w:rPr>
          <w:sz w:val="24"/>
        </w:rPr>
      </w:pPr>
      <w:r>
        <w:rPr>
          <w:sz w:val="24"/>
        </w:rPr>
        <w:t xml:space="preserve">DIČ : </w:t>
      </w:r>
      <w:r>
        <w:rPr>
          <w:b/>
          <w:sz w:val="24"/>
        </w:rPr>
        <w:t>CZ25652362</w:t>
      </w:r>
    </w:p>
    <w:p>
      <w:pPr>
        <w:pStyle w:val="Normal"/>
        <w:widowControl/>
        <w:rPr>
          <w:b/>
          <w:b/>
          <w:sz w:val="24"/>
        </w:rPr>
      </w:pPr>
      <w:r>
        <w:rPr>
          <w:bCs/>
          <w:sz w:val="24"/>
        </w:rPr>
        <w:t>Tel :</w:t>
      </w:r>
      <w:r>
        <w:rPr>
          <w:b/>
          <w:sz w:val="24"/>
        </w:rPr>
        <w:t xml:space="preserve"> 318820369</w:t>
      </w:r>
    </w:p>
    <w:p>
      <w:pPr>
        <w:pStyle w:val="Normal"/>
        <w:widowControl/>
        <w:rPr>
          <w:b/>
          <w:b/>
          <w:sz w:val="24"/>
        </w:rPr>
      </w:pPr>
      <w:r>
        <w:rPr>
          <w:bCs/>
          <w:sz w:val="24"/>
        </w:rPr>
        <w:t>Fax :</w:t>
      </w:r>
      <w:r>
        <w:rPr>
          <w:b/>
          <w:sz w:val="24"/>
        </w:rPr>
        <w:t xml:space="preserve"> 318821907</w:t>
      </w:r>
    </w:p>
    <w:p>
      <w:pPr>
        <w:pStyle w:val="Normal"/>
        <w:widowControl/>
        <w:rPr>
          <w:sz w:val="24"/>
        </w:rPr>
      </w:pPr>
      <w:r>
        <w:rPr>
          <w:sz w:val="24"/>
        </w:rPr>
        <w:t>(dále jen zhotovitel)</w:t>
      </w:r>
    </w:p>
    <w:p>
      <w:pPr>
        <w:pStyle w:val="Normal"/>
        <w:widowControl/>
        <w:ind w:left="720" w:hanging="0"/>
        <w:jc w:val="both"/>
        <w:rPr>
          <w:b/>
          <w:b/>
          <w:sz w:val="24"/>
          <w:u w:val="single"/>
        </w:rPr>
      </w:pPr>
      <w:r>
        <w:rPr>
          <w:b/>
          <w:sz w:val="24"/>
          <w:u w:val="single"/>
        </w:rPr>
      </w:r>
    </w:p>
    <w:p>
      <w:pPr>
        <w:pStyle w:val="Normal"/>
        <w:widowControl/>
        <w:ind w:left="720" w:hanging="0"/>
        <w:jc w:val="both"/>
        <w:rPr>
          <w:b/>
          <w:b/>
          <w:sz w:val="24"/>
          <w:u w:val="single"/>
        </w:rPr>
      </w:pPr>
      <w:r>
        <w:rPr>
          <w:b/>
          <w:sz w:val="24"/>
          <w:u w:val="single"/>
        </w:rPr>
      </w:r>
    </w:p>
    <w:p>
      <w:pPr>
        <w:pStyle w:val="Normal"/>
        <w:widowControl/>
        <w:numPr>
          <w:ilvl w:val="0"/>
          <w:numId w:val="1"/>
        </w:numPr>
        <w:jc w:val="both"/>
        <w:rPr>
          <w:b/>
          <w:b/>
          <w:sz w:val="24"/>
          <w:u w:val="single"/>
        </w:rPr>
      </w:pPr>
      <w:r>
        <w:rPr>
          <w:b/>
          <w:sz w:val="24"/>
          <w:u w:val="single"/>
        </w:rPr>
        <w:t>PŘEDMĚT SMLOUVY</w:t>
      </w:r>
    </w:p>
    <w:p>
      <w:pPr>
        <w:pStyle w:val="Normal"/>
        <w:widowControl/>
        <w:ind w:left="720" w:hanging="0"/>
        <w:jc w:val="both"/>
        <w:rPr>
          <w:b/>
          <w:b/>
          <w:sz w:val="24"/>
          <w:u w:val="single"/>
        </w:rPr>
      </w:pPr>
      <w:r>
        <w:rPr>
          <w:b/>
          <w:sz w:val="24"/>
          <w:u w:val="single"/>
        </w:rPr>
      </w:r>
    </w:p>
    <w:p>
      <w:pPr>
        <w:pStyle w:val="Normal"/>
        <w:widowControl/>
        <w:jc w:val="center"/>
        <w:rPr>
          <w:sz w:val="24"/>
        </w:rPr>
      </w:pPr>
      <w:r>
        <w:rPr>
          <w:sz w:val="24"/>
        </w:rPr>
        <w:t>Předmětem smlouvy je provedení stavby</w:t>
      </w:r>
    </w:p>
    <w:p>
      <w:pPr>
        <w:pStyle w:val="Normal"/>
        <w:widowControl/>
        <w:jc w:val="center"/>
        <w:rPr>
          <w:b/>
          <w:b/>
          <w:sz w:val="24"/>
          <w:szCs w:val="24"/>
        </w:rPr>
      </w:pPr>
      <w:r>
        <w:rPr>
          <w:sz w:val="24"/>
        </w:rPr>
        <w:t xml:space="preserve"> </w:t>
      </w:r>
      <w:r>
        <w:rPr>
          <w:b/>
          <w:sz w:val="24"/>
          <w:szCs w:val="24"/>
        </w:rPr>
        <w:t xml:space="preserve">„ </w:t>
      </w:r>
      <w:r>
        <w:rPr>
          <w:b/>
          <w:sz w:val="24"/>
          <w:szCs w:val="24"/>
        </w:rPr>
        <w:t>Odhlučnění školní jídelny 2.ZŠ Propojení, Sedlčany “</w:t>
      </w:r>
    </w:p>
    <w:p>
      <w:pPr>
        <w:pStyle w:val="Normal"/>
        <w:widowControl/>
        <w:ind w:firstLine="708"/>
        <w:jc w:val="both"/>
        <w:rPr>
          <w:sz w:val="24"/>
        </w:rPr>
      </w:pPr>
      <w:r>
        <w:rPr>
          <w:sz w:val="24"/>
        </w:rPr>
        <w:t xml:space="preserve"> </w:t>
      </w:r>
      <w:r>
        <w:rPr>
          <w:sz w:val="24"/>
        </w:rPr>
        <w:t>Veškeré práce a dodávky, které jsou předmětem smlouvy, jsou přesně specifikovány v přiloženém položkovém rozpočtu, který je nedílnou součástí smlouvy.</w:t>
      </w:r>
    </w:p>
    <w:p>
      <w:pPr>
        <w:pStyle w:val="Normal"/>
        <w:widowControl/>
        <w:ind w:left="720" w:hanging="0"/>
        <w:rPr>
          <w:b/>
          <w:b/>
          <w:sz w:val="24"/>
          <w:u w:val="single"/>
        </w:rPr>
      </w:pPr>
      <w:r>
        <w:rPr>
          <w:b/>
          <w:sz w:val="24"/>
          <w:u w:val="single"/>
        </w:rPr>
      </w:r>
    </w:p>
    <w:p>
      <w:pPr>
        <w:pStyle w:val="Normal"/>
        <w:widowControl/>
        <w:numPr>
          <w:ilvl w:val="0"/>
          <w:numId w:val="1"/>
        </w:numPr>
        <w:rPr>
          <w:b/>
          <w:b/>
          <w:sz w:val="24"/>
          <w:u w:val="single"/>
        </w:rPr>
      </w:pPr>
      <w:r>
        <w:rPr>
          <w:b/>
          <w:sz w:val="24"/>
          <w:u w:val="single"/>
        </w:rPr>
        <w:t>DOBA PROVEDENÍ DÍLA</w:t>
      </w:r>
    </w:p>
    <w:p>
      <w:pPr>
        <w:pStyle w:val="Normal"/>
        <w:widowControl/>
        <w:ind w:left="720" w:hanging="0"/>
        <w:rPr>
          <w:b/>
          <w:b/>
          <w:sz w:val="24"/>
          <w:u w:val="single"/>
        </w:rPr>
      </w:pPr>
      <w:r>
        <w:rPr>
          <w:b/>
          <w:sz w:val="24"/>
          <w:u w:val="single"/>
        </w:rPr>
      </w:r>
    </w:p>
    <w:p>
      <w:pPr>
        <w:pStyle w:val="Normal"/>
        <w:widowControl/>
        <w:ind w:firstLine="708"/>
        <w:jc w:val="both"/>
        <w:rPr>
          <w:sz w:val="24"/>
        </w:rPr>
      </w:pPr>
      <w:r>
        <w:rPr>
          <w:sz w:val="24"/>
        </w:rPr>
        <w:t>Dílo v rozsahu specifikováno v čl.II této smlouvy bude provedeno v době od 28</w:t>
      </w:r>
      <w:bookmarkStart w:id="0" w:name="_GoBack"/>
      <w:bookmarkEnd w:id="0"/>
      <w:r>
        <w:rPr>
          <w:sz w:val="24"/>
        </w:rPr>
        <w:t>.7.2017 do 30.8..2017.</w:t>
      </w:r>
    </w:p>
    <w:p>
      <w:pPr>
        <w:pStyle w:val="Normal"/>
        <w:widowControl/>
        <w:ind w:firstLine="708"/>
        <w:jc w:val="both"/>
        <w:rPr>
          <w:sz w:val="24"/>
        </w:rPr>
      </w:pPr>
      <w:r>
        <w:rPr>
          <w:sz w:val="24"/>
        </w:rPr>
        <w:t xml:space="preserve">V případě prodlení objednatele s poskytnutím součinnosti či plnění povinností ze smlouvy vyplývajících, se doba provedení díla prodlužuje o dobu prodlení objednatele. </w:t>
      </w:r>
    </w:p>
    <w:p>
      <w:pPr>
        <w:pStyle w:val="Normal"/>
        <w:widowControl/>
        <w:ind w:firstLine="708"/>
        <w:jc w:val="both"/>
        <w:rPr>
          <w:sz w:val="24"/>
        </w:rPr>
      </w:pPr>
      <w:r>
        <w:rPr>
          <w:sz w:val="24"/>
        </w:rPr>
      </w:r>
    </w:p>
    <w:p>
      <w:pPr>
        <w:pStyle w:val="Normal"/>
        <w:widowControl/>
        <w:numPr>
          <w:ilvl w:val="0"/>
          <w:numId w:val="1"/>
        </w:numPr>
        <w:jc w:val="both"/>
        <w:rPr>
          <w:b/>
          <w:b/>
          <w:sz w:val="24"/>
          <w:u w:val="single"/>
        </w:rPr>
      </w:pPr>
      <w:r>
        <w:rPr>
          <w:b/>
          <w:sz w:val="24"/>
          <w:u w:val="single"/>
        </w:rPr>
        <w:t>ODMĚNA ZA DÍLO</w:t>
      </w:r>
    </w:p>
    <w:p>
      <w:pPr>
        <w:pStyle w:val="Normal"/>
        <w:widowControl/>
        <w:spacing w:before="0" w:after="120"/>
        <w:ind w:firstLine="709"/>
        <w:rPr/>
      </w:pPr>
      <w:r>
        <w:rPr/>
      </w:r>
    </w:p>
    <w:p>
      <w:pPr>
        <w:pStyle w:val="Normal"/>
        <w:widowControl/>
        <w:spacing w:before="0" w:after="120"/>
        <w:ind w:firstLine="283"/>
        <w:rPr>
          <w:b/>
          <w:b/>
          <w:bCs/>
          <w:sz w:val="24"/>
          <w:szCs w:val="24"/>
        </w:rPr>
      </w:pPr>
      <w:r>
        <w:rPr>
          <w:sz w:val="24"/>
          <w:szCs w:val="24"/>
        </w:rPr>
        <w:t>Odměna za dílo v rozsahu dle článku II. této smlouvy je stanovena dohodou smluvních stran v celkové výši  170.000,- Kč bez DPH. K této ceně bude účtována DPH v zákonem stanovené výši.</w:t>
      </w:r>
    </w:p>
    <w:p>
      <w:pPr>
        <w:pStyle w:val="Normal"/>
        <w:widowControl/>
        <w:ind w:firstLine="708"/>
        <w:jc w:val="both"/>
        <w:rPr>
          <w:sz w:val="24"/>
        </w:rPr>
      </w:pPr>
      <w:r>
        <w:rPr>
          <w:sz w:val="24"/>
        </w:rPr>
        <w:t xml:space="preserve">Zhotovitel bude vystavovat objednateli faktury na základě skutečně provedených a odsouhlasených prací. Práce budou odsouhlaseny objednatelem buď ve stavebním deníku nebo v protokole o převzetí prací. Toto platí do výše 90 % smluvní ceny za dílo. Zbylých 10 % bude splatných po předání díla a odstranění případných vad a nedodělků. Splatnost faktur se stanovuje na 14 dní. </w:t>
      </w:r>
    </w:p>
    <w:p>
      <w:pPr>
        <w:pStyle w:val="Normal"/>
        <w:widowControl/>
        <w:ind w:firstLine="708"/>
        <w:jc w:val="both"/>
        <w:rPr>
          <w:sz w:val="24"/>
        </w:rPr>
      </w:pPr>
      <w:r>
        <w:rPr>
          <w:sz w:val="24"/>
        </w:rPr>
        <w:t xml:space="preserve">Za nedodržení termínu určeného k úhradě faktury je objednatel povinen zaplatit zhotoviteli úrok z prodlení ve výši 0.05 % z fakturované částky za každý den z prodlení. </w:t>
      </w:r>
    </w:p>
    <w:p>
      <w:pPr>
        <w:pStyle w:val="Normal"/>
        <w:widowControl/>
        <w:ind w:firstLine="708"/>
        <w:jc w:val="both"/>
        <w:rPr>
          <w:sz w:val="24"/>
        </w:rPr>
      </w:pPr>
      <w:r>
        <w:rPr>
          <w:sz w:val="24"/>
        </w:rPr>
        <w:t>Za nedodržení termínu určeného k provedení díla, zaplatí zhotovitel pokutu 0,05 % z ceny díla za každý den prodlení.</w:t>
      </w:r>
    </w:p>
    <w:p>
      <w:pPr>
        <w:pStyle w:val="Normal"/>
        <w:widowControl/>
        <w:ind w:firstLine="708"/>
        <w:jc w:val="both"/>
        <w:rPr>
          <w:sz w:val="24"/>
        </w:rPr>
      </w:pPr>
      <w:r>
        <w:rPr>
          <w:sz w:val="24"/>
        </w:rPr>
        <w:t>Případné rozšíření rozsahu díla, oproti čl. II. této smlouvy, bude řešeno způsobem uvedeným v článku VI.</w:t>
      </w:r>
    </w:p>
    <w:p>
      <w:pPr>
        <w:pStyle w:val="Normal"/>
        <w:widowControl/>
        <w:ind w:firstLine="708"/>
        <w:jc w:val="both"/>
        <w:rPr>
          <w:sz w:val="24"/>
        </w:rPr>
      </w:pPr>
      <w:r>
        <w:rPr>
          <w:sz w:val="24"/>
        </w:rPr>
        <w:t>Nezaplacení kterékoli faktury za provedené práce ve lhůtě splatnosti je pro zhotovitele důvodem k odstoupení od smlouvy.</w:t>
      </w:r>
    </w:p>
    <w:p>
      <w:pPr>
        <w:pStyle w:val="Normal"/>
        <w:widowControl/>
        <w:ind w:firstLine="708"/>
        <w:jc w:val="both"/>
        <w:rPr>
          <w:sz w:val="24"/>
        </w:rPr>
      </w:pPr>
      <w:r>
        <w:rPr>
          <w:sz w:val="24"/>
        </w:rPr>
        <w:t xml:space="preserve">V případě, že se objednatel dostane do prodlení s úhradou faktury, je zhotovitel oprávněn prodloužit dobu provedení díla, o kterou se objednatel s úhradou opozdil. Tím není dotčeno právo zhotovitele od smlouvy odstoupit. </w:t>
      </w:r>
    </w:p>
    <w:p>
      <w:pPr>
        <w:pStyle w:val="Normal"/>
        <w:widowControl/>
        <w:ind w:firstLine="708"/>
        <w:jc w:val="both"/>
        <w:rPr>
          <w:sz w:val="24"/>
        </w:rPr>
      </w:pPr>
      <w:r>
        <w:rPr>
          <w:sz w:val="24"/>
        </w:rPr>
        <w:t>Při odstoupení zhotovitele od smlouvy zhotovitel ukončí práce na díle a zakonzervuje dílo a materiál na náklady objednatele.</w:t>
      </w:r>
    </w:p>
    <w:p>
      <w:pPr>
        <w:pStyle w:val="Normal"/>
        <w:widowControl/>
        <w:ind w:left="1440" w:hanging="0"/>
        <w:jc w:val="both"/>
        <w:rPr>
          <w:b/>
          <w:b/>
          <w:sz w:val="24"/>
          <w:u w:val="single"/>
        </w:rPr>
      </w:pPr>
      <w:r>
        <w:rPr>
          <w:b/>
          <w:sz w:val="24"/>
          <w:u w:val="single"/>
        </w:rPr>
      </w:r>
    </w:p>
    <w:p>
      <w:pPr>
        <w:pStyle w:val="Normal"/>
        <w:widowControl/>
        <w:ind w:left="1440" w:hanging="0"/>
        <w:jc w:val="both"/>
        <w:rPr>
          <w:b/>
          <w:b/>
          <w:sz w:val="24"/>
          <w:u w:val="single"/>
        </w:rPr>
      </w:pPr>
      <w:r>
        <w:rPr>
          <w:b/>
          <w:sz w:val="24"/>
          <w:u w:val="single"/>
        </w:rPr>
      </w:r>
    </w:p>
    <w:p>
      <w:pPr>
        <w:pStyle w:val="Normal"/>
        <w:widowControl/>
        <w:numPr>
          <w:ilvl w:val="0"/>
          <w:numId w:val="1"/>
        </w:numPr>
        <w:jc w:val="both"/>
        <w:rPr>
          <w:b/>
          <w:b/>
          <w:sz w:val="24"/>
          <w:u w:val="single"/>
        </w:rPr>
      </w:pPr>
      <w:r>
        <w:rPr>
          <w:b/>
          <w:sz w:val="24"/>
          <w:u w:val="single"/>
        </w:rPr>
        <w:t>OPRÁVNĚNÍ K JEDNÁNÍ</w:t>
      </w:r>
    </w:p>
    <w:p>
      <w:pPr>
        <w:pStyle w:val="Normal"/>
        <w:widowControl/>
        <w:ind w:left="720" w:hanging="0"/>
        <w:jc w:val="both"/>
        <w:rPr>
          <w:b/>
          <w:b/>
          <w:sz w:val="24"/>
          <w:u w:val="single"/>
        </w:rPr>
      </w:pPr>
      <w:r>
        <w:rPr>
          <w:b/>
          <w:sz w:val="24"/>
          <w:u w:val="single"/>
        </w:rPr>
      </w:r>
    </w:p>
    <w:p>
      <w:pPr>
        <w:pStyle w:val="Normal"/>
        <w:widowControl/>
        <w:ind w:firstLine="708"/>
        <w:rPr>
          <w:sz w:val="24"/>
        </w:rPr>
      </w:pPr>
      <w:r>
        <w:rPr>
          <w:sz w:val="24"/>
        </w:rPr>
        <w:t xml:space="preserve">Za zhotovitele je oprávněn jednat s objednatelem </w:t>
      </w:r>
    </w:p>
    <w:p>
      <w:pPr>
        <w:pStyle w:val="Normal"/>
        <w:widowControl/>
        <w:rPr>
          <w:sz w:val="24"/>
        </w:rPr>
      </w:pPr>
      <w:r>
        <w:rPr>
          <w:sz w:val="24"/>
        </w:rPr>
        <w:t>- ve věcech smluvních:</w:t>
      </w:r>
    </w:p>
    <w:p>
      <w:pPr>
        <w:pStyle w:val="Normal"/>
        <w:widowControl/>
        <w:rPr>
          <w:sz w:val="24"/>
        </w:rPr>
      </w:pPr>
      <w:r>
        <w:rPr>
          <w:sz w:val="24"/>
        </w:rPr>
        <w:t>Jiří Barták</w:t>
      </w:r>
    </w:p>
    <w:p>
      <w:pPr>
        <w:pStyle w:val="Normal"/>
        <w:widowControl/>
        <w:rPr>
          <w:sz w:val="24"/>
        </w:rPr>
      </w:pPr>
      <w:r>
        <w:rPr>
          <w:sz w:val="24"/>
        </w:rPr>
        <w:t>- v technických záležitostech (včetně zápisů do stavebního deníku):</w:t>
      </w:r>
    </w:p>
    <w:p>
      <w:pPr>
        <w:pStyle w:val="Normal"/>
        <w:widowControl/>
        <w:rPr>
          <w:sz w:val="24"/>
        </w:rPr>
      </w:pPr>
      <w:r>
        <w:rPr>
          <w:sz w:val="24"/>
        </w:rPr>
        <w:t xml:space="preserve">Milan Kdolský, Karel Hocke </w:t>
      </w:r>
    </w:p>
    <w:p>
      <w:pPr>
        <w:pStyle w:val="Normal"/>
        <w:widowControl/>
        <w:rPr>
          <w:sz w:val="24"/>
        </w:rPr>
      </w:pPr>
      <w:r>
        <w:rPr>
          <w:sz w:val="24"/>
        </w:rPr>
        <w:t>Za objednatele je oprávněn jednat se zhotovitelem</w:t>
      </w:r>
    </w:p>
    <w:p>
      <w:pPr>
        <w:pStyle w:val="Normal"/>
        <w:widowControl/>
        <w:rPr>
          <w:sz w:val="24"/>
        </w:rPr>
      </w:pPr>
      <w:r>
        <w:rPr>
          <w:sz w:val="24"/>
        </w:rPr>
        <w:t>- ve věcech smluvních:</w:t>
      </w:r>
    </w:p>
    <w:p>
      <w:pPr>
        <w:pStyle w:val="Normal"/>
        <w:widowControl/>
        <w:rPr>
          <w:sz w:val="24"/>
        </w:rPr>
      </w:pPr>
      <w:r>
        <w:rPr>
          <w:sz w:val="24"/>
        </w:rPr>
        <w:t>p. Jaroslav Nádvorník – ředitel školy</w:t>
      </w:r>
    </w:p>
    <w:p>
      <w:pPr>
        <w:pStyle w:val="Normal"/>
        <w:widowControl/>
        <w:rPr>
          <w:sz w:val="24"/>
        </w:rPr>
      </w:pPr>
      <w:r>
        <w:rPr>
          <w:sz w:val="24"/>
        </w:rPr>
        <w:t xml:space="preserve">- v technických záležitostech (včetně zápisů do stavebního deníku): </w:t>
      </w:r>
    </w:p>
    <w:p>
      <w:pPr>
        <w:pStyle w:val="Normal"/>
        <w:widowControl/>
        <w:rPr>
          <w:sz w:val="24"/>
        </w:rPr>
      </w:pPr>
      <w:r>
        <w:rPr>
          <w:sz w:val="24"/>
        </w:rPr>
        <w:t>p. Jaroslav Nádvorník – ředitel školy</w:t>
      </w:r>
    </w:p>
    <w:p>
      <w:pPr>
        <w:pStyle w:val="Normal"/>
        <w:widowControl/>
        <w:rPr>
          <w:sz w:val="24"/>
        </w:rPr>
      </w:pPr>
      <w:r>
        <w:rPr>
          <w:sz w:val="24"/>
        </w:rPr>
      </w:r>
    </w:p>
    <w:p>
      <w:pPr>
        <w:pStyle w:val="Normal"/>
        <w:widowControl/>
        <w:rPr>
          <w:sz w:val="24"/>
        </w:rPr>
      </w:pPr>
      <w:r>
        <w:rPr>
          <w:sz w:val="24"/>
        </w:rPr>
      </w:r>
    </w:p>
    <w:p>
      <w:pPr>
        <w:pStyle w:val="Normal"/>
        <w:widowControl/>
        <w:numPr>
          <w:ilvl w:val="0"/>
          <w:numId w:val="1"/>
        </w:numPr>
        <w:rPr>
          <w:b/>
          <w:b/>
          <w:sz w:val="24"/>
          <w:u w:val="single"/>
        </w:rPr>
      </w:pPr>
      <w:r>
        <w:rPr>
          <w:b/>
          <w:sz w:val="24"/>
          <w:u w:val="single"/>
        </w:rPr>
        <w:t>ZPŮSOB PROVÁDĚNÍ DÍLA</w:t>
      </w:r>
    </w:p>
    <w:p>
      <w:pPr>
        <w:pStyle w:val="Normal"/>
        <w:widowControl/>
        <w:rPr>
          <w:b/>
          <w:b/>
          <w:sz w:val="24"/>
          <w:u w:val="single"/>
        </w:rPr>
      </w:pPr>
      <w:r>
        <w:rPr>
          <w:b/>
          <w:sz w:val="24"/>
          <w:u w:val="single"/>
        </w:rPr>
      </w:r>
    </w:p>
    <w:p>
      <w:pPr>
        <w:pStyle w:val="Normal"/>
        <w:widowControl/>
        <w:ind w:firstLine="708"/>
        <w:jc w:val="both"/>
        <w:rPr>
          <w:sz w:val="24"/>
        </w:rPr>
      </w:pPr>
      <w:r>
        <w:rPr>
          <w:sz w:val="24"/>
        </w:rPr>
        <w:t>Zhotovitel provede dílo v požadované kvalitě a jakosti.</w:t>
      </w:r>
    </w:p>
    <w:p>
      <w:pPr>
        <w:pStyle w:val="Normal"/>
        <w:widowControl/>
        <w:ind w:firstLine="708"/>
        <w:jc w:val="both"/>
        <w:rPr>
          <w:sz w:val="24"/>
        </w:rPr>
      </w:pPr>
      <w:r>
        <w:rPr>
          <w:sz w:val="24"/>
        </w:rPr>
        <w:t>Zhotovitel je povinen dodržovat předpisy BOZ a PO plném rozsahu respektovat pokyny objednatele. Zhotovitel ručí v plném rozsahu za své pracovníky v oblasti BOZ a PO a poruší-li předpisy a jiné právní normy a vznikne-li objednateli tímto škoda, zhotovitel škodu v plném rozsahu uhradí.</w:t>
      </w:r>
    </w:p>
    <w:p>
      <w:pPr>
        <w:pStyle w:val="Normal"/>
        <w:widowControl/>
        <w:ind w:firstLine="708"/>
        <w:jc w:val="both"/>
        <w:rPr>
          <w:sz w:val="24"/>
        </w:rPr>
      </w:pPr>
      <w:r>
        <w:rPr>
          <w:sz w:val="24"/>
        </w:rPr>
        <w:t xml:space="preserve">Zhotovitel je povinen vést na stavbě stavební deník a řádně do něj zapisovat všechny skutečnosti, rozhodné pro plnění smlouvy, zejména zdůvodnění odchylek od PD a nezbytné vícepráce vyplývající z </w:t>
      </w:r>
    </w:p>
    <w:p>
      <w:pPr>
        <w:pStyle w:val="Normal"/>
        <w:widowControl/>
        <w:ind w:firstLine="708"/>
        <w:jc w:val="both"/>
        <w:rPr>
          <w:sz w:val="24"/>
        </w:rPr>
      </w:pPr>
      <w:r>
        <w:rPr>
          <w:sz w:val="24"/>
        </w:rPr>
        <w:t>postupu výstavby apod. Veškeré zápisy provedené do stavebního deníku podepisuje oprávněná osoba uvedená v bodě V. této smlouvy.</w:t>
      </w:r>
    </w:p>
    <w:p>
      <w:pPr>
        <w:pStyle w:val="Normal"/>
        <w:widowControl/>
        <w:ind w:firstLine="708"/>
        <w:jc w:val="both"/>
        <w:rPr>
          <w:sz w:val="24"/>
        </w:rPr>
      </w:pPr>
      <w:r>
        <w:rPr>
          <w:sz w:val="24"/>
        </w:rPr>
        <w:t>Objednatel je povinen vyjádřit se k zápisům ve stavebním deníku minimálně jednou za dva týdny a připojit svoje stanovisko formou písemného zápisu. Pokud tak neučiní, má se za to, že s uvedeným zápisem souhlasí.</w:t>
      </w:r>
    </w:p>
    <w:p>
      <w:pPr>
        <w:pStyle w:val="Normal"/>
        <w:widowControl/>
        <w:ind w:firstLine="708"/>
        <w:jc w:val="both"/>
        <w:rPr>
          <w:sz w:val="24"/>
        </w:rPr>
      </w:pPr>
      <w:r>
        <w:rPr>
          <w:sz w:val="24"/>
        </w:rPr>
        <w:t>Případné vícepráce jsou řešeny takto:</w:t>
      </w:r>
    </w:p>
    <w:p>
      <w:pPr>
        <w:pStyle w:val="Normal"/>
        <w:widowControl/>
        <w:jc w:val="both"/>
        <w:rPr>
          <w:sz w:val="24"/>
        </w:rPr>
      </w:pPr>
      <w:r>
        <w:rPr>
          <w:sz w:val="24"/>
        </w:rPr>
        <w:t xml:space="preserve">a) nezbytné vícepráce - nutnost jejich provedení oznámí zhotovitel objednateli zápisem ve staveb ním deníku . Pokud objednatel projeví s provedením takových víceprací souhlas, ať již výslovně zápisem do stavebního deníku, nebo tím, že shora uvedeným způsobem svoje stanovisko nejpozději do 14 dnů od zápisu zhotovitele neuvede, je zhotovitel oprávněn takové vícepráce provést za předpokladu, že dojde mezi objednatelem a zhotovitelem k dohodě o ceně takových víceprací. </w:t>
      </w:r>
    </w:p>
    <w:p>
      <w:pPr>
        <w:pStyle w:val="Normal"/>
        <w:widowControl/>
        <w:ind w:firstLine="708"/>
        <w:jc w:val="both"/>
        <w:rPr>
          <w:sz w:val="24"/>
        </w:rPr>
      </w:pPr>
      <w:r>
        <w:rPr>
          <w:sz w:val="24"/>
        </w:rPr>
        <w:t xml:space="preserve">Nedojde-li k dohodě o ceně takových víceprací, není zhotovitel povinen takové vícepráce provádět a brání-li neprovedení takových víceprací dalšímu provádění díla, je zhotovitel oprávněn od smlouvy odstoupit. Zároveň má zhotovitel právo prodloužit dobu provádění díla o dobu, představující časový úsek </w:t>
      </w:r>
    </w:p>
    <w:p>
      <w:pPr>
        <w:pStyle w:val="Normal"/>
        <w:widowControl/>
        <w:jc w:val="both"/>
        <w:rPr>
          <w:sz w:val="24"/>
        </w:rPr>
      </w:pPr>
      <w:r>
        <w:rPr>
          <w:sz w:val="24"/>
        </w:rPr>
        <w:t xml:space="preserve">od oznámení nezbytných víceprací objednateli (a to i formou zápisu do stavebního deníku) do uzavření dohody o ceně těchto víceprací. </w:t>
      </w:r>
    </w:p>
    <w:p>
      <w:pPr>
        <w:pStyle w:val="Normal"/>
        <w:widowControl/>
        <w:jc w:val="both"/>
        <w:rPr>
          <w:sz w:val="24"/>
        </w:rPr>
      </w:pPr>
      <w:r>
        <w:rPr>
          <w:sz w:val="24"/>
        </w:rPr>
        <w:t xml:space="preserve">b) vícepráce požadované objednatelem - pokud objednatel písemně objedná provádění dalších víceprací nad rámec předmětu smlouvy, vykoná zhotovitel takové vícepráce v případě, že dojde s objednatelem k dohodě o výši ceny za takto objednané vícepráce. </w:t>
      </w:r>
    </w:p>
    <w:p>
      <w:pPr>
        <w:pStyle w:val="Normal"/>
        <w:widowControl/>
        <w:jc w:val="both"/>
        <w:rPr>
          <w:sz w:val="24"/>
        </w:rPr>
      </w:pPr>
      <w:r>
        <w:rPr>
          <w:sz w:val="24"/>
        </w:rPr>
        <w:t xml:space="preserve">c) vícepráce doporučené zhotovitelem - je zhotovitel oprávněn vykonat pouze tehdy, souhlasí-li objednatel s písemným návrhem objednatele (a to i ve formě zápisu do stavebního deníku). I v tomto případě je podmínkou provedení víceprací předchozí dohoda o jejich ceně. </w:t>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numPr>
          <w:ilvl w:val="0"/>
          <w:numId w:val="1"/>
        </w:numPr>
        <w:rPr>
          <w:b/>
          <w:b/>
          <w:sz w:val="24"/>
          <w:u w:val="single"/>
        </w:rPr>
      </w:pPr>
      <w:r>
        <w:rPr>
          <w:b/>
          <w:sz w:val="24"/>
          <w:u w:val="single"/>
        </w:rPr>
        <w:t>PŘEDÁNÍ DÍLA A VADY DÍLA</w:t>
      </w:r>
    </w:p>
    <w:p>
      <w:pPr>
        <w:pStyle w:val="Normal"/>
        <w:widowControl/>
        <w:ind w:left="720" w:hanging="0"/>
        <w:rPr>
          <w:b/>
          <w:b/>
          <w:sz w:val="24"/>
          <w:u w:val="single"/>
        </w:rPr>
      </w:pPr>
      <w:r>
        <w:rPr>
          <w:b/>
          <w:sz w:val="24"/>
          <w:u w:val="single"/>
        </w:rPr>
      </w:r>
    </w:p>
    <w:p>
      <w:pPr>
        <w:pStyle w:val="Normal"/>
        <w:widowControl/>
        <w:ind w:firstLine="708"/>
        <w:jc w:val="both"/>
        <w:rPr>
          <w:sz w:val="24"/>
        </w:rPr>
      </w:pPr>
      <w:r>
        <w:rPr>
          <w:sz w:val="24"/>
        </w:rPr>
        <w:t>Dílo bude považováno za ukončené po ukončení všech prací uvedených v čl.II této smlouvy.</w:t>
      </w:r>
    </w:p>
    <w:p>
      <w:pPr>
        <w:pStyle w:val="Normal"/>
        <w:widowControl/>
        <w:jc w:val="both"/>
        <w:rPr>
          <w:sz w:val="24"/>
        </w:rPr>
      </w:pPr>
      <w:r>
        <w:rPr>
          <w:sz w:val="24"/>
        </w:rPr>
        <w:t xml:space="preserve">Po ukončení díla vyzve zhotovitel objednatele k převzetí díla. Z předání díla bude učiněn zápis se soupisem případných nedodělků a vad s určením termínu jejich odstranění. </w:t>
      </w:r>
    </w:p>
    <w:p>
      <w:pPr>
        <w:pStyle w:val="Normal"/>
        <w:widowControl/>
        <w:ind w:firstLine="708"/>
        <w:jc w:val="both"/>
        <w:rPr>
          <w:sz w:val="24"/>
        </w:rPr>
      </w:pPr>
      <w:r>
        <w:rPr>
          <w:sz w:val="24"/>
        </w:rPr>
        <w:t>Zápis podepíší obě smluvní strany.</w:t>
      </w:r>
    </w:p>
    <w:p>
      <w:pPr>
        <w:pStyle w:val="Normal"/>
        <w:widowControl/>
        <w:ind w:firstLine="708"/>
        <w:jc w:val="both"/>
        <w:rPr>
          <w:sz w:val="24"/>
        </w:rPr>
      </w:pPr>
      <w:r>
        <w:rPr>
          <w:sz w:val="24"/>
        </w:rPr>
        <w:t>Zhotovitel neodpovídá za vady způsobené dodržením nevhodných pokynů daných mu objednatelem, jestliže zhotovitel na nevhodnost těchto pokynů upozornil a objednatel na jejich dodržení trval nebo tuto nevhodnost nemohl odhalit.</w:t>
      </w:r>
    </w:p>
    <w:p>
      <w:pPr>
        <w:pStyle w:val="Normal"/>
        <w:widowControl/>
        <w:ind w:firstLine="708"/>
        <w:jc w:val="both"/>
        <w:rPr>
          <w:sz w:val="24"/>
        </w:rPr>
      </w:pPr>
      <w:r>
        <w:rPr>
          <w:sz w:val="24"/>
        </w:rPr>
      </w:r>
    </w:p>
    <w:p>
      <w:pPr>
        <w:pStyle w:val="Normal"/>
        <w:widowControl/>
        <w:ind w:firstLine="708"/>
        <w:jc w:val="both"/>
        <w:rPr>
          <w:sz w:val="24"/>
        </w:rPr>
      </w:pPr>
      <w:r>
        <w:rPr>
          <w:sz w:val="24"/>
        </w:rPr>
      </w:r>
    </w:p>
    <w:p>
      <w:pPr>
        <w:pStyle w:val="Normal"/>
        <w:widowControl/>
        <w:numPr>
          <w:ilvl w:val="0"/>
          <w:numId w:val="1"/>
        </w:numPr>
        <w:jc w:val="both"/>
        <w:rPr>
          <w:b/>
          <w:b/>
          <w:sz w:val="24"/>
          <w:u w:val="single"/>
        </w:rPr>
      </w:pPr>
      <w:r>
        <w:rPr>
          <w:b/>
          <w:sz w:val="24"/>
          <w:u w:val="single"/>
        </w:rPr>
        <w:t>ZÁRUKA</w:t>
      </w:r>
    </w:p>
    <w:p>
      <w:pPr>
        <w:pStyle w:val="Normal"/>
        <w:widowControl/>
        <w:jc w:val="both"/>
        <w:rPr>
          <w:b/>
          <w:b/>
          <w:sz w:val="24"/>
          <w:u w:val="single"/>
        </w:rPr>
      </w:pPr>
      <w:r>
        <w:rPr>
          <w:b/>
          <w:sz w:val="24"/>
          <w:u w:val="single"/>
        </w:rPr>
      </w:r>
    </w:p>
    <w:p>
      <w:pPr>
        <w:pStyle w:val="Normal"/>
        <w:widowControl/>
        <w:ind w:firstLine="708"/>
        <w:rPr>
          <w:sz w:val="24"/>
        </w:rPr>
      </w:pPr>
      <w:r>
        <w:rPr>
          <w:sz w:val="24"/>
        </w:rPr>
        <w:t>Zhotovitel poskytuje na jakost díla v rozsahu čl.II této smlouvy počínaje od data předání díla záruku 60 měsíců.</w:t>
      </w:r>
    </w:p>
    <w:p>
      <w:pPr>
        <w:pStyle w:val="Normal"/>
        <w:widowControl/>
        <w:ind w:firstLine="708"/>
        <w:rPr>
          <w:color w:val="FF0000"/>
          <w:sz w:val="24"/>
        </w:rPr>
      </w:pPr>
      <w:r>
        <w:rPr>
          <w:sz w:val="24"/>
        </w:rPr>
        <w:t>Na zabudované výrobky se vztahuje záruka daná výrobcem.</w:t>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numPr>
          <w:ilvl w:val="0"/>
          <w:numId w:val="1"/>
        </w:numPr>
        <w:rPr>
          <w:b/>
          <w:b/>
          <w:sz w:val="24"/>
          <w:u w:val="single"/>
        </w:rPr>
      </w:pPr>
      <w:r>
        <w:rPr>
          <w:b/>
          <w:sz w:val="24"/>
          <w:u w:val="single"/>
        </w:rPr>
        <w:t>ODPOVĚDNOST ZA ŠKODU</w:t>
      </w:r>
    </w:p>
    <w:p>
      <w:pPr>
        <w:pStyle w:val="Normal"/>
        <w:widowControl/>
        <w:ind w:left="720" w:hanging="0"/>
        <w:rPr>
          <w:b/>
          <w:b/>
          <w:sz w:val="24"/>
          <w:u w:val="single"/>
        </w:rPr>
      </w:pPr>
      <w:r>
        <w:rPr>
          <w:b/>
          <w:sz w:val="24"/>
          <w:u w:val="single"/>
        </w:rPr>
      </w:r>
    </w:p>
    <w:p>
      <w:pPr>
        <w:pStyle w:val="Normal"/>
        <w:widowControl/>
        <w:spacing w:lineRule="auto" w:line="480" w:before="0" w:after="120"/>
        <w:ind w:firstLine="708"/>
        <w:rPr>
          <w:sz w:val="24"/>
          <w:szCs w:val="24"/>
        </w:rPr>
      </w:pPr>
      <w:r>
        <w:rPr>
          <w:sz w:val="24"/>
          <w:szCs w:val="24"/>
        </w:rPr>
        <w:t>Objednatel a zhotovitel nesou odpovědnost za škody, které vzniknou v průběhu realizace díla podle míry zavinění.</w:t>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ind w:left="1440" w:hanging="0"/>
        <w:rPr>
          <w:b/>
          <w:b/>
          <w:sz w:val="24"/>
          <w:u w:val="single"/>
        </w:rPr>
      </w:pPr>
      <w:r>
        <w:rPr>
          <w:b/>
          <w:sz w:val="24"/>
          <w:u w:val="single"/>
        </w:rPr>
      </w:r>
    </w:p>
    <w:p>
      <w:pPr>
        <w:pStyle w:val="Normal"/>
        <w:widowControl/>
        <w:numPr>
          <w:ilvl w:val="0"/>
          <w:numId w:val="1"/>
        </w:numPr>
        <w:rPr>
          <w:b/>
          <w:b/>
          <w:sz w:val="24"/>
          <w:u w:val="single"/>
        </w:rPr>
      </w:pPr>
      <w:r>
        <w:rPr>
          <w:b/>
          <w:sz w:val="24"/>
          <w:u w:val="single"/>
        </w:rPr>
        <w:t>ZRUŠENÍ SMLOUVY</w:t>
      </w:r>
    </w:p>
    <w:p>
      <w:pPr>
        <w:pStyle w:val="Normal"/>
        <w:widowControl/>
        <w:ind w:left="720" w:hanging="0"/>
        <w:rPr>
          <w:b/>
          <w:b/>
          <w:sz w:val="24"/>
          <w:u w:val="single"/>
        </w:rPr>
      </w:pPr>
      <w:r>
        <w:rPr>
          <w:b/>
          <w:sz w:val="24"/>
          <w:u w:val="single"/>
        </w:rPr>
      </w:r>
    </w:p>
    <w:p>
      <w:pPr>
        <w:pStyle w:val="Normal"/>
        <w:widowControl/>
        <w:ind w:firstLine="708"/>
        <w:jc w:val="both"/>
        <w:rPr>
          <w:sz w:val="24"/>
        </w:rPr>
      </w:pPr>
      <w:r>
        <w:rPr>
          <w:sz w:val="24"/>
        </w:rPr>
        <w:t xml:space="preserve">Smluvní strany mohou od této smlouvy odstoupit pouze z důvodů, uvedených v zákoně nebo sjednaných v této smlouvě. </w:t>
      </w:r>
    </w:p>
    <w:p>
      <w:pPr>
        <w:pStyle w:val="Normal"/>
        <w:widowControl/>
        <w:ind w:firstLine="708"/>
        <w:jc w:val="both"/>
        <w:rPr>
          <w:sz w:val="24"/>
        </w:rPr>
      </w:pPr>
      <w:r>
        <w:rPr>
          <w:sz w:val="24"/>
        </w:rPr>
        <w:t xml:space="preserve">Kromě zákonných či smluvených důvodů může objednatel od smlouvy odstoupit, má-li pro to závažné důvody. V takovém případě však zaplatí zhotoviteli smluvní pokutu ve výši 10.000,- Kč , odstoupí.-li od smlouvy ještě před započetím provádění díla. Odstoupí-li z takových důvodů objednatel </w:t>
      </w:r>
    </w:p>
    <w:p>
      <w:pPr>
        <w:pStyle w:val="Normal"/>
        <w:widowControl/>
        <w:jc w:val="both"/>
        <w:rPr>
          <w:sz w:val="24"/>
        </w:rPr>
      </w:pPr>
      <w:r>
        <w:rPr>
          <w:sz w:val="24"/>
        </w:rPr>
        <w:t xml:space="preserve">již po zahájení provádění díla, zaplatí vedle smluvní pokuty ve výši 10.000,- Kč zhotoviteli též veškeré prokazatelně vynaložené náklady na částečně provedené dílo. </w:t>
      </w:r>
    </w:p>
    <w:p>
      <w:pPr>
        <w:pStyle w:val="Normal"/>
        <w:widowControl/>
        <w:ind w:firstLine="708"/>
        <w:jc w:val="both"/>
        <w:rPr>
          <w:sz w:val="24"/>
        </w:rPr>
      </w:pPr>
      <w:r>
        <w:rPr>
          <w:sz w:val="24"/>
        </w:rPr>
        <w:t xml:space="preserve">Zhotovitel kromě zákonných či smluvených důvodů může odstoupit od smlouvy, má-li pro to závažné důvody. V takovém případě je objednatel povinen zaplatit pouze skutečně vykonané práce a spotřebovaný materiál. Zhotovitel je v takovém případě povinen na vlastní náklady zajistit konzervaci stavby v rozsahu odpovídající době nezbytné k zajištění náhradního zhotovitele a dále zaplatit smluvní pokutu ve výši 10.000,- Kč. </w:t>
      </w:r>
    </w:p>
    <w:p>
      <w:pPr>
        <w:pStyle w:val="Normal"/>
        <w:widowControl/>
        <w:ind w:firstLine="708"/>
        <w:jc w:val="both"/>
        <w:rPr>
          <w:sz w:val="24"/>
        </w:rPr>
      </w:pPr>
      <w:r>
        <w:rPr>
          <w:sz w:val="24"/>
        </w:rPr>
        <w:t xml:space="preserve">Objednatel může od smlouvy též odstoupit i před dokončením prací, zjistí-li, že prováděné práce i přes písemné upozornění jsou nekvalitní nebo dochází k podstatnému prodlení při provádění prací. V takovém případě je objednatel povinen zaplatit pouze práce skutečně vykonané a spotřebovaný materiál. </w:t>
      </w:r>
    </w:p>
    <w:p>
      <w:pPr>
        <w:pStyle w:val="Normal"/>
        <w:widowControl/>
        <w:jc w:val="both"/>
        <w:rPr>
          <w:sz w:val="24"/>
        </w:rPr>
      </w:pPr>
      <w:r>
        <w:rPr>
          <w:sz w:val="24"/>
        </w:rPr>
        <w:t>Objednatel je povinen převzít a zaplatit dokončené práce do doby odstoupení.</w:t>
      </w:r>
    </w:p>
    <w:p>
      <w:pPr>
        <w:pStyle w:val="Normal"/>
        <w:widowControl/>
        <w:jc w:val="both"/>
        <w:rPr>
          <w:sz w:val="24"/>
        </w:rPr>
      </w:pPr>
      <w:r>
        <w:rPr>
          <w:sz w:val="24"/>
        </w:rPr>
      </w:r>
    </w:p>
    <w:p>
      <w:pPr>
        <w:pStyle w:val="Normal"/>
        <w:widowControl/>
        <w:jc w:val="both"/>
        <w:rPr>
          <w:sz w:val="24"/>
        </w:rPr>
      </w:pPr>
      <w:r>
        <w:rPr>
          <w:sz w:val="24"/>
        </w:rPr>
      </w:r>
    </w:p>
    <w:p>
      <w:pPr>
        <w:pStyle w:val="Normal"/>
        <w:widowControl/>
        <w:numPr>
          <w:ilvl w:val="0"/>
          <w:numId w:val="1"/>
        </w:numPr>
        <w:jc w:val="both"/>
        <w:rPr>
          <w:b/>
          <w:b/>
          <w:sz w:val="24"/>
          <w:u w:val="single"/>
        </w:rPr>
      </w:pPr>
      <w:r>
        <w:rPr>
          <w:b/>
          <w:sz w:val="24"/>
          <w:u w:val="single"/>
        </w:rPr>
        <w:t>ZÁVĚREČNÁ USTANOVENÍ</w:t>
      </w:r>
    </w:p>
    <w:p>
      <w:pPr>
        <w:pStyle w:val="Normal"/>
        <w:widowControl/>
        <w:ind w:left="720" w:hanging="0"/>
        <w:jc w:val="both"/>
        <w:rPr>
          <w:b/>
          <w:b/>
          <w:sz w:val="24"/>
          <w:u w:val="single"/>
        </w:rPr>
      </w:pPr>
      <w:r>
        <w:rPr>
          <w:b/>
          <w:sz w:val="24"/>
          <w:u w:val="single"/>
        </w:rPr>
      </w:r>
    </w:p>
    <w:p>
      <w:pPr>
        <w:pStyle w:val="Normal"/>
        <w:widowControl/>
        <w:ind w:firstLine="720"/>
        <w:jc w:val="both"/>
        <w:rPr>
          <w:bCs/>
          <w:sz w:val="24"/>
        </w:rPr>
      </w:pPr>
      <w:r>
        <w:rPr>
          <w:bCs/>
          <w:sz w:val="24"/>
        </w:rPr>
        <w:t>Objednatel poskytne zhotoviteli vodu, el.proud a skladovací prostory pro potřeby stavby bezplatně.</w:t>
      </w:r>
    </w:p>
    <w:p>
      <w:pPr>
        <w:pStyle w:val="Normal"/>
        <w:widowControl/>
        <w:ind w:firstLine="708"/>
        <w:jc w:val="both"/>
        <w:rPr>
          <w:sz w:val="24"/>
        </w:rPr>
      </w:pPr>
      <w:r>
        <w:rPr>
          <w:sz w:val="24"/>
        </w:rPr>
        <w:t>Smluvní strany shodně prohlašují, že došlo k dohodě v celém rozsahu smlouvy.</w:t>
      </w:r>
    </w:p>
    <w:p>
      <w:pPr>
        <w:pStyle w:val="Normal"/>
        <w:widowControl/>
        <w:ind w:firstLine="708"/>
        <w:jc w:val="both"/>
        <w:rPr>
          <w:sz w:val="24"/>
        </w:rPr>
      </w:pPr>
      <w:r>
        <w:rPr>
          <w:sz w:val="24"/>
        </w:rPr>
        <w:t xml:space="preserve">Tuto smlouvu lze měnit pouze písemnými dodatky, označenými jako dodatek ke smlouvě o dílo a potvrzené oběma smluvními stranami, s výjimkou změn smlouvy upravených přímo touto smlouvou </w:t>
      </w:r>
    </w:p>
    <w:p>
      <w:pPr>
        <w:pStyle w:val="Normal"/>
        <w:widowControl/>
        <w:jc w:val="both"/>
        <w:rPr>
          <w:sz w:val="24"/>
        </w:rPr>
      </w:pPr>
      <w:r>
        <w:rPr>
          <w:sz w:val="24"/>
        </w:rPr>
        <w:t>( zejména vícepráce).</w:t>
      </w:r>
    </w:p>
    <w:p>
      <w:pPr>
        <w:pStyle w:val="Normal"/>
        <w:widowControl/>
        <w:ind w:firstLine="708"/>
        <w:jc w:val="both"/>
        <w:rPr>
          <w:sz w:val="24"/>
        </w:rPr>
      </w:pPr>
      <w:r>
        <w:rPr>
          <w:sz w:val="24"/>
        </w:rPr>
        <w:t>Tato smlouva je sepsána ve dvou vyhotoveních a obě mají platnost originálu.</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 xml:space="preserve">V Sedlčanech dne 28.7.2017.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Za objednatele :</w:t>
        <w:tab/>
        <w:tab/>
        <w:tab/>
        <w:tab/>
        <w:tab/>
        <w:t>Za zhotovitele :</w:t>
      </w:r>
    </w:p>
    <w:p>
      <w:pPr>
        <w:pStyle w:val="Normal"/>
        <w:widowControl/>
        <w:rPr>
          <w:sz w:val="28"/>
        </w:rPr>
      </w:pPr>
      <w:r>
        <w:rPr>
          <w:sz w:val="28"/>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i/>
          <w:i/>
          <w:sz w:val="24"/>
          <w:szCs w:val="24"/>
        </w:rPr>
      </w:pPr>
      <w:r>
        <w:rPr>
          <w:i/>
          <w:sz w:val="24"/>
          <w:szCs w:val="24"/>
        </w:rPr>
        <w:t>Jaroslav Nádvorník</w:t>
        <w:tab/>
        <w:tab/>
        <w:tab/>
        <w:tab/>
        <w:tab/>
        <w:t xml:space="preserve"> Jiří Barták</w:t>
      </w:r>
    </w:p>
    <w:p>
      <w:pPr>
        <w:pStyle w:val="Normal"/>
        <w:shd w:val="clear" w:color="auto" w:fill="FFFFFF"/>
        <w:jc w:val="center"/>
        <w:rPr/>
      </w:pPr>
      <w:r>
        <w:rPr/>
      </w:r>
    </w:p>
    <w:sectPr>
      <w:headerReference w:type="default" r:id="rId2"/>
      <w:footerReference w:type="default" r:id="rId3"/>
      <w:type w:val="nextPage"/>
      <w:pgSz w:w="11906" w:h="16838"/>
      <w:pgMar w:left="851" w:right="849" w:header="426" w:top="1673" w:footer="374" w:bottom="1701"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Arial Narro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left" w:pos="142" w:leader="none"/>
        <w:tab w:val="center" w:pos="5670" w:leader="none"/>
        <w:tab w:val="right" w:pos="11057" w:leader="none"/>
      </w:tabs>
      <w:ind w:right="-1" w:hanging="0"/>
      <w:jc w:val="center"/>
      <w:rPr>
        <w:rFonts w:ascii="Arial Narrow" w:hAnsi="Arial Narrow"/>
        <w:color w:val="0000FF"/>
        <w:sz w:val="16"/>
        <w:szCs w:val="16"/>
      </w:rPr>
    </w:pPr>
    <w:r>
      <w:rPr/>
      <w:drawing>
        <wp:inline distT="0" distB="0" distL="19050" distR="3810">
          <wp:extent cx="4530090" cy="457200"/>
          <wp:effectExtent l="0" t="0" r="0" b="0"/>
          <wp:docPr id="4" name="Obrázek 2" descr="Logo ce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descr="Logo celek.jpg"/>
                  <pic:cNvPicPr>
                    <a:picLocks noChangeAspect="1" noChangeArrowheads="1"/>
                  </pic:cNvPicPr>
                </pic:nvPicPr>
                <pic:blipFill>
                  <a:blip r:embed="rId1"/>
                  <a:stretch>
                    <a:fillRect/>
                  </a:stretch>
                </pic:blipFill>
                <pic:spPr bwMode="auto">
                  <a:xfrm>
                    <a:off x="0" y="0"/>
                    <a:ext cx="4530090" cy="457200"/>
                  </a:xfrm>
                  <a:prstGeom prst="rect">
                    <a:avLst/>
                  </a:prstGeom>
                </pic:spPr>
              </pic:pic>
            </a:graphicData>
          </a:graphic>
        </wp:inline>
      </w:drawing>
    </w:r>
  </w:p>
  <w:p>
    <w:pPr>
      <w:pStyle w:val="Zpat"/>
      <w:tabs>
        <w:tab w:val="left" w:pos="142" w:leader="none"/>
        <w:tab w:val="center" w:pos="5103" w:leader="none"/>
        <w:tab w:val="right" w:pos="10206" w:leader="none"/>
      </w:tabs>
      <w:ind w:right="-1" w:hanging="0"/>
      <w:rPr/>
    </w:pPr>
    <w:r>
      <w:rPr/>
      <w:fldChar w:fldCharType="begin"/>
    </w:r>
    <w:r>
      <w:instrText> FILENAME </w:instrText>
    </w:r>
    <w:r>
      <w:fldChar w:fldCharType="separate"/>
    </w:r>
    <w:r>
      <w:t>17054_Odhlučnění jídelny 2.ZŠ Propojení Sedlčany.docx</w:t>
    </w:r>
    <w:r>
      <w:fldChar w:fldCharType="end"/>
    </w:r>
    <w:r>
      <w:rPr>
        <w:rFonts w:ascii="Arial Narrow" w:hAnsi="Arial Narrow"/>
        <w:color w:val="0000FF"/>
        <w:sz w:val="16"/>
        <w:szCs w:val="16"/>
      </w:rPr>
      <w:tab/>
      <w:tab/>
      <w:t xml:space="preserve">Strana </w:t>
    </w:r>
    <w:r>
      <w:rPr>
        <w:rFonts w:ascii="Arial Narrow" w:hAnsi="Arial Narrow"/>
        <w:color w:val="0000FF"/>
        <w:sz w:val="16"/>
        <w:szCs w:val="16"/>
      </w:rPr>
      <w:fldChar w:fldCharType="begin"/>
    </w:r>
    <w:r>
      <w:instrText> PAGE </w:instrText>
    </w:r>
    <w:r>
      <w:fldChar w:fldCharType="separate"/>
    </w:r>
    <w:r>
      <w:t>4</w:t>
    </w:r>
    <w:r>
      <w:fldChar w:fldCharType="end"/>
    </w:r>
    <w:r>
      <w:rPr>
        <w:rFonts w:ascii="Arial Narrow" w:hAnsi="Arial Narrow"/>
        <w:color w:val="0000FF"/>
        <w:sz w:val="16"/>
        <w:szCs w:val="16"/>
      </w:rPr>
      <w:t xml:space="preserve"> (celkem </w:t>
    </w:r>
    <w:r>
      <w:rPr>
        <w:rFonts w:ascii="Arial Narrow" w:hAnsi="Arial Narrow"/>
        <w:color w:val="0000FF"/>
        <w:sz w:val="16"/>
        <w:szCs w:val="16"/>
      </w:rPr>
      <w:fldChar w:fldCharType="begin"/>
    </w:r>
    <w:r>
      <w:instrText> NUMPAGES </w:instrText>
    </w:r>
    <w:r>
      <w:fldChar w:fldCharType="separate"/>
    </w:r>
    <w:r>
      <w:t>4</w:t>
    </w:r>
    <w:r>
      <w:fldChar w:fldCharType="end"/>
    </w:r>
    <w:r>
      <w:rPr>
        <w:rFonts w:ascii="Arial Narrow" w:hAnsi="Arial Narrow"/>
        <w:color w:val="0000FF"/>
        <w:sz w:val="16"/>
        <w:szCs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tabs>
        <w:tab w:val="right" w:pos="10065" w:leader="none"/>
      </w:tabs>
      <w:ind w:left="2552" w:hanging="0"/>
      <w:rPr>
        <w:rFonts w:ascii="Arial Narrow" w:hAnsi="Arial Narrow"/>
      </w:rPr>
    </w:pPr>
    <w:r>
      <mc:AlternateContent>
        <mc:Choice Requires="wps">
          <w:drawing>
            <wp:anchor behindDoc="1" distT="0" distB="0" distL="114300" distR="114300" simplePos="0" locked="0" layoutInCell="1" allowOverlap="1" relativeHeight="5">
              <wp:simplePos x="0" y="0"/>
              <wp:positionH relativeFrom="column">
                <wp:posOffset>213995</wp:posOffset>
              </wp:positionH>
              <wp:positionV relativeFrom="paragraph">
                <wp:posOffset>50800</wp:posOffset>
              </wp:positionV>
              <wp:extent cx="915035" cy="915035"/>
              <wp:effectExtent l="0" t="0" r="0" b="0"/>
              <wp:wrapNone/>
              <wp:docPr id="1" name="Rectangle 11"/>
              <a:graphic xmlns:a="http://schemas.openxmlformats.org/drawingml/2006/main">
                <a:graphicData uri="http://schemas.microsoft.com/office/word/2010/wordprocessingShape">
                  <wps:wsp>
                    <wps:cNvSpPr/>
                    <wps:spPr>
                      <a:xfrm>
                        <a:off x="0" y="0"/>
                        <a:ext cx="914400" cy="914400"/>
                      </a:xfrm>
                      <a:prstGeom prst="rect">
                        <a:avLst/>
                      </a:prstGeom>
                      <a:noFill/>
                      <a:ln>
                        <a:noFill/>
                      </a:ln>
                    </wps:spPr>
                    <wps:style>
                      <a:lnRef idx="0"/>
                      <a:fillRef idx="0"/>
                      <a:effectRef idx="0"/>
                      <a:fontRef idx="minor"/>
                    </wps:style>
                    <wps:bodyPr/>
                  </wps:wsp>
                </a:graphicData>
              </a:graphic>
            </wp:anchor>
          </w:drawing>
        </mc:Choice>
        <mc:Fallback>
          <w:pict>
            <v:rect id="shape_0" ID="Rectangle 11" stroked="f" style="position:absolute;margin-left:16.85pt;margin-top:4pt;width:71.95pt;height:71.95pt">
              <w10:wrap type="none"/>
              <v:fill o:detectmouseclick="t" on="false"/>
              <v:stroke color="#3465a4" joinstyle="round" endcap="flat"/>
            </v:rect>
          </w:pict>
        </mc:Fallback>
      </mc:AlternateContent>
      <w:drawing>
        <wp:anchor behindDoc="1" distT="0" distB="0" distL="114300" distR="114300" simplePos="0" locked="0" layoutInCell="1" allowOverlap="1" relativeHeight="9">
          <wp:simplePos x="0" y="0"/>
          <wp:positionH relativeFrom="column">
            <wp:posOffset>196850</wp:posOffset>
          </wp:positionH>
          <wp:positionV relativeFrom="paragraph">
            <wp:posOffset>-39370</wp:posOffset>
          </wp:positionV>
          <wp:extent cx="1143000" cy="807085"/>
          <wp:effectExtent l="0" t="0" r="0" b="0"/>
          <wp:wrapNone/>
          <wp:docPr id="2" name="obrázek 15" descr="sb-ma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5" descr="sb-malé"/>
                  <pic:cNvPicPr>
                    <a:picLocks noChangeAspect="1" noChangeArrowheads="1"/>
                  </pic:cNvPicPr>
                </pic:nvPicPr>
                <pic:blipFill>
                  <a:blip r:embed="rId1"/>
                  <a:stretch>
                    <a:fillRect/>
                  </a:stretch>
                </pic:blipFill>
                <pic:spPr bwMode="auto">
                  <a:xfrm>
                    <a:off x="0" y="0"/>
                    <a:ext cx="1143000" cy="807085"/>
                  </a:xfrm>
                  <a:prstGeom prst="rect">
                    <a:avLst/>
                  </a:prstGeom>
                </pic:spPr>
              </pic:pic>
            </a:graphicData>
          </a:graphic>
        </wp:anchor>
      </w:drawing>
    </w:r>
    <w:r>
      <w:rPr>
        <w:rFonts w:ascii="Arial Narrow" w:hAnsi="Arial Narrow"/>
        <w:b/>
        <w:color w:val="FF0000"/>
        <w:spacing w:val="20"/>
        <w:sz w:val="48"/>
      </w:rPr>
      <w:t>S-B s.r.o.</w:t>
    </w:r>
    <w:r>
      <w:rPr>
        <w:rFonts w:ascii="Arial Narrow" w:hAnsi="Arial Narrow"/>
      </w:rPr>
      <w:tab/>
    </w:r>
    <w:r>
      <w:rPr>
        <w:rFonts w:ascii="Arial Narrow" w:hAnsi="Arial Narrow"/>
        <w:color w:val="0000FF"/>
        <w:sz w:val="24"/>
      </w:rPr>
      <w:t>IČO : 25652362</w:t>
    </w:r>
    <w:r>
      <mc:AlternateContent>
        <mc:Choice Requires="wps">
          <w:drawing>
            <wp:anchor behindDoc="0" distT="0" distB="0" distL="89535" distR="89535" simplePos="0" locked="0" layoutInCell="1" allowOverlap="1" relativeHeight="13">
              <wp:simplePos x="0" y="0"/>
              <wp:positionH relativeFrom="page">
                <wp:posOffset>1010285</wp:posOffset>
              </wp:positionH>
              <wp:positionV relativeFrom="paragraph">
                <wp:posOffset>101600</wp:posOffset>
              </wp:positionV>
              <wp:extent cx="104775" cy="175260"/>
              <wp:effectExtent l="0" t="0" r="0" b="0"/>
              <wp:wrapSquare wrapText="largest"/>
              <wp:docPr id="3" name="Rámec1"/>
              <a:graphic xmlns:a="http://schemas.openxmlformats.org/drawingml/2006/main">
                <a:graphicData uri="http://schemas.microsoft.com/office/word/2010/wordprocessingShape">
                  <wps:wsp>
                    <wps:cNvSpPr txBox="1"/>
                    <wps:spPr>
                      <a:xfrm>
                        <a:off x="0" y="0"/>
                        <a:ext cx="104775" cy="175260"/>
                      </a:xfrm>
                      <a:prstGeom prst="rect"/>
                      <a:solidFill>
                        <a:srgbClr val="FFFFFF">
                          <a:alpha val="0"/>
                        </a:srgbClr>
                      </a:solidFill>
                    </wps:spPr>
                    <wps:txbx>
                      <w:txbxContent>
                        <w:p>
                          <w:pPr>
                            <w:pStyle w:val="Zhlav"/>
                            <w:pBdr/>
                            <w:tabs>
                              <w:tab w:val="left" w:pos="0" w:leader="none"/>
                              <w:tab w:val="left" w:pos="6946" w:leader="none"/>
                              <w:tab w:val="right" w:pos="9072" w:leader="none"/>
                            </w:tabs>
                            <w:ind w:firstLine="142"/>
                            <w:rPr>
                              <w:rFonts w:ascii="Arial Narrow" w:hAnsi="Arial Narrow"/>
                              <w:b/>
                              <w:b/>
                              <w:color w:val="FF0000"/>
                              <w:sz w:val="24"/>
                            </w:rPr>
                          </w:pPr>
                          <w:r>
                            <w:rPr>
                              <w:rFonts w:ascii="Arial Narrow" w:hAnsi="Arial Narrow"/>
                              <w:b/>
                              <w:color w:val="FF0000"/>
                              <w:sz w:val="24"/>
                            </w:rPr>
                          </w:r>
                        </w:p>
                      </w:txbxContent>
                    </wps:txbx>
                    <wps:bodyPr anchor="t" lIns="0" tIns="0" rIns="0" bIns="0">
                      <a:spAutoFit/>
                    </wps:bodyPr>
                  </wps:wsp>
                </a:graphicData>
              </a:graphic>
            </wp:anchor>
          </w:drawing>
        </mc:Choice>
        <mc:Fallback>
          <w:pict>
            <v:rect fillcolor="#FFFFFF" style="position:absolute;rotation:0;width:8.25pt;height:13.8pt;mso-wrap-distance-left:7.05pt;mso-wrap-distance-right:7.05pt;mso-wrap-distance-top:0pt;mso-wrap-distance-bottom:0pt;margin-top:8pt;mso-position-vertical-relative:text;margin-left:79.55pt;mso-position-horizontal-relative:page">
              <v:fill opacity="0f"/>
              <v:textbox inset="0in,0in,0in,0in">
                <w:txbxContent>
                  <w:p>
                    <w:pPr>
                      <w:pStyle w:val="Zhlav"/>
                      <w:pBdr/>
                      <w:tabs>
                        <w:tab w:val="left" w:pos="0" w:leader="none"/>
                        <w:tab w:val="left" w:pos="6946" w:leader="none"/>
                        <w:tab w:val="right" w:pos="9072" w:leader="none"/>
                      </w:tabs>
                      <w:ind w:firstLine="142"/>
                      <w:rPr>
                        <w:rFonts w:ascii="Arial Narrow" w:hAnsi="Arial Narrow"/>
                        <w:b/>
                        <w:b/>
                        <w:color w:val="FF0000"/>
                        <w:sz w:val="24"/>
                      </w:rPr>
                    </w:pPr>
                    <w:r>
                      <w:rPr>
                        <w:rFonts w:ascii="Arial Narrow" w:hAnsi="Arial Narrow"/>
                        <w:b/>
                        <w:color w:val="FF0000"/>
                        <w:sz w:val="24"/>
                      </w:rPr>
                    </w:r>
                  </w:p>
                </w:txbxContent>
              </v:textbox>
              <w10:wrap type="square" side="largest"/>
            </v:rect>
          </w:pict>
        </mc:Fallback>
      </mc:AlternateContent>
    </w:r>
  </w:p>
  <w:p>
    <w:pPr>
      <w:pStyle w:val="Zhlav"/>
      <w:tabs>
        <w:tab w:val="right" w:pos="10065" w:leader="none"/>
      </w:tabs>
      <w:ind w:left="2552" w:hanging="0"/>
      <w:rPr>
        <w:rFonts w:ascii="Arial Narrow" w:hAnsi="Arial Narrow"/>
        <w:color w:val="0000FF"/>
        <w:sz w:val="24"/>
      </w:rPr>
    </w:pPr>
    <w:r>
      <w:rPr>
        <w:rFonts w:ascii="Arial Narrow" w:hAnsi="Arial Narrow"/>
        <w:b/>
        <w:color w:val="FF0000"/>
        <w:sz w:val="24"/>
      </w:rPr>
      <w:t>PROJEKTY A REALIZACE STAVEB</w:t>
      <w:tab/>
      <w:t>www.s-b.cz</w:t>
    </w:r>
  </w:p>
  <w:p>
    <w:pPr>
      <w:pStyle w:val="Zhlav"/>
      <w:tabs>
        <w:tab w:val="right" w:pos="10065" w:leader="none"/>
      </w:tabs>
      <w:ind w:left="2552" w:hanging="0"/>
      <w:rPr>
        <w:rFonts w:ascii="Arial Narrow" w:hAnsi="Arial Narrow"/>
        <w:color w:val="0000FF"/>
        <w:sz w:val="16"/>
      </w:rPr>
    </w:pPr>
    <w:r>
      <w:rPr>
        <w:rFonts w:ascii="Arial Narrow" w:hAnsi="Arial Narrow"/>
        <w:color w:val="0000FF"/>
        <w:sz w:val="16"/>
      </w:rPr>
      <w:t>Husova 332, Sedlčany</w:t>
      <w:tab/>
      <w:t>tel. 318 820369, tel/fax 318 821907</w:t>
    </w:r>
  </w:p>
  <w:p>
    <w:pPr>
      <w:pStyle w:val="Zhlav"/>
      <w:tabs>
        <w:tab w:val="right" w:pos="10065" w:leader="none"/>
      </w:tabs>
      <w:ind w:left="2552" w:hanging="0"/>
      <w:rPr/>
    </w:pPr>
    <w:r>
      <w:rPr>
        <w:rFonts w:ascii="Arial Narrow" w:hAnsi="Arial Narrow"/>
        <w:color w:val="0000FF"/>
        <w:sz w:val="16"/>
      </w:rPr>
      <w:t>11.3.1998 Kr.obch.soud Praha Spis.zn. C58265</w:t>
      <w:tab/>
    </w:r>
    <w:hyperlink r:id="rId2">
      <w:r>
        <w:rPr>
          <w:rStyle w:val="Internetovodkaz"/>
          <w:rFonts w:ascii="Arial Narrow" w:hAnsi="Arial Narrow"/>
          <w:sz w:val="16"/>
        </w:rPr>
        <w:t>stavba@s-b.cz</w:t>
      </w:r>
    </w:hyperlink>
  </w:p>
  <w:p>
    <w:pPr>
      <w:pStyle w:val="Zhlav"/>
      <w:tabs>
        <w:tab w:val="right" w:pos="9072" w:leader="none"/>
        <w:tab w:val="right" w:pos="10065" w:leader="none"/>
      </w:tabs>
      <w:ind w:left="2552" w:hanging="0"/>
      <w:rPr>
        <w:rFonts w:ascii="Arial Narrow" w:hAnsi="Arial Narrow"/>
        <w:color w:val="0000FF"/>
        <w:sz w:val="16"/>
      </w:rPr>
    </w:pPr>
    <w:r>
      <w:rPr>
        <w:rFonts w:ascii="Arial Narrow" w:hAnsi="Arial Narrow"/>
        <w:color w:val="0000FF"/>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1440"/>
        </w:tabs>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3a97"/>
    <w:pPr>
      <w:widowControl w:val="false"/>
      <w:bidi w:val="0"/>
      <w:jc w:val="left"/>
    </w:pPr>
    <w:rPr>
      <w:rFonts w:ascii="Times New Roman" w:hAnsi="Times New Roman" w:eastAsia="Times New Roman" w:cs="Times New Roman"/>
      <w:color w:val="auto"/>
      <w:sz w:val="20"/>
      <w:szCs w:val="20"/>
      <w:lang w:val="cs-CZ" w:eastAsia="cs-CZ" w:bidi="ar-SA"/>
    </w:rPr>
  </w:style>
  <w:style w:type="paragraph" w:styleId="Nadpis4">
    <w:name w:val="Heading 4"/>
    <w:basedOn w:val="Normal"/>
    <w:qFormat/>
    <w:rsid w:val="00544506"/>
    <w:pPr>
      <w:keepNext/>
      <w:outlineLvl w:val="3"/>
    </w:pPr>
    <w:rPr>
      <w:b/>
      <w:sz w:val="28"/>
      <w:u w:val="single"/>
    </w:rPr>
  </w:style>
  <w:style w:type="paragraph" w:styleId="Nadpis6">
    <w:name w:val="Heading 6"/>
    <w:basedOn w:val="Normal"/>
    <w:qFormat/>
    <w:rsid w:val="00544506"/>
    <w:pPr>
      <w:keepNext/>
      <w:outlineLvl w:val="5"/>
    </w:pPr>
    <w:rPr>
      <w:b/>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44506"/>
    <w:rPr/>
  </w:style>
  <w:style w:type="character" w:styleId="Internetovodkaz">
    <w:name w:val="Internetový odkaz"/>
    <w:basedOn w:val="DefaultParagraphFont"/>
    <w:rsid w:val="00544506"/>
    <w:rPr>
      <w:color w:val="0000FF"/>
      <w:u w:val="single"/>
    </w:rPr>
  </w:style>
  <w:style w:type="character" w:styleId="TextbublinyChar" w:customStyle="1">
    <w:name w:val="Text bubliny Char"/>
    <w:basedOn w:val="DefaultParagraphFont"/>
    <w:link w:val="Textbubliny"/>
    <w:uiPriority w:val="99"/>
    <w:semiHidden/>
    <w:qFormat/>
    <w:rsid w:val="004a4ae3"/>
    <w:rPr>
      <w:rFonts w:ascii="Tahoma" w:hAnsi="Tahoma" w:cs="Tahoma"/>
      <w:sz w:val="16"/>
      <w:szCs w:val="16"/>
    </w:rPr>
  </w:style>
  <w:style w:type="character" w:styleId="ListLabel1">
    <w:name w:val="ListLabel 1"/>
    <w:qFormat/>
    <w:rPr>
      <w:b w:val="false"/>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rsid w:val="00544506"/>
    <w:pPr>
      <w:jc w:val="both"/>
    </w:pPr>
    <w:rPr>
      <w:sz w:val="28"/>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hlav">
    <w:name w:val="Header"/>
    <w:basedOn w:val="Normal"/>
    <w:rsid w:val="00544506"/>
    <w:pPr>
      <w:tabs>
        <w:tab w:val="center" w:pos="4536" w:leader="none"/>
        <w:tab w:val="right" w:pos="9072" w:leader="none"/>
      </w:tabs>
    </w:pPr>
    <w:rPr/>
  </w:style>
  <w:style w:type="paragraph" w:styleId="Zpat">
    <w:name w:val="Footer"/>
    <w:basedOn w:val="Normal"/>
    <w:rsid w:val="00544506"/>
    <w:pPr>
      <w:tabs>
        <w:tab w:val="center" w:pos="4536" w:leader="none"/>
        <w:tab w:val="right" w:pos="9072" w:leader="none"/>
      </w:tabs>
    </w:pPr>
    <w:rPr/>
  </w:style>
  <w:style w:type="paragraph" w:styleId="BodyText2">
    <w:name w:val="Body Text 2"/>
    <w:basedOn w:val="Normal"/>
    <w:qFormat/>
    <w:rsid w:val="0053458b"/>
    <w:pPr>
      <w:spacing w:lineRule="auto" w:line="480" w:before="0" w:after="120"/>
    </w:pPr>
    <w:rPr/>
  </w:style>
  <w:style w:type="paragraph" w:styleId="BalloonText">
    <w:name w:val="Balloon Text"/>
    <w:basedOn w:val="Normal"/>
    <w:link w:val="TextbublinyChar"/>
    <w:uiPriority w:val="99"/>
    <w:semiHidden/>
    <w:unhideWhenUsed/>
    <w:qFormat/>
    <w:rsid w:val="004a4ae3"/>
    <w:pPr/>
    <w:rPr>
      <w:rFonts w:ascii="Tahoma" w:hAnsi="Tahoma" w:cs="Tahoma"/>
      <w:sz w:val="16"/>
      <w:szCs w:val="16"/>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stavba@s-b.cz"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B0954-43F2-4B0F-8761-727F665C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Template>
  <TotalTime>1</TotalTime>
  <Application>LibreOffice/5.2.2.2$Windows_x86 LibreOffice_project/8f96e87c890bf8fa77463cd4b640a2312823f3ad</Application>
  <Pages>5</Pages>
  <Words>1212</Words>
  <Characters>7032</Characters>
  <CharactersWithSpaces>8186</CharactersWithSpaces>
  <Paragraphs>88</Paragraphs>
  <Company>S-B s.r.o.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2017-08-14T09:31:00Z</dcterms:created>
  <dc:creator>Master</dc:creator>
  <dc:description/>
  <dc:language>cs-CZ</dc:language>
  <cp:lastModifiedBy>Jan Pilík</cp:lastModifiedBy>
  <cp:lastPrinted>2017-07-11T12:52:00Z</cp:lastPrinted>
  <dcterms:modified xsi:type="dcterms:W3CDTF">2017-08-14T09:31:00Z</dcterms:modified>
  <cp:revision>2</cp:revision>
  <dc:subject>korespondence</dc:subject>
  <dc:title>Hlavičkový list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S-B s.r.o.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Ing. Jiří Barták</vt:lpwstr>
  </property>
  <property fmtid="{D5CDD505-2E9C-101B-9397-08002B2CF9AE}" pid="8" name="ScaleCrop">
    <vt:bool>0</vt:bool>
  </property>
  <property fmtid="{D5CDD505-2E9C-101B-9397-08002B2CF9AE}" pid="9" name="ShareDoc">
    <vt:bool>0</vt:bool>
  </property>
</Properties>
</file>