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framePr w:w="10613" w:h="12782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6739255" cy="811657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739255" cy="81165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5660390" simplePos="0" relativeHeight="125829378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2353310</wp:posOffset>
                </wp:positionV>
                <wp:extent cx="1078865" cy="207010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78865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PROSINEC 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8.100000000000001pt;margin-top:185.30000000000001pt;width:84.950000000000003pt;height:16.300000000000001pt;z-index:-125829375;mso-wrap-distance-left:0;mso-wrap-distance-right:445.69999999999999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PROSINEC 2024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559550" simplePos="0" relativeHeight="125829380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4309745</wp:posOffset>
                </wp:positionV>
                <wp:extent cx="179705" cy="128270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70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cs-CZ" w:eastAsia="cs-CZ" w:bidi="cs-CZ"/>
                              </w:rPr>
                              <w:t>i ť *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65.44999999999999pt;margin-top:339.35000000000002pt;width:14.15pt;height:10.1pt;z-index:-125829373;mso-wrap-distance-left:0;mso-wrap-distance-right:516.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i ť *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1978025" simplePos="0" relativeHeight="125829382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514985</wp:posOffset>
                </wp:positionV>
                <wp:extent cx="4761230" cy="877570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61230" cy="877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 w:line="240" w:lineRule="auto"/>
                              <w:ind w:left="0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cs-CZ" w:eastAsia="cs-CZ" w:bidi="cs-CZ"/>
                              </w:rPr>
                              <w:t xml:space="preserve">VD NECHRÁNÍCE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cs-CZ" w:eastAsia="cs-CZ" w:bidi="cs-CZ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cs-CZ" w:eastAsia="cs-CZ" w:bidi="cs-CZ"/>
                              </w:rPr>
                              <w:t>OÁZA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NABÍDKA NA ZPRACOVÁNÍ STUDIE ABRAZE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7.350000000000001pt;margin-top:40.550000000000004pt;width:374.90000000000003pt;height:69.100000000000009pt;z-index:-125829371;mso-wrap-distance-left:0;mso-wrap-distance-right:155.7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240" w:lineRule="auto"/>
                        <w:ind w:left="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cs-CZ" w:eastAsia="cs-CZ" w:bidi="cs-CZ"/>
                        </w:rPr>
                        <w:t xml:space="preserve">VD NECHRÁNÍCE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cs-CZ" w:eastAsia="cs-CZ" w:bidi="cs-CZ"/>
                        </w:rPr>
                        <w:t xml:space="preserve">-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cs-CZ" w:eastAsia="cs-CZ" w:bidi="cs-CZ"/>
                        </w:rPr>
                        <w:t>OÁZA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NABÍDKA NA ZPRACOVÁNÍ STUDIE ABRAZE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486525" simplePos="0" relativeHeight="125829384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5480050</wp:posOffset>
                </wp:positionV>
                <wp:extent cx="252730" cy="267970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2730" cy="267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&lt; 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458.90000000000003pt;margin-top:431.5pt;width:19.900000000000002pt;height:21.100000000000001pt;z-index:-125829369;mso-wrap-distance-left:0;mso-wrap-distance-right:510.7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&lt; »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Obsah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0" w:val="left"/>
          <w:tab w:leader="dot" w:pos="9610" w:val="right"/>
        </w:tabs>
        <w:bidi w:val="0"/>
        <w:spacing w:before="0" w:line="240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bookmarkStart w:id="0" w:name="bookmark0"/>
      <w:bookmarkEnd w:id="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Identifikační údaje o dodavateli </w:t>
        <w:tab/>
        <w:t xml:space="preserve"> 3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0" w:val="left"/>
          <w:tab w:leader="dot" w:pos="9610" w:val="right"/>
        </w:tabs>
        <w:bidi w:val="0"/>
        <w:spacing w:before="0" w:line="240" w:lineRule="auto"/>
        <w:ind w:left="0" w:right="0" w:firstLine="0"/>
        <w:jc w:val="left"/>
      </w:pPr>
      <w:bookmarkStart w:id="1" w:name="bookmark1"/>
      <w:bookmarkEnd w:id="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Hlavní cíl studie </w:t>
        <w:tab/>
        <w:t xml:space="preserve"> 4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0" w:val="left"/>
          <w:tab w:leader="dot" w:pos="9610" w:val="right"/>
        </w:tabs>
        <w:bidi w:val="0"/>
        <w:spacing w:before="0" w:line="240" w:lineRule="auto"/>
        <w:ind w:left="0" w:right="0" w:firstLine="0"/>
        <w:jc w:val="left"/>
      </w:pPr>
      <w:hyperlink w:anchor="bookmark11" w:tooltip="Current Document">
        <w:bookmarkStart w:id="2" w:name="bookmark2"/>
        <w:bookmarkEnd w:id="2"/>
        <w:r>
          <w:rPr>
            <w:spacing w:val="0"/>
            <w:w w:val="100"/>
            <w:position w:val="0"/>
            <w:shd w:val="clear" w:color="auto" w:fill="auto"/>
            <w:lang w:val="cs-CZ" w:eastAsia="cs-CZ" w:bidi="cs-CZ"/>
          </w:rPr>
          <w:t xml:space="preserve">Specifikace rozsahu nabízených prací </w:t>
          <w:tab/>
          <w:t xml:space="preserve"> 4</w:t>
        </w:r>
      </w:hyperlink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0" w:val="left"/>
          <w:tab w:leader="dot" w:pos="9610" w:val="right"/>
        </w:tabs>
        <w:bidi w:val="0"/>
        <w:spacing w:before="0" w:line="240" w:lineRule="auto"/>
        <w:ind w:left="0" w:right="0" w:firstLine="0"/>
        <w:jc w:val="left"/>
      </w:pPr>
      <w:hyperlink w:anchor="bookmark15" w:tooltip="Current Document">
        <w:bookmarkStart w:id="3" w:name="bookmark3"/>
        <w:bookmarkEnd w:id="3"/>
        <w:r>
          <w:rPr>
            <w:spacing w:val="0"/>
            <w:w w:val="100"/>
            <w:position w:val="0"/>
            <w:shd w:val="clear" w:color="auto" w:fill="auto"/>
            <w:lang w:val="cs-CZ" w:eastAsia="cs-CZ" w:bidi="cs-CZ"/>
          </w:rPr>
          <w:t xml:space="preserve">Předpokládaná součinnost </w:t>
          <w:tab/>
          <w:t xml:space="preserve"> 5</w:t>
        </w:r>
      </w:hyperlink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0" w:val="left"/>
          <w:tab w:leader="dot" w:pos="9610" w:val="right"/>
        </w:tabs>
        <w:bidi w:val="0"/>
        <w:spacing w:before="0" w:line="240" w:lineRule="auto"/>
        <w:ind w:left="0" w:right="0" w:firstLine="0"/>
        <w:jc w:val="left"/>
      </w:pPr>
      <w:hyperlink w:anchor="bookmark19" w:tooltip="Current Document">
        <w:bookmarkStart w:id="4" w:name="bookmark4"/>
        <w:bookmarkEnd w:id="4"/>
        <w:r>
          <w:rPr>
            <w:spacing w:val="0"/>
            <w:w w:val="100"/>
            <w:position w:val="0"/>
            <w:shd w:val="clear" w:color="auto" w:fill="auto"/>
            <w:lang w:val="cs-CZ" w:eastAsia="cs-CZ" w:bidi="cs-CZ"/>
          </w:rPr>
          <w:t xml:space="preserve">Nabídková cena prací </w:t>
          <w:tab/>
          <w:t xml:space="preserve"> 5</w:t>
        </w:r>
      </w:hyperlink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0" w:val="left"/>
          <w:tab w:leader="dot" w:pos="9610" w:val="right"/>
        </w:tabs>
        <w:bidi w:val="0"/>
        <w:spacing w:before="0" w:line="240" w:lineRule="auto"/>
        <w:ind w:left="0" w:right="0" w:firstLine="0"/>
        <w:jc w:val="left"/>
      </w:pPr>
      <w:hyperlink w:anchor="bookmark23" w:tooltip="Current Document">
        <w:bookmarkStart w:id="5" w:name="bookmark5"/>
        <w:bookmarkEnd w:id="5"/>
        <w:r>
          <w:rPr>
            <w:spacing w:val="0"/>
            <w:w w:val="100"/>
            <w:position w:val="0"/>
            <w:shd w:val="clear" w:color="auto" w:fill="auto"/>
            <w:lang w:val="cs-CZ" w:eastAsia="cs-CZ" w:bidi="cs-CZ"/>
          </w:rPr>
          <w:t xml:space="preserve">Termíny </w:t>
          <w:tab/>
          <w:t xml:space="preserve"> 5</w:t>
        </w:r>
      </w:hyperlink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0" w:val="left"/>
          <w:tab w:leader="dot" w:pos="9610" w:val="right"/>
        </w:tabs>
        <w:bidi w:val="0"/>
        <w:spacing w:before="0" w:line="240" w:lineRule="auto"/>
        <w:ind w:left="0" w:right="0" w:firstLine="0"/>
        <w:jc w:val="left"/>
      </w:pPr>
      <w:hyperlink w:anchor="bookmark27" w:tooltip="Current Document">
        <w:bookmarkStart w:id="6" w:name="bookmark6"/>
        <w:bookmarkEnd w:id="6"/>
        <w:r>
          <w:rPr>
            <w:spacing w:val="0"/>
            <w:w w:val="100"/>
            <w:position w:val="0"/>
            <w:shd w:val="clear" w:color="auto" w:fill="auto"/>
            <w:lang w:val="cs-CZ" w:eastAsia="cs-CZ" w:bidi="cs-CZ"/>
          </w:rPr>
          <w:t xml:space="preserve">Forma odevzdání </w:t>
          <w:tab/>
          <w:t xml:space="preserve"> 5</w:t>
        </w:r>
      </w:hyperlink>
      <w:r>
        <w:fldChar w:fldCharType="end"/>
      </w:r>
    </w:p>
    <w:p>
      <w:pPr>
        <w:pStyle w:val="Style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0" w:val="left"/>
          <w:tab w:pos="9456" w:val="left"/>
        </w:tabs>
        <w:bidi w:val="0"/>
        <w:spacing w:before="0" w:after="0" w:line="240" w:lineRule="auto"/>
        <w:ind w:left="0" w:right="0" w:firstLine="0"/>
        <w:jc w:val="left"/>
      </w:pPr>
      <w:bookmarkStart w:id="7" w:name="bookmark7"/>
      <w:bookmarkEnd w:id="7"/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Platnost nabídky </w:t>
      </w:r>
      <w:r>
        <w:rPr>
          <w:b/>
          <w:bCs/>
          <w:u w:val="single"/>
        </w:rPr>
        <w:t xml:space="preserve"> </w:t>
        <w:tab/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22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52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Příloha č. 1: Položkový rozpočet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Tato nabídka obsahuje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4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listy číslované nepřerušenou vzestupnou číselnou řadou 2-5 a dva nečíslované listy (titulní list + příloha).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" w:name="bookmark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1 IDENTIFIKAČNÍ ÚDAJE O DODAVATELI</w:t>
      </w:r>
      <w:bookmarkEnd w:id="8"/>
    </w:p>
    <w:tbl>
      <w:tblPr>
        <w:tblOverlap w:val="never"/>
        <w:jc w:val="center"/>
        <w:tblLayout w:type="fixed"/>
      </w:tblPr>
      <w:tblGrid>
        <w:gridCol w:w="3274"/>
        <w:gridCol w:w="6384"/>
      </w:tblGrid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společnosti: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SG Geotechnika a.s.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 / DIČ: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41192168 / CZ41192168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Právní forma společnosti: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Akciová společnost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Geologická 988/4, Hlubočepy, 152 00 Praha 5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Telefon: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ID datové schránky: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a8ycvje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Internet: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  <w:rPr>
                <w:sz w:val="20"/>
                <w:szCs w:val="20"/>
              </w:rPr>
            </w:pPr>
            <w:r>
              <w:fldChar w:fldCharType="begin"/>
            </w:r>
            <w:r>
              <w:rPr/>
              <w:instrText> HYPERLINK "http://www.geotechnika.cz" </w:instrText>
            </w:r>
            <w:r>
              <w:fldChar w:fldCharType="separate"/>
            </w:r>
            <w:r>
              <w:rPr>
                <w:b/>
                <w:bCs/>
                <w:color w:val="00A9E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www.geotechnika.cz</w:t>
            </w:r>
            <w:r>
              <w:fldChar w:fldCharType="end"/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Podrobnosti registrace: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16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Obchodní rejstřík, vedený Městským soudem v Praze, oddíl B, vložka 992, den zápisu 24. října 1991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jc w:val="center"/>
        <w:tblLayout w:type="fixed"/>
      </w:tblPr>
      <w:tblGrid>
        <w:gridCol w:w="3274"/>
        <w:gridCol w:w="6384"/>
      </w:tblGrid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Číslo účtu: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16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Statutární orgán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(představenstvo):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, </w:t>
            </w: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předseda představenstva</w:t>
            </w:r>
          </w:p>
        </w:tc>
      </w:tr>
      <w:tr>
        <w:trPr>
          <w:trHeight w:val="52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, </w:t>
            </w: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člen představenstva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6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Osoba oprávněná ve věci nabídky a ve věcech technických: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, vedoucí pracoviště inženýrské geologie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Kontaktní spojení (mobil, e-mail):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" w:name="bookmark9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2 HLAVNÍ CÍL STUDIE</w:t>
      </w:r>
      <w:bookmarkEnd w:id="9"/>
    </w:p>
    <w:p>
      <w:pPr>
        <w:widowControl w:val="0"/>
        <w:spacing w:after="419" w:line="1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line="31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Hlavní cílem nabízené studie je podrobné zhodnocení abrazní činnosti na levém břehu VD Nechranice v lokalitě Oáza, resp. v úseku od levobřežního zavázání hráze po Čachovickou zátoku. Od doby vybudování vodního díla dochází v tomto úseku břehu k rozsáhlé abrazní činnosti i ke svahovým deformacím. V současné době je břeh tvořen z velké části strmými abrazními sruby, které jsou jen dočasně stabilní a průběžně u nich dochází k opadávání ze stěn, k řícení větších horninových bloků a místy i k sesouvání.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60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Výstupem z nabízené studie by měla být hrubá predikce rychlosti postupu abrazní hrany v budoucích letech, definování hlavních rizik a ideový návrh možných technických opatření pro definitivní stabilizaci břehové linie a přilehlých svahů.</w:t>
      </w:r>
    </w:p>
    <w:p>
      <w:pPr>
        <w:pStyle w:val="Style30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18" w:val="left"/>
        </w:tabs>
        <w:bidi w:val="0"/>
        <w:spacing w:before="0" w:line="240" w:lineRule="auto"/>
        <w:ind w:left="0" w:right="0" w:firstLine="0"/>
        <w:jc w:val="left"/>
      </w:pPr>
      <w:bookmarkStart w:id="10" w:name="bookmark10"/>
      <w:bookmarkStart w:id="11" w:name="bookmark11"/>
      <w:bookmarkStart w:id="12" w:name="bookmark12"/>
      <w:bookmarkStart w:id="13" w:name="bookmark13"/>
      <w:bookmarkEnd w:id="1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SPECIFIKACE ROZSAHU NABÍZENÝCH PRACÍ</w:t>
      </w:r>
      <w:bookmarkEnd w:id="10"/>
      <w:bookmarkEnd w:id="11"/>
      <w:bookmarkEnd w:id="13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 rámci nabízených prací bude zpracována podrobná archivní rešerše zaměřená na historická data o měření deformací po vybudování nádrže. Deformace břehu byly předmětem podrobného studia včetně měření monitoringu, která prováděl nejprve národní podnik Stavební geologie a posléze Geologický ústav ČSAV. V rámci studie budou shromážděny a prostudovány dostupné archivní podklady včetně výsledků měření geotechnického monitoringu. Bude-li to možné, budou jednotlivé měřící profily a body zasazeny do stávající situace a naměřená data využita ke zpřesnění interpretace rychlosti postupu deformací na březích.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Studie se bude věnovat i zhodnocení vlivu jednotlivých faktorů na postup abraze jako jsou výška hladiny vody v nádrži, rychlost větru, teplota a srážkové úhrny.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 vyhodnocení dostupných dat bude zpracována hrubá predikce postupu abrazní hrany v následujících 30-50 letech. Ve 2 vybraných charakteristických (a co možná nejméně příznivých) profilech budou z archivních podkladů zkonstruovány inženýrskogeologické řezy a v nich budou prováděny numerické výpočty pro zhodnocení stability postupujícího abrazního srubu včetně rizika vzniku rozsáhlejších svahových deformací.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 výsledků prací bude podle okrajových podmínek, které budou diskutovány se zadavatelem v průběhu zpracování studie, navržena linie, za níž by již bylo vhodné realizovat opatření k zastavení postupu abraze.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9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Studie představí ideové návrhy technického řešení pro stabilizaci abrazní hrany a přilehlých svahů, včetně hrubého odhadu nákladů na taková opatření.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24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Pracovní výsledky prací budou průběžně diskutovány s objednatelem a konečná verze studie bude prezentována na kontrolním dnu v sídle objednatele.</w:t>
      </w:r>
    </w:p>
    <w:p>
      <w:pPr>
        <w:pStyle w:val="Style30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line="240" w:lineRule="auto"/>
        <w:ind w:left="0" w:right="0" w:firstLine="0"/>
        <w:jc w:val="left"/>
      </w:pPr>
      <w:bookmarkStart w:id="14" w:name="bookmark14"/>
      <w:bookmarkStart w:id="15" w:name="bookmark15"/>
      <w:bookmarkStart w:id="16" w:name="bookmark16"/>
      <w:bookmarkStart w:id="17" w:name="bookmark17"/>
      <w:bookmarkEnd w:id="16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PŘEDPOKLÁDANÁ SOUČINNOST</w:t>
      </w:r>
      <w:bookmarkEnd w:id="14"/>
      <w:bookmarkEnd w:id="15"/>
      <w:bookmarkEnd w:id="17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60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Nabídka počítá se součinností objednatele při zajišťování dostupných archivních dat o úrovni vody v nádrži, měření rychlosti větru, teploty i srážkových úhrnech na lokalitě. Objednatel zároveň poskytne veškeré dostupné podklady ve vztahu k řešené problematice, které má k dispozici.</w:t>
      </w:r>
    </w:p>
    <w:p>
      <w:pPr>
        <w:pStyle w:val="Style30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bookmarkStart w:id="21" w:name="bookmark21"/>
      <w:bookmarkEnd w:id="2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NABÍDKOVÁ CENA PRACÍ</w:t>
      </w:r>
      <w:bookmarkEnd w:id="18"/>
      <w:bookmarkEnd w:id="19"/>
      <w:bookmarkEnd w:id="21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Celková cena za zpracování studie: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498.500,- Kč bez DPH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Podrobný položkový rozpočet je v příloze č. 1.</w:t>
      </w:r>
    </w:p>
    <w:p>
      <w:pPr>
        <w:pStyle w:val="Style30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line="240" w:lineRule="auto"/>
        <w:ind w:left="0" w:right="0" w:firstLine="0"/>
        <w:jc w:val="left"/>
      </w:pPr>
      <w:bookmarkStart w:id="22" w:name="bookmark22"/>
      <w:bookmarkStart w:id="23" w:name="bookmark23"/>
      <w:bookmarkStart w:id="24" w:name="bookmark24"/>
      <w:bookmarkStart w:id="25" w:name="bookmark25"/>
      <w:bookmarkEnd w:id="24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TERMÍNY</w:t>
      </w:r>
      <w:bookmarkEnd w:id="22"/>
      <w:bookmarkEnd w:id="23"/>
      <w:bookmarkEnd w:id="25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60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Práce jsme schopni zahájit do 4 týdnů od obdržení závazné objednávky a ukončit odevzdáním zpracované studie do 6 měsíců od zahájení prací. Termíny jsou k jednání.</w:t>
      </w:r>
    </w:p>
    <w:p>
      <w:pPr>
        <w:pStyle w:val="Style30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line="240" w:lineRule="auto"/>
        <w:ind w:left="0" w:right="0" w:firstLine="0"/>
        <w:jc w:val="left"/>
      </w:pPr>
      <w:bookmarkStart w:id="26" w:name="bookmark26"/>
      <w:bookmarkStart w:id="27" w:name="bookmark27"/>
      <w:bookmarkStart w:id="28" w:name="bookmark28"/>
      <w:bookmarkStart w:id="29" w:name="bookmark29"/>
      <w:bookmarkEnd w:id="2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FORMA ODEVZDÁNÍ</w:t>
      </w:r>
      <w:bookmarkEnd w:id="26"/>
      <w:bookmarkEnd w:id="27"/>
      <w:bookmarkEnd w:id="29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60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Studie bude odevzdána ve 2 paré v tištěné podobě a elektronicky ve formátu PDF, grafické přílohy v otevřeném formátu DWG.</w:t>
      </w:r>
    </w:p>
    <w:p>
      <w:pPr>
        <w:pStyle w:val="Style30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bookmarkStart w:id="33" w:name="bookmark33"/>
      <w:bookmarkEnd w:id="3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PLATNOST NABÍDKY</w:t>
      </w:r>
      <w:bookmarkEnd w:id="30"/>
      <w:bookmarkEnd w:id="31"/>
      <w:bookmarkEnd w:id="33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3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Nabídka je platná do 30.6.2025.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  <w:sectPr>
          <w:headerReference w:type="default" r:id="rId7"/>
          <w:footerReference w:type="default" r:id="rId8"/>
          <w:headerReference w:type="even" r:id="rId9"/>
          <w:footerReference w:type="even" r:id="rId10"/>
          <w:headerReference w:type="first" r:id="rId11"/>
          <w:footerReference w:type="first" r:id="rId12"/>
          <w:footnotePr>
            <w:pos w:val="pageBottom"/>
            <w:numFmt w:val="decimal"/>
            <w:numRestart w:val="continuous"/>
          </w:footnotePr>
          <w:pgSz w:w="11909" w:h="16838"/>
          <w:pgMar w:top="1351" w:left="626" w:right="670" w:bottom="1054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Zpracoval: , </w:t>
      </w:r>
      <w:r>
        <w:rPr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vedoucí pracoviště inženýrské geologie </w:t>
      </w:r>
      <w:r>
        <w:rPr>
          <w:rStyle w:val="CharStyle21"/>
        </w:rPr>
        <w:t>SG Geotechnika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114300" distL="114300" distR="114300" simplePos="0" relativeHeight="125829386" behindDoc="0" locked="0" layoutInCell="1" allowOverlap="1">
                <wp:simplePos x="0" y="0"/>
                <wp:positionH relativeFrom="page">
                  <wp:posOffset>6170295</wp:posOffset>
                </wp:positionH>
                <wp:positionV relativeFrom="paragraph">
                  <wp:posOffset>12700</wp:posOffset>
                </wp:positionV>
                <wp:extent cx="542290" cy="191770"/>
                <wp:wrapTopAndBottom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229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Příloha 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485.85000000000002pt;margin-top:1.pt;width:42.700000000000003pt;height:15.1pt;z-index:-125829367;mso-wrap-distance-left:9.pt;mso-wrap-distance-right:9.pt;mso-wrap-distance-bottom:9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Příloha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3670935</wp:posOffset>
                </wp:positionH>
                <wp:positionV relativeFrom="paragraph">
                  <wp:posOffset>7589520</wp:posOffset>
                </wp:positionV>
                <wp:extent cx="213360" cy="210185"/>
                <wp:wrapSquare wrapText="left"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336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1/1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289.05000000000001pt;margin-top:597.60000000000002pt;width:16.800000000000001pt;height:16.550000000000001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1/1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margin">
              <wp:posOffset>3477895</wp:posOffset>
            </wp:positionH>
            <wp:positionV relativeFrom="margin">
              <wp:posOffset>-332740</wp:posOffset>
            </wp:positionV>
            <wp:extent cx="2560320" cy="292735"/>
            <wp:wrapNone/>
            <wp:docPr id="24" name="Shap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560320" cy="2927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2563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Obchodní případ:</w:t>
        <w:tab/>
        <w:t>Nechranice VD - Oáza - studie abraze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2563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Zadavatel:</w:t>
        <w:tab/>
        <w:t>Povodí Ohře, Závod Chomutov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Kontaktní osoby zadavatele: - ředitel Závodu Chomutov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Položkový rozpočet na zpracování studie postupu abraze na</w:t>
        <w:br/>
        <w:t>lokalitě Oáza na VD Nechranice</w:t>
      </w:r>
    </w:p>
    <w:tbl>
      <w:tblPr>
        <w:tblOverlap w:val="never"/>
        <w:jc w:val="center"/>
        <w:tblLayout w:type="fixed"/>
      </w:tblPr>
      <w:tblGrid>
        <w:gridCol w:w="950"/>
        <w:gridCol w:w="4478"/>
        <w:gridCol w:w="758"/>
        <w:gridCol w:w="1008"/>
        <w:gridCol w:w="835"/>
        <w:gridCol w:w="1550"/>
      </w:tblGrid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číslo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druh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mj.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cena/mj.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počet mj.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celkem Kč</w:t>
            </w:r>
          </w:p>
        </w:tc>
      </w:tr>
      <w:tr>
        <w:trPr>
          <w:trHeight w:val="15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Podrobná archivní rešerše dostupných podkladů, shromáždění historických měření GT monitoringu, zpřesnění údajů o rychlosti postupu abraze v čase, zhodnocení geologické prozkoumanosti a interpretace geologické stavby pro potřeby studie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114 000</w:t>
            </w:r>
          </w:p>
        </w:tc>
      </w:tr>
      <w:tr>
        <w:trPr>
          <w:trHeight w:val="9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Lokalizace historických měřických profilů, porovnání s aktuální morfologií, terénní a měřické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38 000</w:t>
            </w: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Zhodnocení jednotlivých faktorů ovlivňujících postup abraze, shromáždění a interpretace dostupných dat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22 800</w:t>
            </w: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Predikce postupu abrazní hrany v dlouhodobém horizontu, konstrukce charakteristických IG řezů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85 500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Výpočty stability ve 2 charakteristických řezech, varianty pro různé postupy abrazní hrany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90 000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Ideové návrhy možné ochrany břehů pro snížení vlivu abraze, příklady, hrubý odhad nákladů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133 000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Prezentace výsledků na KD, jednání, vč. dopravy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15 200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EFF9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EFF99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(bez DPH)</w:t>
            </w:r>
          </w:p>
        </w:tc>
        <w:tc>
          <w:tcPr>
            <w:tcBorders>
              <w:top w:val="single" w:sz="4"/>
            </w:tcBorders>
            <w:shd w:val="clear" w:color="auto" w:fill="FEFF9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EFF9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EFF9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EFF99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498 500,- Kč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EFF9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EFF99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 21 %</w:t>
            </w:r>
          </w:p>
        </w:tc>
        <w:tc>
          <w:tcPr>
            <w:tcBorders>
              <w:top w:val="single" w:sz="4"/>
            </w:tcBorders>
            <w:shd w:val="clear" w:color="auto" w:fill="FEFF9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EFF9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EFF9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EFF99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104 685,- Kč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EFF9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EFF99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(vč. DPH)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EFF9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EFF9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EFF9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EFF99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603 185,- Kč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 Praze dne 10.12.2024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SG Geotechnika a.s.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Zpracoval: , vedoucí pracoviště IG</w:t>
      </w:r>
    </w:p>
    <w:sectPr>
      <w:headerReference w:type="default" r:id="rId15"/>
      <w:footerReference w:type="default" r:id="rId16"/>
      <w:headerReference w:type="even" r:id="rId17"/>
      <w:footerReference w:type="even" r:id="rId18"/>
      <w:footnotePr>
        <w:pos w:val="pageBottom"/>
        <w:numFmt w:val="decimal"/>
        <w:numRestart w:val="continuous"/>
      </w:footnotePr>
      <w:pgSz w:w="11909" w:h="16838"/>
      <w:pgMar w:top="1421" w:left="1029" w:right="1293" w:bottom="1421" w:header="0" w:footer="99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3359785</wp:posOffset>
              </wp:positionH>
              <wp:positionV relativeFrom="page">
                <wp:posOffset>10065385</wp:posOffset>
              </wp:positionV>
              <wp:extent cx="822960" cy="201295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D1D1D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D1D1D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D1D1D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D1D1D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D1D1D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264.55000000000001pt;margin-top:792.55000000000007pt;width:64.799999999999997pt;height:15.8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1D1D1D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1D1D1D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1D1D1D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D1D1D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D1D1D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3358515</wp:posOffset>
              </wp:positionH>
              <wp:positionV relativeFrom="page">
                <wp:posOffset>10065385</wp:posOffset>
              </wp:positionV>
              <wp:extent cx="822960" cy="201295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D1D1D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D1D1D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D1D1D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D1D1D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D1D1D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264.44999999999999pt;margin-top:792.55000000000007pt;width:64.799999999999997pt;height:15.8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1D1D1D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1D1D1D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1D1D1D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D1D1D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D1D1D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3823335</wp:posOffset>
              </wp:positionH>
              <wp:positionV relativeFrom="page">
                <wp:posOffset>448945</wp:posOffset>
              </wp:positionV>
              <wp:extent cx="2938145" cy="362585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38145" cy="3625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VD NECHRANICE – OÁZA</w:t>
                          </w:r>
                        </w:p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NABÍDKA NA ZPRACOVÁNÍ STUDIE ABRAZE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301.05000000000001pt;margin-top:35.350000000000001pt;width:231.34999999999999pt;height:28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VD NECHRANICE – OÁZA</w:t>
                    </w:r>
                  </w:p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NABÍDKA NA ZPRACOVÁNÍ STUDIE ABRAZE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784225</wp:posOffset>
              </wp:positionH>
              <wp:positionV relativeFrom="page">
                <wp:posOffset>537845</wp:posOffset>
              </wp:positionV>
              <wp:extent cx="2160905" cy="277495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60905" cy="2774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0 SG GEOTECHNIKA.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61.75pt;margin-top:42.350000000000001pt;width:170.15000000000001pt;height:21.8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0 SG GEOTECHNIKA.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782955</wp:posOffset>
              </wp:positionH>
              <wp:positionV relativeFrom="page">
                <wp:posOffset>415925</wp:posOffset>
              </wp:positionV>
              <wp:extent cx="5977255" cy="36576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977255" cy="3657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3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0 SG GEOTECHNIKA.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NABÍDKA NA ZPRA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vertAlign w:val="superscript"/>
                              <w:lang w:val="cs-CZ" w:eastAsia="cs-CZ" w:bidi="cs-CZ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vertAlign w:val="superscript"/>
                              <w:lang w:val="cs-CZ" w:eastAsia="cs-CZ" w:bidi="cs-CZ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OV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vertAlign w:val="superscript"/>
                              <w:lang w:val="cs-CZ" w:eastAsia="cs-CZ" w:bidi="cs-CZ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vertAlign w:val="superscript"/>
                              <w:lang w:val="cs-CZ" w:eastAsia="cs-CZ" w:bidi="cs-CZ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vertAlign w:val="superscript"/>
                              <w:lang w:val="cs-CZ" w:eastAsia="cs-CZ" w:bidi="cs-CZ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vertAlign w:val="superscript"/>
                              <w:lang w:val="cs-CZ" w:eastAsia="cs-CZ" w:bidi="cs-CZ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S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vertAlign w:val="superscript"/>
                              <w:lang w:val="cs-CZ" w:eastAsia="cs-CZ" w:bidi="cs-CZ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vertAlign w:val="superscript"/>
                              <w:lang w:val="cs-CZ" w:eastAsia="cs-CZ" w:bidi="cs-CZ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vertAlign w:val="superscript"/>
                              <w:lang w:val="cs-CZ" w:eastAsia="cs-CZ" w:bidi="cs-CZ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vertAlign w:val="superscript"/>
                              <w:lang w:val="cs-CZ" w:eastAsia="cs-CZ" w:bidi="cs-CZ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vertAlign w:val="superscript"/>
                              <w:lang w:val="cs-CZ" w:eastAsia="cs-CZ" w:bidi="cs-CZ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vertAlign w:val="superscript"/>
                              <w:lang w:val="cs-CZ" w:eastAsia="cs-CZ" w:bidi="cs-CZ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A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vertAlign w:val="superscript"/>
                              <w:lang w:val="cs-CZ" w:eastAsia="cs-CZ" w:bidi="cs-CZ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B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vertAlign w:val="superscript"/>
                              <w:lang w:val="cs-CZ" w:eastAsia="cs-CZ" w:bidi="cs-CZ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vertAlign w:val="superscript"/>
                              <w:lang w:val="cs-CZ" w:eastAsia="cs-CZ" w:bidi="cs-CZ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vertAlign w:val="superscript"/>
                              <w:lang w:val="cs-CZ" w:eastAsia="cs-CZ" w:bidi="cs-CZ"/>
                            </w:rPr>
                            <w:t>ZA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E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61.649999999999999pt;margin-top:32.75pt;width:470.65000000000003pt;height:28.800000000000001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3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0 SG GEOTECHNIKA.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NABÍDKA NA ZPRA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vertAlign w:val="superscript"/>
                        <w:lang w:val="cs-CZ" w:eastAsia="cs-CZ" w:bidi="cs-CZ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vertAlign w:val="superscript"/>
                        <w:lang w:val="cs-CZ" w:eastAsia="cs-CZ" w:bidi="cs-CZ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OV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vertAlign w:val="superscript"/>
                        <w:lang w:val="cs-CZ" w:eastAsia="cs-CZ" w:bidi="cs-CZ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vertAlign w:val="superscript"/>
                        <w:lang w:val="cs-CZ" w:eastAsia="cs-CZ" w:bidi="cs-CZ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vertAlign w:val="superscript"/>
                        <w:lang w:val="cs-CZ" w:eastAsia="cs-CZ" w:bidi="cs-CZ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vertAlign w:val="superscript"/>
                        <w:lang w:val="cs-CZ" w:eastAsia="cs-CZ" w:bidi="cs-CZ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S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vertAlign w:val="superscript"/>
                        <w:lang w:val="cs-CZ" w:eastAsia="cs-CZ" w:bidi="cs-CZ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vertAlign w:val="superscript"/>
                        <w:lang w:val="cs-CZ" w:eastAsia="cs-CZ" w:bidi="cs-CZ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vertAlign w:val="superscript"/>
                        <w:lang w:val="cs-CZ" w:eastAsia="cs-CZ" w:bidi="cs-CZ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vertAlign w:val="superscript"/>
                        <w:lang w:val="cs-CZ" w:eastAsia="cs-CZ" w:bidi="cs-CZ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vertAlign w:val="superscript"/>
                        <w:lang w:val="cs-CZ" w:eastAsia="cs-CZ" w:bidi="cs-CZ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vertAlign w:val="superscript"/>
                        <w:lang w:val="cs-CZ" w:eastAsia="cs-CZ" w:bidi="cs-CZ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A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vertAlign w:val="superscript"/>
                        <w:lang w:val="cs-CZ" w:eastAsia="cs-CZ" w:bidi="cs-CZ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B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vertAlign w:val="superscript"/>
                        <w:lang w:val="cs-CZ" w:eastAsia="cs-CZ" w:bidi="cs-CZ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vertAlign w:val="superscript"/>
                        <w:lang w:val="cs-CZ" w:eastAsia="cs-CZ" w:bidi="cs-CZ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vertAlign w:val="superscript"/>
                        <w:lang w:val="cs-CZ" w:eastAsia="cs-CZ" w:bidi="cs-CZ"/>
                      </w:rPr>
                      <w:t>ZA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4497070</wp:posOffset>
              </wp:positionH>
              <wp:positionV relativeFrom="page">
                <wp:posOffset>554355</wp:posOffset>
              </wp:positionV>
              <wp:extent cx="2136775" cy="347345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36775" cy="3473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8"/>
                              <w:szCs w:val="38"/>
                              <w:shd w:val="clear" w:color="auto" w:fill="auto"/>
                              <w:lang w:val="cs-CZ" w:eastAsia="cs-CZ" w:bidi="cs-CZ"/>
                            </w:rPr>
                            <w:t xml:space="preserve">SG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38"/>
                              <w:szCs w:val="38"/>
                              <w:shd w:val="clear" w:color="auto" w:fill="auto"/>
                              <w:lang w:val="cs-CZ" w:eastAsia="cs-CZ" w:bidi="cs-CZ"/>
                            </w:rPr>
                            <w:t>GEOTECHNIKA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354.10000000000002pt;margin-top:43.649999999999999pt;width:168.25pt;height:27.350000000000001pt;z-index:-1887440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cs-CZ" w:eastAsia="cs-CZ" w:bidi="cs-CZ"/>
                      </w:rPr>
                      <w:t xml:space="preserve">SG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cs-CZ" w:eastAsia="cs-CZ" w:bidi="cs-CZ"/>
                      </w:rPr>
                      <w:t>GEOTECHNIKA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4497070</wp:posOffset>
              </wp:positionH>
              <wp:positionV relativeFrom="page">
                <wp:posOffset>554355</wp:posOffset>
              </wp:positionV>
              <wp:extent cx="2136775" cy="347345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36775" cy="3473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8"/>
                              <w:szCs w:val="38"/>
                              <w:shd w:val="clear" w:color="auto" w:fill="auto"/>
                              <w:lang w:val="cs-CZ" w:eastAsia="cs-CZ" w:bidi="cs-CZ"/>
                            </w:rPr>
                            <w:t xml:space="preserve">SG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38"/>
                              <w:szCs w:val="38"/>
                              <w:shd w:val="clear" w:color="auto" w:fill="auto"/>
                              <w:lang w:val="cs-CZ" w:eastAsia="cs-CZ" w:bidi="cs-CZ"/>
                            </w:rPr>
                            <w:t>GEOTECHNIKA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354.10000000000002pt;margin-top:43.649999999999999pt;width:168.25pt;height:27.350000000000001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cs-CZ" w:eastAsia="cs-CZ" w:bidi="cs-CZ"/>
                      </w:rPr>
                      <w:t xml:space="preserve">SG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cs-CZ" w:eastAsia="cs-CZ" w:bidi="cs-CZ"/>
                      </w:rPr>
                      <w:t>GEOTECHNIKA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Arial" w:eastAsia="Arial" w:hAnsi="Arial" w:cs="Arial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3"/>
      <w:numFmt w:val="decimal"/>
      <w:lvlText w:val="%1"/>
      <w:rPr>
        <w:rFonts w:ascii="Arial" w:eastAsia="Arial" w:hAnsi="Arial" w:cs="Arial"/>
        <w:b/>
        <w:bCs/>
        <w:i w:val="0"/>
        <w:iCs w:val="0"/>
        <w:smallCaps w:val="0"/>
        <w:strike w:val="0"/>
        <w:color w:val="E4610F"/>
        <w:spacing w:val="0"/>
        <w:w w:val="100"/>
        <w:position w:val="0"/>
        <w:sz w:val="32"/>
        <w:szCs w:val="3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AA480B"/>
      <w:sz w:val="36"/>
      <w:szCs w:val="36"/>
      <w:u w:val="none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color w:val="1D1D1D"/>
      <w:sz w:val="22"/>
      <w:szCs w:val="22"/>
      <w:u w:val="none"/>
    </w:rPr>
  </w:style>
  <w:style w:type="character" w:customStyle="1" w:styleId="CharStyle21">
    <w:name w:val="Char Style 21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D"/>
      <w:sz w:val="22"/>
      <w:szCs w:val="22"/>
      <w:u w:val="none"/>
    </w:rPr>
  </w:style>
  <w:style w:type="character" w:customStyle="1" w:styleId="CharStyle24">
    <w:name w:val="Char Style 24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color w:val="E4610F"/>
      <w:sz w:val="32"/>
      <w:szCs w:val="32"/>
      <w:u w:val="none"/>
    </w:rPr>
  </w:style>
  <w:style w:type="character" w:customStyle="1" w:styleId="CharStyle26">
    <w:name w:val="Char Style 26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D"/>
      <w:sz w:val="22"/>
      <w:szCs w:val="22"/>
      <w:u w:val="none"/>
    </w:rPr>
  </w:style>
  <w:style w:type="character" w:customStyle="1" w:styleId="CharStyle31">
    <w:name w:val="Char Style 31"/>
    <w:basedOn w:val="DefaultParagraphFont"/>
    <w:link w:val="Style30"/>
    <w:rPr>
      <w:rFonts w:ascii="Arial" w:eastAsia="Arial" w:hAnsi="Arial" w:cs="Arial"/>
      <w:b/>
      <w:bCs/>
      <w:i w:val="0"/>
      <w:iCs w:val="0"/>
      <w:smallCaps w:val="0"/>
      <w:strike w:val="0"/>
      <w:color w:val="E4610F"/>
      <w:sz w:val="32"/>
      <w:szCs w:val="32"/>
      <w:u w:val="none"/>
    </w:rPr>
  </w:style>
  <w:style w:type="character" w:customStyle="1" w:styleId="CharStyle34">
    <w:name w:val="Char Style 34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D"/>
      <w:sz w:val="18"/>
      <w:szCs w:val="18"/>
      <w:u w:val="none"/>
    </w:rPr>
  </w:style>
  <w:style w:type="character" w:customStyle="1" w:styleId="CharStyle40">
    <w:name w:val="Char Style 40"/>
    <w:basedOn w:val="DefaultParagraphFont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10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AA480B"/>
      <w:sz w:val="36"/>
      <w:szCs w:val="36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spacing w:after="200"/>
    </w:pPr>
    <w:rPr>
      <w:rFonts w:ascii="Arial" w:eastAsia="Arial" w:hAnsi="Arial" w:cs="Arial"/>
      <w:b/>
      <w:bCs/>
      <w:i w:val="0"/>
      <w:iCs w:val="0"/>
      <w:smallCaps w:val="0"/>
      <w:strike w:val="0"/>
      <w:color w:val="1D1D1D"/>
      <w:sz w:val="22"/>
      <w:szCs w:val="22"/>
      <w:u w:val="none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spacing w:after="80" w:line="28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1D1D1D"/>
      <w:sz w:val="22"/>
      <w:szCs w:val="22"/>
      <w:u w:val="none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E4610F"/>
      <w:sz w:val="32"/>
      <w:szCs w:val="32"/>
      <w:u w:val="none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  <w:spacing w:after="80" w:line="28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1D1D1D"/>
      <w:sz w:val="22"/>
      <w:szCs w:val="22"/>
      <w:u w:val="none"/>
    </w:rPr>
  </w:style>
  <w:style w:type="paragraph" w:customStyle="1" w:styleId="Style30">
    <w:name w:val="Style 30"/>
    <w:basedOn w:val="Normal"/>
    <w:link w:val="CharStyle31"/>
    <w:pPr>
      <w:widowControl w:val="0"/>
      <w:shd w:val="clear" w:color="auto" w:fill="FFFFFF"/>
      <w:spacing w:after="42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E4610F"/>
      <w:sz w:val="32"/>
      <w:szCs w:val="32"/>
      <w:u w:val="none"/>
    </w:rPr>
  </w:style>
  <w:style w:type="paragraph" w:customStyle="1" w:styleId="Style33">
    <w:name w:val="Style 33"/>
    <w:basedOn w:val="Normal"/>
    <w:link w:val="CharStyle34"/>
    <w:pPr>
      <w:widowControl w:val="0"/>
      <w:shd w:val="clear" w:color="auto" w:fill="FFFFFF"/>
      <w:spacing w:after="52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1D1D1D"/>
      <w:sz w:val="18"/>
      <w:szCs w:val="18"/>
      <w:u w:val="none"/>
    </w:rPr>
  </w:style>
  <w:style w:type="paragraph" w:customStyle="1" w:styleId="Style39">
    <w:name w:val="Style 39"/>
    <w:basedOn w:val="Normal"/>
    <w:link w:val="CharStyle40"/>
    <w:pPr>
      <w:widowControl w:val="0"/>
      <w:shd w:val="clear" w:color="auto" w:fill="FFFFFF"/>
      <w:spacing w:line="259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2.jpeg"/><Relationship Id="rId14" Type="http://schemas.openxmlformats.org/officeDocument/2006/relationships/image" Target="media/image2.jpeg" TargetMode="Externa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header" Target="header5.xml"/><Relationship Id="rId18" Type="http://schemas.openxmlformats.org/officeDocument/2006/relationships/footer" Target="footer5.xml"/></Relationships>
</file>

<file path=docProps/core.xml><?xml version="1.0" encoding="utf-8"?>
<cp:coreProperties xmlns:cp="http://schemas.openxmlformats.org/package/2006/metadata/core-properties" xmlns:dc="http://purl.org/dc/elements/1.1/">
  <dc:title>Microsoft Word - Nechranice - studie - nabídka</dc:title>
  <dc:subject/>
  <dc:creator>Rout</dc:creator>
  <cp:keywords/>
</cp:coreProperties>
</file>