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E9D4" w14:textId="77777777" w:rsidR="00D66589" w:rsidRPr="00D900FE" w:rsidRDefault="00D66589" w:rsidP="00D66589">
      <w:pPr>
        <w:rPr>
          <w:lang w:eastAsia="cs-CZ"/>
        </w:rPr>
      </w:pPr>
    </w:p>
    <w:p w14:paraId="37655A1C" w14:textId="77777777" w:rsidR="00D66589" w:rsidRPr="00D900FE" w:rsidRDefault="00D66589" w:rsidP="00D66589">
      <w:pPr>
        <w:rPr>
          <w:lang w:eastAsia="cs-CZ"/>
        </w:rPr>
      </w:pPr>
    </w:p>
    <w:p w14:paraId="463EB3D2" w14:textId="5A4FE1BB" w:rsidR="00D66589" w:rsidRPr="00D900FE" w:rsidRDefault="00517E47" w:rsidP="00517E47">
      <w:pPr>
        <w:ind w:left="6372"/>
      </w:pPr>
      <w:r>
        <w:t xml:space="preserve">                                                                                                                                  </w:t>
      </w:r>
      <w:proofErr w:type="spellStart"/>
      <w:proofErr w:type="gramStart"/>
      <w:r>
        <w:t>Č.j.</w:t>
      </w:r>
      <w:proofErr w:type="gramEnd"/>
      <w:r>
        <w:t>ND</w:t>
      </w:r>
      <w:proofErr w:type="spellEnd"/>
      <w:r>
        <w:t>/2597/600300/2025</w:t>
      </w:r>
    </w:p>
    <w:p w14:paraId="6E855C59" w14:textId="03057118" w:rsidR="00D66589" w:rsidRDefault="00D66589" w:rsidP="00D66589">
      <w:pPr>
        <w:pStyle w:val="Nzevdokumentu"/>
        <w:rPr>
          <w:color w:val="auto"/>
          <w:sz w:val="32"/>
          <w:szCs w:val="32"/>
        </w:rPr>
      </w:pPr>
      <w:r w:rsidRPr="001564C6">
        <w:rPr>
          <w:color w:val="auto"/>
          <w:sz w:val="32"/>
          <w:szCs w:val="32"/>
        </w:rPr>
        <w:t>Rámcová smlouvA</w:t>
      </w:r>
    </w:p>
    <w:p w14:paraId="02D060FE" w14:textId="0E1CE24E" w:rsidR="00517E47" w:rsidRPr="001564C6" w:rsidRDefault="00517E47" w:rsidP="00D66589">
      <w:pPr>
        <w:pStyle w:val="Nzevdokumentu"/>
        <w:rPr>
          <w:color w:val="auto"/>
          <w:sz w:val="32"/>
          <w:szCs w:val="32"/>
        </w:rPr>
      </w:pPr>
      <w:r>
        <w:rPr>
          <w:color w:val="auto"/>
          <w:sz w:val="32"/>
          <w:szCs w:val="32"/>
        </w:rPr>
        <w:t>THS ND 09/2025</w:t>
      </w:r>
    </w:p>
    <w:p w14:paraId="0D34B31A" w14:textId="77777777" w:rsidR="00D66589" w:rsidRPr="00D900FE" w:rsidRDefault="00D66589" w:rsidP="00D66589">
      <w:pPr>
        <w:pStyle w:val="Podnzev"/>
        <w:rPr>
          <w:color w:val="auto"/>
        </w:rPr>
      </w:pPr>
    </w:p>
    <w:p w14:paraId="39C7AE28" w14:textId="77777777" w:rsidR="00D66589" w:rsidRPr="00D900FE" w:rsidRDefault="00D66589" w:rsidP="00D66589">
      <w:pPr>
        <w:pStyle w:val="Podnzev"/>
        <w:rPr>
          <w:color w:val="auto"/>
        </w:rPr>
      </w:pPr>
    </w:p>
    <w:p w14:paraId="3C7119D6" w14:textId="646B8255" w:rsidR="00D66589" w:rsidRPr="001564C6" w:rsidRDefault="00D66589" w:rsidP="00D66589">
      <w:pPr>
        <w:pStyle w:val="Nzevdokumentu"/>
        <w:rPr>
          <w:b w:val="0"/>
          <w:color w:val="auto"/>
          <w:sz w:val="24"/>
          <w:szCs w:val="24"/>
        </w:rPr>
      </w:pPr>
      <w:bookmarkStart w:id="0" w:name="OLE_LINK1"/>
      <w:r w:rsidRPr="001564C6">
        <w:rPr>
          <w:b w:val="0"/>
          <w:caps w:val="0"/>
          <w:color w:val="auto"/>
          <w:sz w:val="24"/>
          <w:szCs w:val="24"/>
        </w:rPr>
        <w:t>o zajišťování pravidelných kontrol požárně bezpe</w:t>
      </w:r>
      <w:r w:rsidR="000D79CC">
        <w:rPr>
          <w:b w:val="0"/>
          <w:caps w:val="0"/>
          <w:color w:val="auto"/>
          <w:sz w:val="24"/>
          <w:szCs w:val="24"/>
        </w:rPr>
        <w:t>čnostních zařízení</w:t>
      </w:r>
      <w:r w:rsidR="001A7A67">
        <w:rPr>
          <w:b w:val="0"/>
          <w:caps w:val="0"/>
          <w:color w:val="auto"/>
          <w:sz w:val="24"/>
          <w:szCs w:val="24"/>
        </w:rPr>
        <w:t xml:space="preserve"> (požárních </w:t>
      </w:r>
      <w:r w:rsidR="00AD5B87">
        <w:rPr>
          <w:b w:val="0"/>
          <w:caps w:val="0"/>
          <w:color w:val="auto"/>
          <w:sz w:val="24"/>
          <w:szCs w:val="24"/>
        </w:rPr>
        <w:t>klapek</w:t>
      </w:r>
      <w:r w:rsidR="001A7A67">
        <w:rPr>
          <w:b w:val="0"/>
          <w:caps w:val="0"/>
          <w:color w:val="auto"/>
          <w:sz w:val="24"/>
          <w:szCs w:val="24"/>
        </w:rPr>
        <w:t>)</w:t>
      </w:r>
      <w:r w:rsidR="000D79CC">
        <w:rPr>
          <w:b w:val="0"/>
          <w:caps w:val="0"/>
          <w:color w:val="auto"/>
          <w:sz w:val="24"/>
          <w:szCs w:val="24"/>
        </w:rPr>
        <w:t xml:space="preserve"> v objektech N</w:t>
      </w:r>
      <w:r w:rsidRPr="001564C6">
        <w:rPr>
          <w:b w:val="0"/>
          <w:caps w:val="0"/>
          <w:color w:val="auto"/>
          <w:sz w:val="24"/>
          <w:szCs w:val="24"/>
        </w:rPr>
        <w:t>árodního divadla</w:t>
      </w:r>
      <w:bookmarkEnd w:id="0"/>
    </w:p>
    <w:p w14:paraId="59F8F065" w14:textId="77777777" w:rsidR="00D66589" w:rsidRDefault="00D66589" w:rsidP="00D66589">
      <w:pPr>
        <w:pStyle w:val="Nzevdokumentu"/>
        <w:rPr>
          <w:color w:val="auto"/>
          <w:sz w:val="32"/>
          <w:szCs w:val="32"/>
        </w:rPr>
      </w:pPr>
    </w:p>
    <w:p w14:paraId="3E2B41BC" w14:textId="77777777" w:rsidR="00D66589" w:rsidRPr="00D900FE" w:rsidRDefault="00D66589" w:rsidP="00D66589">
      <w:pPr>
        <w:pStyle w:val="Podnzev"/>
        <w:rPr>
          <w:color w:val="auto"/>
        </w:rPr>
      </w:pPr>
    </w:p>
    <w:p w14:paraId="1C85AA7B" w14:textId="77777777" w:rsidR="00D66589" w:rsidRPr="00D900FE" w:rsidRDefault="00D66589" w:rsidP="00D66589">
      <w:proofErr w:type="gramStart"/>
      <w:r w:rsidRPr="00D900FE">
        <w:rPr>
          <w:lang w:eastAsia="cs-CZ"/>
        </w:rPr>
        <w:t>mezi</w:t>
      </w:r>
      <w:bookmarkStart w:id="1" w:name="_Toc380653973"/>
      <w:proofErr w:type="gramEnd"/>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865"/>
        <w:gridCol w:w="6095"/>
      </w:tblGrid>
      <w:tr w:rsidR="00D66589" w:rsidRPr="00D900FE" w14:paraId="294C7728" w14:textId="77777777" w:rsidTr="003C2BA7">
        <w:trPr>
          <w:trHeight w:val="284"/>
        </w:trPr>
        <w:tc>
          <w:tcPr>
            <w:tcW w:w="2865" w:type="dxa"/>
            <w:vAlign w:val="center"/>
          </w:tcPr>
          <w:p w14:paraId="4EE9FAB6" w14:textId="77777777" w:rsidR="00D66589" w:rsidRPr="00D900FE" w:rsidRDefault="00D66589" w:rsidP="003C2BA7">
            <w:pPr>
              <w:pStyle w:val="Tabulka"/>
              <w:rPr>
                <w:b/>
                <w:color w:val="auto"/>
              </w:rPr>
            </w:pPr>
            <w:r w:rsidRPr="00D900FE">
              <w:rPr>
                <w:b/>
                <w:color w:val="auto"/>
              </w:rPr>
              <w:t>Název</w:t>
            </w:r>
          </w:p>
        </w:tc>
        <w:tc>
          <w:tcPr>
            <w:tcW w:w="6095" w:type="dxa"/>
            <w:vAlign w:val="center"/>
          </w:tcPr>
          <w:p w14:paraId="014403A5" w14:textId="77777777" w:rsidR="00D66589" w:rsidRPr="00D900FE" w:rsidRDefault="007242C6" w:rsidP="003C2BA7">
            <w:pPr>
              <w:pStyle w:val="Tabulka"/>
              <w:rPr>
                <w:b/>
                <w:color w:val="auto"/>
              </w:rPr>
            </w:pPr>
            <w:r>
              <w:rPr>
                <w:b/>
                <w:color w:val="auto"/>
              </w:rPr>
              <w:t>Národní divadlo</w:t>
            </w:r>
          </w:p>
        </w:tc>
      </w:tr>
      <w:tr w:rsidR="00D66589" w:rsidRPr="00D900FE" w14:paraId="4E4631FC" w14:textId="77777777" w:rsidTr="003C2BA7">
        <w:trPr>
          <w:trHeight w:val="284"/>
        </w:trPr>
        <w:tc>
          <w:tcPr>
            <w:tcW w:w="2865" w:type="dxa"/>
            <w:vAlign w:val="center"/>
          </w:tcPr>
          <w:p w14:paraId="7584056F" w14:textId="77777777" w:rsidR="00D66589" w:rsidRPr="00D900FE" w:rsidRDefault="00D66589" w:rsidP="003C2BA7">
            <w:pPr>
              <w:pStyle w:val="Tabulka"/>
              <w:rPr>
                <w:color w:val="auto"/>
              </w:rPr>
            </w:pPr>
            <w:r w:rsidRPr="00D900FE">
              <w:rPr>
                <w:color w:val="auto"/>
              </w:rPr>
              <w:t>IČO</w:t>
            </w:r>
          </w:p>
        </w:tc>
        <w:tc>
          <w:tcPr>
            <w:tcW w:w="6095" w:type="dxa"/>
            <w:vAlign w:val="center"/>
          </w:tcPr>
          <w:p w14:paraId="64D158BD" w14:textId="77777777" w:rsidR="00D66589" w:rsidRPr="00D900FE" w:rsidRDefault="007242C6" w:rsidP="003C2BA7">
            <w:pPr>
              <w:pStyle w:val="Tabulka"/>
              <w:rPr>
                <w:color w:val="auto"/>
              </w:rPr>
            </w:pPr>
            <w:r>
              <w:rPr>
                <w:color w:val="auto"/>
              </w:rPr>
              <w:t>00023337</w:t>
            </w:r>
          </w:p>
        </w:tc>
      </w:tr>
      <w:tr w:rsidR="00D66589" w:rsidRPr="00D900FE" w14:paraId="113856AD" w14:textId="77777777" w:rsidTr="003C2BA7">
        <w:trPr>
          <w:trHeight w:val="284"/>
        </w:trPr>
        <w:tc>
          <w:tcPr>
            <w:tcW w:w="2865" w:type="dxa"/>
            <w:vAlign w:val="center"/>
          </w:tcPr>
          <w:p w14:paraId="75F87CE4" w14:textId="77777777" w:rsidR="00D66589" w:rsidRPr="00D900FE" w:rsidRDefault="00D66589" w:rsidP="003C2BA7">
            <w:pPr>
              <w:pStyle w:val="Tabulka"/>
              <w:rPr>
                <w:color w:val="auto"/>
              </w:rPr>
            </w:pPr>
            <w:r w:rsidRPr="00D900FE">
              <w:rPr>
                <w:color w:val="auto"/>
              </w:rPr>
              <w:t>DIČ</w:t>
            </w:r>
          </w:p>
        </w:tc>
        <w:tc>
          <w:tcPr>
            <w:tcW w:w="6095" w:type="dxa"/>
            <w:vAlign w:val="center"/>
          </w:tcPr>
          <w:p w14:paraId="58DC29B1" w14:textId="77777777" w:rsidR="00D66589" w:rsidRPr="00D900FE" w:rsidRDefault="007242C6" w:rsidP="003C2BA7">
            <w:pPr>
              <w:pStyle w:val="Tabulka"/>
              <w:rPr>
                <w:color w:val="auto"/>
              </w:rPr>
            </w:pPr>
            <w:r>
              <w:rPr>
                <w:color w:val="auto"/>
              </w:rPr>
              <w:t>CZ00023337</w:t>
            </w:r>
          </w:p>
        </w:tc>
      </w:tr>
      <w:tr w:rsidR="00D66589" w:rsidRPr="00D900FE" w14:paraId="52B804C0" w14:textId="77777777" w:rsidTr="003C2BA7">
        <w:trPr>
          <w:trHeight w:val="284"/>
        </w:trPr>
        <w:tc>
          <w:tcPr>
            <w:tcW w:w="2865" w:type="dxa"/>
            <w:vAlign w:val="center"/>
          </w:tcPr>
          <w:p w14:paraId="3961E97D" w14:textId="77777777" w:rsidR="00D66589" w:rsidRPr="00D900FE" w:rsidRDefault="00D66589" w:rsidP="003C2BA7">
            <w:pPr>
              <w:pStyle w:val="Tabulka"/>
              <w:rPr>
                <w:color w:val="auto"/>
              </w:rPr>
            </w:pPr>
            <w:r w:rsidRPr="00D900FE">
              <w:rPr>
                <w:color w:val="auto"/>
              </w:rPr>
              <w:t>Adresa sídla</w:t>
            </w:r>
          </w:p>
        </w:tc>
        <w:tc>
          <w:tcPr>
            <w:tcW w:w="6095" w:type="dxa"/>
            <w:vAlign w:val="center"/>
          </w:tcPr>
          <w:p w14:paraId="7C47348D" w14:textId="7A36E6D1" w:rsidR="00D66589" w:rsidRPr="00D900FE" w:rsidRDefault="007242C6" w:rsidP="00DD6365">
            <w:pPr>
              <w:pStyle w:val="Tabulka"/>
              <w:rPr>
                <w:color w:val="auto"/>
              </w:rPr>
            </w:pPr>
            <w:r>
              <w:rPr>
                <w:color w:val="auto"/>
              </w:rPr>
              <w:t xml:space="preserve">Ostrovní </w:t>
            </w:r>
            <w:r w:rsidR="00DD6365">
              <w:rPr>
                <w:color w:val="auto"/>
              </w:rPr>
              <w:t>225/1</w:t>
            </w:r>
            <w:r>
              <w:rPr>
                <w:color w:val="auto"/>
              </w:rPr>
              <w:t xml:space="preserve">, </w:t>
            </w:r>
            <w:r w:rsidR="00DD6365">
              <w:rPr>
                <w:color w:val="auto"/>
              </w:rPr>
              <w:t>110 00</w:t>
            </w:r>
            <w:r>
              <w:rPr>
                <w:color w:val="auto"/>
              </w:rPr>
              <w:t xml:space="preserve"> Praha 1</w:t>
            </w:r>
            <w:r w:rsidR="009E7061">
              <w:rPr>
                <w:color w:val="auto"/>
              </w:rPr>
              <w:t xml:space="preserve"> – Nové Město</w:t>
            </w:r>
          </w:p>
        </w:tc>
      </w:tr>
      <w:tr w:rsidR="00CF0C91" w:rsidRPr="00D900FE" w14:paraId="0BB780D7" w14:textId="77777777" w:rsidTr="003C2BA7">
        <w:trPr>
          <w:trHeight w:val="284"/>
        </w:trPr>
        <w:tc>
          <w:tcPr>
            <w:tcW w:w="2865" w:type="dxa"/>
            <w:vAlign w:val="center"/>
          </w:tcPr>
          <w:p w14:paraId="789B1995" w14:textId="77777777" w:rsidR="00CF0C91" w:rsidRPr="00D900FE" w:rsidRDefault="00CF0C91" w:rsidP="003C2BA7">
            <w:pPr>
              <w:pStyle w:val="Tabulka"/>
              <w:rPr>
                <w:color w:val="auto"/>
              </w:rPr>
            </w:pPr>
            <w:r>
              <w:rPr>
                <w:color w:val="auto"/>
              </w:rPr>
              <w:t>Bankovní spojení</w:t>
            </w:r>
          </w:p>
        </w:tc>
        <w:tc>
          <w:tcPr>
            <w:tcW w:w="6095" w:type="dxa"/>
            <w:vAlign w:val="center"/>
          </w:tcPr>
          <w:p w14:paraId="71314F2E" w14:textId="22899EC1" w:rsidR="00CF0C91" w:rsidRDefault="00AA0801" w:rsidP="003C2BA7">
            <w:pPr>
              <w:pStyle w:val="Tabulka"/>
              <w:rPr>
                <w:color w:val="auto"/>
              </w:rPr>
            </w:pPr>
            <w:proofErr w:type="spellStart"/>
            <w:r>
              <w:rPr>
                <w:color w:val="auto"/>
              </w:rPr>
              <w:t>xxxxx</w:t>
            </w:r>
            <w:proofErr w:type="spellEnd"/>
          </w:p>
        </w:tc>
      </w:tr>
      <w:tr w:rsidR="00D66589" w:rsidRPr="00D900FE" w14:paraId="23C5EE9C" w14:textId="77777777" w:rsidTr="003C2BA7">
        <w:trPr>
          <w:trHeight w:val="284"/>
        </w:trPr>
        <w:tc>
          <w:tcPr>
            <w:tcW w:w="2865" w:type="dxa"/>
            <w:vAlign w:val="center"/>
          </w:tcPr>
          <w:p w14:paraId="19D66597" w14:textId="77777777" w:rsidR="00D66589" w:rsidRPr="00D900FE" w:rsidRDefault="007242C6" w:rsidP="003C2BA7">
            <w:pPr>
              <w:pStyle w:val="Tabulka"/>
              <w:rPr>
                <w:color w:val="auto"/>
              </w:rPr>
            </w:pPr>
            <w:r>
              <w:rPr>
                <w:color w:val="auto"/>
              </w:rPr>
              <w:t>Zastoupené</w:t>
            </w:r>
          </w:p>
        </w:tc>
        <w:tc>
          <w:tcPr>
            <w:tcW w:w="6095" w:type="dxa"/>
            <w:vAlign w:val="center"/>
          </w:tcPr>
          <w:p w14:paraId="51040F25" w14:textId="696A0437" w:rsidR="00D66589" w:rsidRPr="00D900FE" w:rsidRDefault="009E7061" w:rsidP="003C2BA7">
            <w:pPr>
              <w:pStyle w:val="Tabulka"/>
              <w:rPr>
                <w:color w:val="auto"/>
              </w:rPr>
            </w:pPr>
            <w:r>
              <w:rPr>
                <w:color w:val="auto"/>
              </w:rPr>
              <w:t>p</w:t>
            </w:r>
            <w:r w:rsidR="007242C6">
              <w:rPr>
                <w:color w:val="auto"/>
              </w:rPr>
              <w:t xml:space="preserve">rof. </w:t>
            </w:r>
            <w:proofErr w:type="spellStart"/>
            <w:r w:rsidR="007242C6">
              <w:rPr>
                <w:color w:val="auto"/>
              </w:rPr>
              <w:t>MgA</w:t>
            </w:r>
            <w:proofErr w:type="spellEnd"/>
            <w:r w:rsidR="007242C6">
              <w:rPr>
                <w:color w:val="auto"/>
              </w:rPr>
              <w:t xml:space="preserve">. Jan Burian, </w:t>
            </w:r>
            <w:r w:rsidR="00FC0334">
              <w:rPr>
                <w:color w:val="auto"/>
              </w:rPr>
              <w:t xml:space="preserve">generální </w:t>
            </w:r>
            <w:r w:rsidR="007242C6">
              <w:rPr>
                <w:color w:val="auto"/>
              </w:rPr>
              <w:t>ředitel Národního divadla</w:t>
            </w:r>
          </w:p>
        </w:tc>
      </w:tr>
    </w:tbl>
    <w:p w14:paraId="7B5FAD49" w14:textId="77777777" w:rsidR="00D66589" w:rsidRDefault="00D66589" w:rsidP="00D66589"/>
    <w:p w14:paraId="2087C8D3" w14:textId="2330A513" w:rsidR="00D66589" w:rsidRPr="001564C6" w:rsidRDefault="00D66589" w:rsidP="00D66589">
      <w:pPr>
        <w:rPr>
          <w:sz w:val="18"/>
          <w:szCs w:val="18"/>
        </w:rPr>
      </w:pPr>
      <w:r w:rsidRPr="001564C6">
        <w:rPr>
          <w:sz w:val="18"/>
          <w:szCs w:val="18"/>
        </w:rPr>
        <w:t xml:space="preserve">dále jen </w:t>
      </w:r>
      <w:r w:rsidR="00C058CC">
        <w:rPr>
          <w:i/>
          <w:sz w:val="18"/>
          <w:szCs w:val="18"/>
        </w:rPr>
        <w:t>O</w:t>
      </w:r>
      <w:r w:rsidRPr="001564C6">
        <w:rPr>
          <w:i/>
          <w:sz w:val="18"/>
          <w:szCs w:val="18"/>
        </w:rPr>
        <w:t>bjednatel</w:t>
      </w:r>
      <w:r w:rsidR="00DC7BCF">
        <w:rPr>
          <w:i/>
          <w:sz w:val="18"/>
          <w:szCs w:val="18"/>
        </w:rPr>
        <w:t xml:space="preserve"> nebo ND</w:t>
      </w:r>
      <w:r w:rsidRPr="001564C6">
        <w:rPr>
          <w:i/>
          <w:sz w:val="18"/>
          <w:szCs w:val="18"/>
        </w:rPr>
        <w:t xml:space="preserve"> </w:t>
      </w:r>
      <w:r w:rsidRPr="001564C6">
        <w:rPr>
          <w:sz w:val="18"/>
          <w:szCs w:val="18"/>
        </w:rPr>
        <w:t>– na straně jedné</w:t>
      </w:r>
    </w:p>
    <w:bookmarkEnd w:id="1"/>
    <w:p w14:paraId="14301182" w14:textId="77777777" w:rsidR="00D66589" w:rsidRPr="00D900FE" w:rsidRDefault="00D66589" w:rsidP="00D66589"/>
    <w:p w14:paraId="131C6D50" w14:textId="77777777" w:rsidR="00D66589" w:rsidRPr="00D900FE" w:rsidRDefault="00D66589" w:rsidP="00D66589">
      <w:r w:rsidRPr="00D900FE">
        <w:t>a</w:t>
      </w:r>
    </w:p>
    <w:p w14:paraId="6FC6C40E" w14:textId="77777777" w:rsidR="00C358EF" w:rsidRPr="00D900FE" w:rsidRDefault="00C358EF" w:rsidP="00C358EF"/>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32"/>
        <w:gridCol w:w="6095"/>
      </w:tblGrid>
      <w:tr w:rsidR="00C358EF" w:rsidRPr="00D900FE" w14:paraId="01074730" w14:textId="77777777" w:rsidTr="00483CCF">
        <w:trPr>
          <w:trHeight w:val="284"/>
        </w:trPr>
        <w:tc>
          <w:tcPr>
            <w:tcW w:w="2932" w:type="dxa"/>
            <w:vAlign w:val="center"/>
          </w:tcPr>
          <w:p w14:paraId="375C4426" w14:textId="77777777" w:rsidR="00C358EF" w:rsidRPr="00D900FE" w:rsidRDefault="00C358EF" w:rsidP="00483CCF">
            <w:pPr>
              <w:pStyle w:val="Tabulka"/>
              <w:spacing w:before="0" w:after="0"/>
              <w:rPr>
                <w:b/>
                <w:color w:val="auto"/>
              </w:rPr>
            </w:pPr>
            <w:r w:rsidRPr="00D900FE">
              <w:rPr>
                <w:b/>
                <w:color w:val="auto"/>
              </w:rPr>
              <w:t>Název</w:t>
            </w:r>
          </w:p>
        </w:tc>
        <w:tc>
          <w:tcPr>
            <w:tcW w:w="6095" w:type="dxa"/>
            <w:vAlign w:val="center"/>
          </w:tcPr>
          <w:p w14:paraId="69AF3168" w14:textId="77777777" w:rsidR="00C358EF" w:rsidRPr="007242C6" w:rsidRDefault="00C358EF" w:rsidP="00483CCF">
            <w:pPr>
              <w:pStyle w:val="Tabulka"/>
              <w:rPr>
                <w:b/>
                <w:color w:val="auto"/>
              </w:rPr>
            </w:pPr>
            <w:r>
              <w:rPr>
                <w:b/>
                <w:color w:val="auto"/>
              </w:rPr>
              <w:t>„Sdružení PBZ ND“</w:t>
            </w:r>
          </w:p>
        </w:tc>
      </w:tr>
      <w:tr w:rsidR="00C358EF" w:rsidRPr="00D900FE" w14:paraId="3EC2DACC" w14:textId="77777777" w:rsidTr="00483CCF">
        <w:trPr>
          <w:trHeight w:val="284"/>
        </w:trPr>
        <w:tc>
          <w:tcPr>
            <w:tcW w:w="2932" w:type="dxa"/>
            <w:vAlign w:val="center"/>
          </w:tcPr>
          <w:p w14:paraId="0F42BF34" w14:textId="77777777" w:rsidR="00C358EF" w:rsidRPr="00D900FE" w:rsidRDefault="00C358EF" w:rsidP="00483CCF">
            <w:pPr>
              <w:pStyle w:val="Tabulka"/>
              <w:spacing w:before="0" w:after="0"/>
              <w:rPr>
                <w:color w:val="auto"/>
              </w:rPr>
            </w:pPr>
            <w:r w:rsidRPr="00D900FE">
              <w:rPr>
                <w:color w:val="auto"/>
              </w:rPr>
              <w:t>IČO</w:t>
            </w:r>
          </w:p>
        </w:tc>
        <w:tc>
          <w:tcPr>
            <w:tcW w:w="6095" w:type="dxa"/>
            <w:vAlign w:val="center"/>
          </w:tcPr>
          <w:p w14:paraId="0EADDB4D" w14:textId="77777777" w:rsidR="00C358EF" w:rsidRPr="007242C6" w:rsidRDefault="00C358EF" w:rsidP="00483CCF">
            <w:pPr>
              <w:pStyle w:val="Tabulka"/>
              <w:rPr>
                <w:color w:val="auto"/>
              </w:rPr>
            </w:pPr>
            <w:r>
              <w:rPr>
                <w:color w:val="auto"/>
              </w:rPr>
              <w:t>03063313</w:t>
            </w:r>
          </w:p>
        </w:tc>
      </w:tr>
      <w:tr w:rsidR="00C358EF" w:rsidRPr="00D900FE" w14:paraId="5E12A0BD" w14:textId="77777777" w:rsidTr="00483CCF">
        <w:trPr>
          <w:trHeight w:val="284"/>
        </w:trPr>
        <w:tc>
          <w:tcPr>
            <w:tcW w:w="2932" w:type="dxa"/>
            <w:vAlign w:val="center"/>
          </w:tcPr>
          <w:p w14:paraId="5450A0AF" w14:textId="77777777" w:rsidR="00C358EF" w:rsidRPr="00D900FE" w:rsidRDefault="00C358EF" w:rsidP="00483CCF">
            <w:pPr>
              <w:pStyle w:val="Tabulka"/>
              <w:spacing w:before="0" w:after="0"/>
              <w:rPr>
                <w:color w:val="auto"/>
              </w:rPr>
            </w:pPr>
            <w:r w:rsidRPr="00D900FE">
              <w:rPr>
                <w:color w:val="auto"/>
              </w:rPr>
              <w:t>DIČ</w:t>
            </w:r>
          </w:p>
        </w:tc>
        <w:tc>
          <w:tcPr>
            <w:tcW w:w="6095" w:type="dxa"/>
            <w:vAlign w:val="center"/>
          </w:tcPr>
          <w:p w14:paraId="34313031" w14:textId="77777777" w:rsidR="00C358EF" w:rsidRPr="007242C6" w:rsidRDefault="00C358EF" w:rsidP="00483CCF">
            <w:pPr>
              <w:pStyle w:val="Tabulka"/>
              <w:rPr>
                <w:color w:val="auto"/>
              </w:rPr>
            </w:pPr>
            <w:r w:rsidRPr="007242C6">
              <w:rPr>
                <w:color w:val="auto"/>
              </w:rPr>
              <w:t>CZ</w:t>
            </w:r>
            <w:r>
              <w:rPr>
                <w:color w:val="auto"/>
              </w:rPr>
              <w:t>03063313</w:t>
            </w:r>
          </w:p>
        </w:tc>
      </w:tr>
      <w:tr w:rsidR="00C358EF" w:rsidRPr="00D900FE" w14:paraId="7D6AC15E" w14:textId="77777777" w:rsidTr="00483CCF">
        <w:trPr>
          <w:trHeight w:val="284"/>
        </w:trPr>
        <w:tc>
          <w:tcPr>
            <w:tcW w:w="2932" w:type="dxa"/>
            <w:vAlign w:val="center"/>
          </w:tcPr>
          <w:p w14:paraId="0BAD63CE" w14:textId="77777777" w:rsidR="00C358EF" w:rsidRPr="00D900FE" w:rsidRDefault="00C358EF" w:rsidP="00483CCF">
            <w:pPr>
              <w:pStyle w:val="Tabulka"/>
              <w:spacing w:before="0" w:after="0"/>
              <w:rPr>
                <w:color w:val="auto"/>
              </w:rPr>
            </w:pPr>
            <w:r w:rsidRPr="00D900FE">
              <w:rPr>
                <w:color w:val="auto"/>
              </w:rPr>
              <w:t>Adresa sídla</w:t>
            </w:r>
          </w:p>
        </w:tc>
        <w:tc>
          <w:tcPr>
            <w:tcW w:w="6095" w:type="dxa"/>
            <w:vAlign w:val="center"/>
          </w:tcPr>
          <w:p w14:paraId="15DA93F4" w14:textId="77777777" w:rsidR="00C358EF" w:rsidRPr="007242C6" w:rsidRDefault="00C358EF" w:rsidP="00483CCF">
            <w:pPr>
              <w:pStyle w:val="Tabulka"/>
              <w:rPr>
                <w:color w:val="auto"/>
              </w:rPr>
            </w:pPr>
            <w:r w:rsidRPr="00E06A16">
              <w:rPr>
                <w:color w:val="auto"/>
              </w:rPr>
              <w:t xml:space="preserve">U </w:t>
            </w:r>
            <w:proofErr w:type="spellStart"/>
            <w:r>
              <w:rPr>
                <w:color w:val="auto"/>
              </w:rPr>
              <w:t>Šálkovny</w:t>
            </w:r>
            <w:proofErr w:type="spellEnd"/>
            <w:r>
              <w:rPr>
                <w:color w:val="auto"/>
              </w:rPr>
              <w:t xml:space="preserve"> 1741/4, Braník, 147 00</w:t>
            </w:r>
            <w:r w:rsidRPr="00E06A16">
              <w:rPr>
                <w:color w:val="auto"/>
              </w:rPr>
              <w:t xml:space="preserve"> Praha 4</w:t>
            </w:r>
          </w:p>
        </w:tc>
      </w:tr>
      <w:tr w:rsidR="00C358EF" w:rsidRPr="00D900FE" w14:paraId="6437EF47" w14:textId="77777777" w:rsidTr="00483CCF">
        <w:trPr>
          <w:trHeight w:val="284"/>
        </w:trPr>
        <w:tc>
          <w:tcPr>
            <w:tcW w:w="2932" w:type="dxa"/>
            <w:vAlign w:val="center"/>
          </w:tcPr>
          <w:p w14:paraId="0389292A" w14:textId="77777777" w:rsidR="00C358EF" w:rsidRPr="00D900FE" w:rsidRDefault="00C358EF" w:rsidP="00483CCF">
            <w:pPr>
              <w:pStyle w:val="Tabulka"/>
              <w:spacing w:before="0" w:after="0"/>
              <w:rPr>
                <w:color w:val="auto"/>
              </w:rPr>
            </w:pPr>
            <w:r>
              <w:rPr>
                <w:color w:val="auto"/>
              </w:rPr>
              <w:t>Bankovní spojení</w:t>
            </w:r>
          </w:p>
        </w:tc>
        <w:tc>
          <w:tcPr>
            <w:tcW w:w="6095" w:type="dxa"/>
            <w:vAlign w:val="center"/>
          </w:tcPr>
          <w:p w14:paraId="3FFCE708" w14:textId="671E7A2D" w:rsidR="00C358EF" w:rsidRPr="007242C6" w:rsidRDefault="00AA0801" w:rsidP="00483CCF">
            <w:pPr>
              <w:pStyle w:val="Tabulka"/>
              <w:rPr>
                <w:color w:val="auto"/>
              </w:rPr>
            </w:pPr>
            <w:r>
              <w:rPr>
                <w:color w:val="auto"/>
              </w:rPr>
              <w:t>xxxxx</w:t>
            </w:r>
            <w:bookmarkStart w:id="2" w:name="_GoBack"/>
            <w:bookmarkEnd w:id="2"/>
          </w:p>
        </w:tc>
      </w:tr>
      <w:tr w:rsidR="00C358EF" w:rsidRPr="00D900FE" w14:paraId="368FE36B" w14:textId="77777777" w:rsidTr="00483CCF">
        <w:trPr>
          <w:trHeight w:val="284"/>
        </w:trPr>
        <w:tc>
          <w:tcPr>
            <w:tcW w:w="2932" w:type="dxa"/>
            <w:vAlign w:val="center"/>
          </w:tcPr>
          <w:p w14:paraId="50E35AAC" w14:textId="77777777" w:rsidR="00C358EF" w:rsidRPr="00D900FE" w:rsidRDefault="00C358EF" w:rsidP="00483CCF">
            <w:pPr>
              <w:pStyle w:val="Tabulka"/>
              <w:spacing w:before="0" w:after="0"/>
              <w:rPr>
                <w:color w:val="auto"/>
              </w:rPr>
            </w:pPr>
            <w:r w:rsidRPr="00D900FE">
              <w:rPr>
                <w:color w:val="auto"/>
              </w:rPr>
              <w:t>Zápis v obchodním rejstříku</w:t>
            </w:r>
          </w:p>
        </w:tc>
        <w:tc>
          <w:tcPr>
            <w:tcW w:w="6095" w:type="dxa"/>
            <w:vAlign w:val="center"/>
          </w:tcPr>
          <w:p w14:paraId="3D1A5732" w14:textId="77777777" w:rsidR="00C358EF" w:rsidRPr="007242C6" w:rsidRDefault="00C358EF" w:rsidP="00483CCF">
            <w:pPr>
              <w:pStyle w:val="Tabulka"/>
              <w:rPr>
                <w:color w:val="auto"/>
              </w:rPr>
            </w:pPr>
            <w:r>
              <w:rPr>
                <w:color w:val="auto"/>
              </w:rPr>
              <w:t>C 226901 vedená u Městského soudu v Praze</w:t>
            </w:r>
          </w:p>
        </w:tc>
      </w:tr>
      <w:tr w:rsidR="00C358EF" w:rsidRPr="00D900FE" w14:paraId="04A79873" w14:textId="77777777" w:rsidTr="00483CCF">
        <w:trPr>
          <w:trHeight w:val="284"/>
        </w:trPr>
        <w:tc>
          <w:tcPr>
            <w:tcW w:w="2932" w:type="dxa"/>
            <w:vAlign w:val="center"/>
          </w:tcPr>
          <w:p w14:paraId="491459EF" w14:textId="77777777" w:rsidR="00C358EF" w:rsidRPr="00D900FE" w:rsidRDefault="00C358EF" w:rsidP="00483CCF">
            <w:pPr>
              <w:pStyle w:val="Tabulka"/>
              <w:spacing w:before="0" w:after="0"/>
              <w:rPr>
                <w:color w:val="auto"/>
              </w:rPr>
            </w:pPr>
            <w:r>
              <w:rPr>
                <w:color w:val="auto"/>
              </w:rPr>
              <w:t>Zastoupená</w:t>
            </w:r>
          </w:p>
        </w:tc>
        <w:tc>
          <w:tcPr>
            <w:tcW w:w="6095" w:type="dxa"/>
            <w:vAlign w:val="center"/>
          </w:tcPr>
          <w:p w14:paraId="2CCB0C67" w14:textId="77777777" w:rsidR="00C358EF" w:rsidRPr="007242C6" w:rsidRDefault="00C358EF" w:rsidP="00483CCF">
            <w:pPr>
              <w:pStyle w:val="Tabulka"/>
              <w:rPr>
                <w:color w:val="auto"/>
              </w:rPr>
            </w:pPr>
            <w:r>
              <w:rPr>
                <w:color w:val="auto"/>
              </w:rPr>
              <w:t>Jakubem Erbenem</w:t>
            </w:r>
          </w:p>
        </w:tc>
      </w:tr>
    </w:tbl>
    <w:p w14:paraId="2C901CC4" w14:textId="77777777" w:rsidR="00C358EF" w:rsidRDefault="00C358EF" w:rsidP="00C358EF"/>
    <w:p w14:paraId="175E96B4" w14:textId="4155B1E4" w:rsidR="00D66589" w:rsidRDefault="00D66589" w:rsidP="00D66589">
      <w:pPr>
        <w:rPr>
          <w:sz w:val="18"/>
          <w:szCs w:val="18"/>
        </w:rPr>
      </w:pPr>
      <w:r w:rsidRPr="001564C6">
        <w:rPr>
          <w:sz w:val="18"/>
          <w:szCs w:val="18"/>
        </w:rPr>
        <w:t xml:space="preserve">dále jen </w:t>
      </w:r>
      <w:r w:rsidR="00C058CC">
        <w:rPr>
          <w:i/>
          <w:sz w:val="18"/>
          <w:szCs w:val="18"/>
        </w:rPr>
        <w:t>D</w:t>
      </w:r>
      <w:r w:rsidRPr="001564C6">
        <w:rPr>
          <w:i/>
          <w:sz w:val="18"/>
          <w:szCs w:val="18"/>
        </w:rPr>
        <w:t xml:space="preserve">odavatel </w:t>
      </w:r>
      <w:r w:rsidRPr="001564C6">
        <w:rPr>
          <w:sz w:val="18"/>
          <w:szCs w:val="18"/>
        </w:rPr>
        <w:t>– na straně druhé</w:t>
      </w:r>
    </w:p>
    <w:p w14:paraId="22C838CE" w14:textId="77777777" w:rsidR="007242C6" w:rsidRDefault="007242C6" w:rsidP="00D66589">
      <w:pPr>
        <w:rPr>
          <w:sz w:val="18"/>
          <w:szCs w:val="18"/>
        </w:rPr>
      </w:pPr>
    </w:p>
    <w:p w14:paraId="76380043" w14:textId="77777777" w:rsidR="007242C6" w:rsidRPr="001564C6" w:rsidRDefault="007242C6" w:rsidP="00D66589">
      <w:pPr>
        <w:rPr>
          <w:sz w:val="18"/>
          <w:szCs w:val="18"/>
        </w:rPr>
      </w:pPr>
    </w:p>
    <w:p w14:paraId="5D6F0AD7" w14:textId="77777777" w:rsidR="00D66589" w:rsidRDefault="00D66589" w:rsidP="00D66589">
      <w:pPr>
        <w:pStyle w:val="Nadpis1"/>
      </w:pPr>
      <w:r w:rsidRPr="00475CFE">
        <w:t>Preambule</w:t>
      </w:r>
    </w:p>
    <w:p w14:paraId="07FFC7BB" w14:textId="27B4D8DA" w:rsidR="00D66589" w:rsidRDefault="00D66589" w:rsidP="00C07F6C">
      <w:pPr>
        <w:pStyle w:val="Styl11"/>
      </w:pPr>
      <w:r>
        <w:t xml:space="preserve">Objednatel provedl </w:t>
      </w:r>
      <w:r w:rsidR="00987D2B">
        <w:t xml:space="preserve">otevřené nadlimitní </w:t>
      </w:r>
      <w:r w:rsidR="009E07EC">
        <w:t xml:space="preserve">zadávací </w:t>
      </w:r>
      <w:r>
        <w:t xml:space="preserve">řízení </w:t>
      </w:r>
      <w:r w:rsidR="00987D2B">
        <w:t>dle</w:t>
      </w:r>
      <w:r w:rsidR="009E07EC">
        <w:t xml:space="preserve"> zákona č. 134/2016 Sb., o </w:t>
      </w:r>
      <w:r>
        <w:t>zadávání veřejných zakázek, v platném znění</w:t>
      </w:r>
      <w:r w:rsidR="00986663">
        <w:t xml:space="preserve"> pod číslem</w:t>
      </w:r>
      <w:r w:rsidR="00C173F7">
        <w:t xml:space="preserve"> </w:t>
      </w:r>
      <w:r w:rsidR="00C07F6C" w:rsidRPr="00C07F6C">
        <w:rPr>
          <w:b/>
          <w:bCs/>
        </w:rPr>
        <w:t>N006/25/V00000554/3</w:t>
      </w:r>
      <w:r w:rsidR="00C173F7">
        <w:t xml:space="preserve"> </w:t>
      </w:r>
      <w:r w:rsidR="009E07EC">
        <w:t xml:space="preserve">(dále jen „Zadávací řízení“) </w:t>
      </w:r>
      <w:r>
        <w:t>na uzavření této rámcové smlouvy o zajišťování pravidelných kontrol požárně bezpečnostních zařízení</w:t>
      </w:r>
      <w:r w:rsidR="00D45850">
        <w:t xml:space="preserve"> </w:t>
      </w:r>
      <w:r w:rsidR="00D45850" w:rsidRPr="00D45850">
        <w:t xml:space="preserve">(požárních </w:t>
      </w:r>
      <w:r w:rsidR="00153163">
        <w:t>klapek</w:t>
      </w:r>
      <w:r w:rsidR="00D45850" w:rsidRPr="00D45850">
        <w:t>)</w:t>
      </w:r>
      <w:r>
        <w:t xml:space="preserve"> v objektech Národního divadla</w:t>
      </w:r>
      <w:r w:rsidR="009E07EC">
        <w:t xml:space="preserve"> (dále jen „Rámcová smlouva“)</w:t>
      </w:r>
      <w:r>
        <w:t>.</w:t>
      </w:r>
    </w:p>
    <w:p w14:paraId="7A9DFA71" w14:textId="7EA4AEA8" w:rsidR="00D66589" w:rsidRDefault="00D66589" w:rsidP="0011257F">
      <w:pPr>
        <w:pStyle w:val="Styl11"/>
      </w:pPr>
      <w:r>
        <w:lastRenderedPageBreak/>
        <w:t xml:space="preserve">Tato </w:t>
      </w:r>
      <w:r w:rsidR="003F79DD">
        <w:t>R</w:t>
      </w:r>
      <w:r>
        <w:t xml:space="preserve">ámcová smlouva vymezuje podmínky týkající se dílčích </w:t>
      </w:r>
      <w:r w:rsidR="003F79DD">
        <w:t>prováděcích smluv/objednávek (dále jen „Prováděcí smlouva“)</w:t>
      </w:r>
      <w:r>
        <w:t xml:space="preserve"> a postup při </w:t>
      </w:r>
      <w:r w:rsidR="003F79DD">
        <w:t xml:space="preserve">jejich </w:t>
      </w:r>
      <w:r>
        <w:t>uzavírání. Prováděcí smlouvou se rozumí smlouva mezi Dodavatelem a Objednatelem, na jej</w:t>
      </w:r>
      <w:r w:rsidR="004E2DF7">
        <w:t>ímž</w:t>
      </w:r>
      <w:r>
        <w:t xml:space="preserve"> základě Dodavatel poskytne Objednatelem požadované </w:t>
      </w:r>
      <w:r w:rsidR="00DF40AC">
        <w:t>služby a dodávky</w:t>
      </w:r>
      <w:r w:rsidR="001B7E7C">
        <w:t xml:space="preserve"> </w:t>
      </w:r>
      <w:r>
        <w:t xml:space="preserve">směřující k zajištění pravidelných kontrol </w:t>
      </w:r>
      <w:r w:rsidR="00297FC5" w:rsidRPr="00297FC5">
        <w:t>požárně bezpečnostních zařízení</w:t>
      </w:r>
      <w:r w:rsidR="0011257F">
        <w:t xml:space="preserve"> </w:t>
      </w:r>
      <w:r w:rsidR="0011257F" w:rsidRPr="0011257F">
        <w:t xml:space="preserve">(požárních </w:t>
      </w:r>
      <w:r w:rsidR="00153163">
        <w:t>klapek</w:t>
      </w:r>
      <w:r w:rsidR="0011257F" w:rsidRPr="0011257F">
        <w:t>)</w:t>
      </w:r>
      <w:r>
        <w:t xml:space="preserve"> v budovách Národního Divadla</w:t>
      </w:r>
      <w:r w:rsidR="00DF40AC">
        <w:t xml:space="preserve"> (dále jen „Plnění“)</w:t>
      </w:r>
      <w:r>
        <w:t>. Rámcová smlouva dále vymezuje základní smluvní podmínky Prováděcích smluv.</w:t>
      </w:r>
    </w:p>
    <w:p w14:paraId="199DB305" w14:textId="77777777" w:rsidR="007242C6" w:rsidRDefault="007242C6" w:rsidP="007242C6">
      <w:pPr>
        <w:pStyle w:val="Styl11"/>
        <w:numPr>
          <w:ilvl w:val="0"/>
          <w:numId w:val="0"/>
        </w:numPr>
        <w:ind w:left="574"/>
      </w:pPr>
    </w:p>
    <w:p w14:paraId="51E984EE" w14:textId="77777777" w:rsidR="00D66589" w:rsidRDefault="00D66589" w:rsidP="00D66589">
      <w:pPr>
        <w:pStyle w:val="Nadpis1"/>
      </w:pPr>
      <w:r>
        <w:t>Předmět smlouvy</w:t>
      </w:r>
    </w:p>
    <w:p w14:paraId="069D8E8F" w14:textId="0ECD585F" w:rsidR="00D66589" w:rsidRDefault="00D66589" w:rsidP="00D66589">
      <w:pPr>
        <w:pStyle w:val="Styl11"/>
      </w:pPr>
      <w:r>
        <w:t>Objednatel je oprávněn vyzvat Dodavatele k provedení Plnění v souladu s </w:t>
      </w:r>
      <w:r w:rsidR="004660E9">
        <w:t>R</w:t>
      </w:r>
      <w:r>
        <w:t>ámcovou smlouvou.</w:t>
      </w:r>
    </w:p>
    <w:p w14:paraId="6572AD3C" w14:textId="77777777" w:rsidR="00D66589" w:rsidRDefault="00D66589" w:rsidP="00D66589">
      <w:pPr>
        <w:pStyle w:val="Styl11"/>
      </w:pPr>
      <w:r>
        <w:t>Dodavatel se zavazuje provést Plnění za podmínek uvedených v Rámcové smlouvě a následně uzavřené Prováděcí smlouvě.</w:t>
      </w:r>
    </w:p>
    <w:p w14:paraId="7B6CB3DB" w14:textId="76C3F95E" w:rsidR="00D66589" w:rsidRPr="001E2726" w:rsidRDefault="00D66589" w:rsidP="00D66589">
      <w:pPr>
        <w:pStyle w:val="Styl11"/>
      </w:pPr>
      <w:r>
        <w:t>Objednatel se zavazuje zaplatit na provedení Plnění cenu v Souladu s Rámcovou smlouvou a v Prováděcí smlouvě určenou cenou.</w:t>
      </w:r>
    </w:p>
    <w:p w14:paraId="143CC954" w14:textId="56A8BAB1" w:rsidR="00D66589" w:rsidRDefault="008E591E" w:rsidP="00D66589">
      <w:pPr>
        <w:pStyle w:val="Styl11"/>
      </w:pPr>
      <w:r>
        <w:t>Bližší specifikace předmětu smlouvy</w:t>
      </w:r>
      <w:r w:rsidR="00D66589">
        <w:t>:</w:t>
      </w:r>
    </w:p>
    <w:p w14:paraId="7E160C99" w14:textId="7E4C891F" w:rsidR="00D66589" w:rsidRDefault="00D66589" w:rsidP="00D66589">
      <w:pPr>
        <w:pStyle w:val="Styl11"/>
        <w:numPr>
          <w:ilvl w:val="1"/>
          <w:numId w:val="4"/>
        </w:numPr>
        <w:ind w:left="851" w:hanging="284"/>
      </w:pPr>
      <w:r>
        <w:t xml:space="preserve">zajišťování kontrol požárně bezpečnostních zařízení – požárních </w:t>
      </w:r>
      <w:r w:rsidR="002B73EC">
        <w:t>klapek mechanických nebo</w:t>
      </w:r>
      <w:r w:rsidR="00536F44">
        <w:t xml:space="preserve"> </w:t>
      </w:r>
      <w:r>
        <w:t>ovládaných systémem elektronické požární signalizace (EPS), případně jinými systémy (EZS)</w:t>
      </w:r>
      <w:r w:rsidR="00536F44">
        <w:t>,</w:t>
      </w:r>
      <w:r w:rsidR="002B73EC">
        <w:t xml:space="preserve"> </w:t>
      </w:r>
      <w:r>
        <w:t>v souladu s vyhláškou MV ČR č.</w:t>
      </w:r>
      <w:r w:rsidR="00D6525B">
        <w:t> </w:t>
      </w:r>
      <w:r>
        <w:t>246/2001 Sb.</w:t>
      </w:r>
      <w:r w:rsidR="0065566A">
        <w:t>,</w:t>
      </w:r>
      <w:r w:rsidR="0065566A" w:rsidRPr="0065566A">
        <w:t xml:space="preserve"> </w:t>
      </w:r>
      <w:r w:rsidR="0065566A">
        <w:t>dalšími souvisejícími platnými předpisy</w:t>
      </w:r>
      <w:r>
        <w:t xml:space="preserve"> a průvodní dokumentací výrobce.</w:t>
      </w:r>
    </w:p>
    <w:p w14:paraId="2AEA2C6A" w14:textId="2E7E724E" w:rsidR="00D66589" w:rsidRDefault="00D66589" w:rsidP="00D66589">
      <w:pPr>
        <w:pStyle w:val="Styl11"/>
      </w:pPr>
      <w:r>
        <w:t xml:space="preserve">O provedené kontrole sepíše </w:t>
      </w:r>
      <w:r w:rsidR="008E3DE0">
        <w:t xml:space="preserve">Dodavatel </w:t>
      </w:r>
      <w:r>
        <w:t>záznam (</w:t>
      </w:r>
      <w:proofErr w:type="spellStart"/>
      <w:r>
        <w:t>zkušební-revizní</w:t>
      </w:r>
      <w:proofErr w:type="spellEnd"/>
      <w:r>
        <w:t xml:space="preserve"> </w:t>
      </w:r>
      <w:r w:rsidR="00032383">
        <w:t>protokol, dále také „Protokol“</w:t>
      </w:r>
      <w:r>
        <w:t>), ve které</w:t>
      </w:r>
      <w:r w:rsidR="00032383">
        <w:t>m</w:t>
      </w:r>
      <w:r>
        <w:t xml:space="preserve"> uvede typ přístroje</w:t>
      </w:r>
      <w:r w:rsidR="00D615B1">
        <w:t xml:space="preserve"> nebo zařízení</w:t>
      </w:r>
      <w:r>
        <w:t>, umístění, počet a výsledek kontroly</w:t>
      </w:r>
      <w:r w:rsidR="008E591E">
        <w:t xml:space="preserve"> vč. uvedení případných závad</w:t>
      </w:r>
      <w:r w:rsidR="00032383">
        <w:t xml:space="preserve"> a provedených oprav</w:t>
      </w:r>
      <w:r>
        <w:t>, kter</w:t>
      </w:r>
      <w:r w:rsidR="00032383">
        <w:t>ý</w:t>
      </w:r>
      <w:r>
        <w:t xml:space="preserve"> poté předá </w:t>
      </w:r>
      <w:r w:rsidR="00AF6270">
        <w:t>O</w:t>
      </w:r>
      <w:r>
        <w:t>bjednateli.</w:t>
      </w:r>
    </w:p>
    <w:p w14:paraId="74B6AD41" w14:textId="43F3DA53" w:rsidR="00D66589" w:rsidRDefault="00D66589" w:rsidP="00D66589">
      <w:pPr>
        <w:pStyle w:val="Styl11"/>
      </w:pPr>
      <w:r>
        <w:t xml:space="preserve">Všechny práce </w:t>
      </w:r>
      <w:r w:rsidR="001B603F">
        <w:t xml:space="preserve">Dodavatel </w:t>
      </w:r>
      <w:r>
        <w:t>provede podle platných technických předpisů.</w:t>
      </w:r>
    </w:p>
    <w:p w14:paraId="6616C815" w14:textId="77777777" w:rsidR="007242C6" w:rsidRDefault="007242C6" w:rsidP="007242C6">
      <w:pPr>
        <w:pStyle w:val="Styl11"/>
        <w:numPr>
          <w:ilvl w:val="0"/>
          <w:numId w:val="0"/>
        </w:numPr>
        <w:ind w:left="574"/>
      </w:pPr>
    </w:p>
    <w:p w14:paraId="1306BF13" w14:textId="77777777" w:rsidR="00D66589" w:rsidRDefault="00D66589" w:rsidP="00D66589">
      <w:pPr>
        <w:pStyle w:val="Nadpis1"/>
      </w:pPr>
      <w:r>
        <w:t>Prováděcí postup</w:t>
      </w:r>
    </w:p>
    <w:p w14:paraId="04DCEF88" w14:textId="3D52C8ED" w:rsidR="00D66589" w:rsidRDefault="00D66589" w:rsidP="00D66589">
      <w:pPr>
        <w:pStyle w:val="Styl11"/>
      </w:pPr>
      <w:r>
        <w:t xml:space="preserve">Na základě Prováděcí smlouvy poskytuje Dodavatel Plnění dle Rámcové smlouvy. Počet </w:t>
      </w:r>
      <w:r w:rsidR="00757549">
        <w:t>P</w:t>
      </w:r>
      <w:r>
        <w:t>rováděcích smluv je neomezený.</w:t>
      </w:r>
    </w:p>
    <w:p w14:paraId="2ADDEDA7" w14:textId="271A8422" w:rsidR="00D66589" w:rsidRDefault="00D66589" w:rsidP="00D66589">
      <w:pPr>
        <w:pStyle w:val="Styl11"/>
      </w:pPr>
      <w:r>
        <w:t xml:space="preserve">Postup vedoucí k uzavření </w:t>
      </w:r>
      <w:r w:rsidR="00610B80">
        <w:t>P</w:t>
      </w:r>
      <w:r>
        <w:t>rováděcí smlouvy je zahájen odesláním písemné výzvy k podání nabídky Dodavateli (dále jen „Výzva“). Výzva bude obsahovat:</w:t>
      </w:r>
    </w:p>
    <w:p w14:paraId="1EF2F0D1" w14:textId="3F4BE3F1" w:rsidR="00D66589" w:rsidRDefault="00D66589" w:rsidP="00D66589">
      <w:pPr>
        <w:pStyle w:val="Styl11"/>
        <w:numPr>
          <w:ilvl w:val="0"/>
          <w:numId w:val="2"/>
        </w:numPr>
      </w:pPr>
      <w:r>
        <w:t xml:space="preserve">Identifikační údaje </w:t>
      </w:r>
      <w:r w:rsidR="00EC47E9">
        <w:t>D</w:t>
      </w:r>
      <w:r>
        <w:t>odavatele</w:t>
      </w:r>
    </w:p>
    <w:p w14:paraId="690D50E6" w14:textId="6056FDB6" w:rsidR="00D66589" w:rsidRDefault="00D66589" w:rsidP="00D66589">
      <w:pPr>
        <w:pStyle w:val="Styl11"/>
        <w:numPr>
          <w:ilvl w:val="0"/>
          <w:numId w:val="2"/>
        </w:numPr>
      </w:pPr>
      <w:r>
        <w:t xml:space="preserve">Specifikaci </w:t>
      </w:r>
      <w:r w:rsidR="00EC47E9">
        <w:t>plnění</w:t>
      </w:r>
    </w:p>
    <w:p w14:paraId="3EE572A1" w14:textId="77777777" w:rsidR="00D66589" w:rsidRDefault="00D66589" w:rsidP="00D66589">
      <w:pPr>
        <w:pStyle w:val="Styl11"/>
        <w:numPr>
          <w:ilvl w:val="0"/>
          <w:numId w:val="2"/>
        </w:numPr>
      </w:pPr>
      <w:r>
        <w:t>Místo a čas požadovaného plnění</w:t>
      </w:r>
    </w:p>
    <w:p w14:paraId="036B539F" w14:textId="5D747B5A" w:rsidR="00D66589" w:rsidRDefault="00D66589" w:rsidP="00C173F7">
      <w:pPr>
        <w:pStyle w:val="Styl11"/>
        <w:numPr>
          <w:ilvl w:val="0"/>
          <w:numId w:val="2"/>
        </w:numPr>
      </w:pPr>
      <w:r>
        <w:t xml:space="preserve">Označení osoby činící </w:t>
      </w:r>
      <w:r w:rsidR="00EC47E9">
        <w:t>V</w:t>
      </w:r>
      <w:r>
        <w:t>ýzvu, jež je oprávněna jednat jménem Objednatele</w:t>
      </w:r>
    </w:p>
    <w:p w14:paraId="4773B907" w14:textId="08461408" w:rsidR="00D66589" w:rsidRDefault="00D66589" w:rsidP="00D66589">
      <w:pPr>
        <w:pStyle w:val="Styl11"/>
      </w:pPr>
      <w:r>
        <w:t xml:space="preserve">Dodavatel je povinen na základě Výzvy doručit Objednateli ve lhůtě </w:t>
      </w:r>
      <w:r w:rsidR="00840C86">
        <w:t xml:space="preserve">max. 10 pracovních dní </w:t>
      </w:r>
      <w:r>
        <w:t>stanovené ve Výzvě svou nabídku (dále jen „Nabídka Dodavatele“).</w:t>
      </w:r>
      <w:r w:rsidR="00C173F7">
        <w:t xml:space="preserve"> </w:t>
      </w:r>
      <w:r w:rsidR="00E84A1F">
        <w:t>Doručením Nabídky Dodavatele potvrdí Dodavatel zaslanou Výzvu (objednávku).</w:t>
      </w:r>
    </w:p>
    <w:p w14:paraId="3D8E1936" w14:textId="58AD0DA0" w:rsidR="00D66589" w:rsidRDefault="00D66589" w:rsidP="00D66589">
      <w:pPr>
        <w:pStyle w:val="Styl1"/>
      </w:pPr>
      <w:r>
        <w:t xml:space="preserve">Nabídka Dodavatele nesmí být v rozporu s </w:t>
      </w:r>
      <w:r w:rsidRPr="001E2726">
        <w:t>touto</w:t>
      </w:r>
      <w:r>
        <w:t xml:space="preserve"> Rámcovou smlouvou a Výzvou Objednatele. Dodavatel není oprávněn navrhnout ve své </w:t>
      </w:r>
      <w:r w:rsidR="00755544">
        <w:t>N</w:t>
      </w:r>
      <w:r>
        <w:t>abídce</w:t>
      </w:r>
      <w:r w:rsidR="00755544">
        <w:t xml:space="preserve"> Dodavatele</w:t>
      </w:r>
      <w:r>
        <w:t xml:space="preserve"> smluvní podmínky, které budou pro Objednatele méně výhodné v porovnání s jeho nabídkou v Zadávacím řízení a touto Rámcovou smlouvou.</w:t>
      </w:r>
    </w:p>
    <w:p w14:paraId="0F69F407" w14:textId="01F09C7A" w:rsidR="00D66589" w:rsidRDefault="00D66589" w:rsidP="00D66589">
      <w:pPr>
        <w:pStyle w:val="Styl1"/>
      </w:pPr>
      <w:bookmarkStart w:id="3" w:name="_Ref283994035"/>
      <w:r>
        <w:t xml:space="preserve">K předání provedeného Plnění připraví Dodavatel protokol o provedení Plnění, který bude potvrzen oběma </w:t>
      </w:r>
      <w:r w:rsidR="00627757">
        <w:t>s</w:t>
      </w:r>
      <w:r>
        <w:t xml:space="preserve">mluvními stranami při předání a převzetí Plnění. Objednatel je oprávněn Plnění odmítnout </w:t>
      </w:r>
      <w:r>
        <w:lastRenderedPageBreak/>
        <w:t>převzít, pokud má Plnění vady. Odmítnutí převzetí Plnění bude zachyceno v protokolu o provedení Plnění.</w:t>
      </w:r>
      <w:bookmarkEnd w:id="3"/>
    </w:p>
    <w:p w14:paraId="6EC367FD" w14:textId="77777777" w:rsidR="00D66589" w:rsidRPr="00FB256C" w:rsidRDefault="00D66589" w:rsidP="00D66589">
      <w:pPr>
        <w:pStyle w:val="Styl11"/>
        <w:numPr>
          <w:ilvl w:val="0"/>
          <w:numId w:val="0"/>
        </w:numPr>
        <w:ind w:left="574"/>
      </w:pPr>
    </w:p>
    <w:p w14:paraId="59793EA2" w14:textId="77777777" w:rsidR="00D66589" w:rsidRDefault="00D66589" w:rsidP="00D66589">
      <w:pPr>
        <w:pStyle w:val="Nadpis1"/>
      </w:pPr>
      <w:r>
        <w:t>Cena za plnění dle prováděcích smluv</w:t>
      </w:r>
    </w:p>
    <w:p w14:paraId="1B64B215" w14:textId="16D5DDDE" w:rsidR="00D66589" w:rsidRDefault="00D66589" w:rsidP="00D66589">
      <w:pPr>
        <w:pStyle w:val="Styl1"/>
      </w:pPr>
      <w:r>
        <w:t>Cena za zajištění provedení Plnění bude odpovídat jednotkovým cenám dle „Přílohy č. 1 -</w:t>
      </w:r>
      <w:r w:rsidRPr="00F411C6">
        <w:t>Jednotkové ceny činností a materiálů</w:t>
      </w:r>
      <w:r>
        <w:t>“</w:t>
      </w:r>
      <w:r w:rsidRPr="00F411C6">
        <w:t xml:space="preserve"> </w:t>
      </w:r>
      <w:r>
        <w:t xml:space="preserve">a bude určena příslušnou </w:t>
      </w:r>
      <w:r w:rsidR="009C717A">
        <w:t>P</w:t>
      </w:r>
      <w:r>
        <w:t xml:space="preserve">rováděcí smlouvou a protokolem o </w:t>
      </w:r>
      <w:r w:rsidR="009C717A">
        <w:t>P</w:t>
      </w:r>
      <w:r>
        <w:t>lnění dle skutečně provedených prací a dodávek.</w:t>
      </w:r>
      <w:r w:rsidR="00D46781">
        <w:t xml:space="preserve"> Tato příloha je nedílnou součástí této Rámcové smlouvy.</w:t>
      </w:r>
    </w:p>
    <w:p w14:paraId="43496700" w14:textId="2A195BC5" w:rsidR="009D6C30" w:rsidRDefault="00D66589" w:rsidP="009D6C30">
      <w:pPr>
        <w:pStyle w:val="Styl1"/>
      </w:pPr>
      <w:r w:rsidRPr="002629DF">
        <w:t xml:space="preserve">Veškeré ceny dohodnuté v této Rámcové smlouvě a Prováděcích smlouvách jsou ceny v korunách českých. Cenu nelze jakýmkoliv způsobem vázat na jinou měnu než korunu českou. Stane-li se v mezidobí Česká republika členem </w:t>
      </w:r>
      <w:r w:rsidR="005F3816">
        <w:t>Eurozóny</w:t>
      </w:r>
      <w:r w:rsidRPr="002629DF">
        <w:t>,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0A3488B6" w14:textId="12AB009A" w:rsidR="009D6C30" w:rsidRDefault="006E6CCE" w:rsidP="00D2472A">
      <w:pPr>
        <w:pStyle w:val="Styl1"/>
      </w:pPr>
      <w:r w:rsidRPr="006E6CCE">
        <w:t xml:space="preserve">Po dohodě smluvních stran má </w:t>
      </w:r>
      <w:r w:rsidR="00B07954">
        <w:t>Dodavatel</w:t>
      </w:r>
      <w:r w:rsidR="00B07954" w:rsidRPr="006E6CCE">
        <w:t xml:space="preserve"> </w:t>
      </w:r>
      <w:r w:rsidRPr="006E6CCE">
        <w:t xml:space="preserve">právo maximálně jednou za kalendářní rok navýšit </w:t>
      </w:r>
      <w:r w:rsidR="00D2472A" w:rsidRPr="00D2472A">
        <w:t xml:space="preserve">jednotkové ceny činností a materiálů v členění dle Přílohy č. 1 </w:t>
      </w:r>
      <w:r w:rsidR="00F7662E">
        <w:t xml:space="preserve">Rámcové </w:t>
      </w:r>
      <w:r w:rsidR="00D2472A" w:rsidRPr="00D2472A">
        <w:t xml:space="preserve">smlouvy a to </w:t>
      </w:r>
      <w:r w:rsidRPr="006E6CCE">
        <w:t xml:space="preserve">o částku odpovídající průměrné roční míře inflace v České republice vyjádřené přírůstkem průměrného ročního indexu spotřebitelských cen zjištěného a oficiálně zveřejněného Českým statistickým úřadem za měsíce leden až prosinec uplynulého kalendářního roku proti průměru ledna až prosince předchozího kalendářního roku, publikované Českým statistickým úřadem (dále jen „míra inflace“), a to pouze za podmínky, že míra inflace překročí hodnotu 1,5 % (jeden a půl procenta). Zvýšení plateb </w:t>
      </w:r>
      <w:r w:rsidR="00E12106">
        <w:t>Dodavatel</w:t>
      </w:r>
      <w:r w:rsidR="00E12106" w:rsidRPr="006E6CCE">
        <w:t xml:space="preserve"> </w:t>
      </w:r>
      <w:r w:rsidRPr="006E6CCE">
        <w:t xml:space="preserve">vypočte a Objednateli písemně sdělí neprodleně po zveřejnění míry inflace. Zvýšení plateb na základě písemné žádosti </w:t>
      </w:r>
      <w:r w:rsidR="00D6282E">
        <w:t>Dodavatele</w:t>
      </w:r>
      <w:r w:rsidR="00D6282E" w:rsidRPr="006E6CCE">
        <w:t xml:space="preserve"> </w:t>
      </w:r>
      <w:r w:rsidR="00072F52">
        <w:t>o </w:t>
      </w:r>
      <w:r w:rsidRPr="006E6CCE">
        <w:t xml:space="preserve">zvýšení paušálních plateb musí být vždy odsouhlaseno ze strany Objednatele. Bez souhlasu Objednatele nelze výši plateb měnit. Zvýšení se vztahuje na všechny paušální platby na náklady připadající na celý kalendářní rok, v němž ke zvýšení dochází, tedy i na platby, které byly v příslušném kalendářním roce již zaplaceny před oznámením o zvýšení. V době od ledna každého kalendářního roku do oznámení o zvýšení bude Objednatel platit platby ve výši stanovené pro minulý kalendářní rok. Po dohodě smluvních stran ohledně navýšení paušálních plateb Objednatel </w:t>
      </w:r>
      <w:r w:rsidR="00A90859">
        <w:t>Dodavateli</w:t>
      </w:r>
      <w:r w:rsidR="00A90859" w:rsidRPr="006E6CCE">
        <w:t xml:space="preserve"> </w:t>
      </w:r>
      <w:r w:rsidRPr="006E6CCE">
        <w:t xml:space="preserve">doplatí rozdíl mezi dosud zaplacenými platbami a platbami zvýšenými a nadále bude platit </w:t>
      </w:r>
      <w:r w:rsidR="00A90859">
        <w:t>Dodavateli</w:t>
      </w:r>
      <w:r w:rsidR="00A90859" w:rsidRPr="006E6CCE">
        <w:t xml:space="preserve"> </w:t>
      </w:r>
      <w:r w:rsidRPr="006E6CCE">
        <w:t>platby zvýšené. Pokud by míra inflace přestala být Českým statistickým úřadem sledována a zveřejňována, budou paušální platby na náklady zvýšeny podle oficiálně zveřejňovaných ukazatelů, které míru inflace nahradí, a to po dohodě smluvních stran.</w:t>
      </w:r>
      <w:r w:rsidR="00874EBC">
        <w:t xml:space="preserve"> Dodavatel následně ceny </w:t>
      </w:r>
      <w:r w:rsidR="009D6C30">
        <w:t>zohledn</w:t>
      </w:r>
      <w:r w:rsidR="00874EBC">
        <w:t>í</w:t>
      </w:r>
      <w:r w:rsidR="009D6C30">
        <w:t xml:space="preserve"> </w:t>
      </w:r>
      <w:r w:rsidR="00874EBC">
        <w:t>v nabídce dle čl. 3, odst. 3.3.</w:t>
      </w:r>
      <w:r w:rsidR="009D6C30" w:rsidRPr="008B6267">
        <w:t xml:space="preserve"> </w:t>
      </w:r>
    </w:p>
    <w:p w14:paraId="73C9FA39" w14:textId="77777777" w:rsidR="00CD7FA3" w:rsidRPr="00A777DB" w:rsidRDefault="00CD7FA3" w:rsidP="00CD7FA3">
      <w:pPr>
        <w:pStyle w:val="Styl1"/>
        <w:numPr>
          <w:ilvl w:val="0"/>
          <w:numId w:val="0"/>
        </w:numPr>
        <w:ind w:left="574"/>
      </w:pPr>
    </w:p>
    <w:p w14:paraId="269163E1" w14:textId="77777777" w:rsidR="00D66589" w:rsidRDefault="00D66589" w:rsidP="00D66589">
      <w:pPr>
        <w:pStyle w:val="Nadpis1"/>
      </w:pPr>
      <w:r>
        <w:t>Platební podmínky</w:t>
      </w:r>
    </w:p>
    <w:p w14:paraId="32B187D4" w14:textId="4542C0FA" w:rsidR="00D66589" w:rsidRDefault="00D66589" w:rsidP="00D66589">
      <w:pPr>
        <w:pStyle w:val="Styl1"/>
      </w:pPr>
      <w:r>
        <w:t>Daňový doklad bude vystaven Dodavatelem vždy nejdříve po převzetí Plnění Objednatelem sjednané v příslušné Prováděcí smlouvě a po odstranění a převzetí všech případných vad provedeného Plnění obsažených v protokolu o provedení Plnění.</w:t>
      </w:r>
    </w:p>
    <w:p w14:paraId="5FB4A8BB" w14:textId="5E6A4A12" w:rsidR="00D66589" w:rsidRPr="002629DF" w:rsidRDefault="00D66589" w:rsidP="00D66589">
      <w:pPr>
        <w:pStyle w:val="Styl1"/>
      </w:pPr>
      <w:r w:rsidRPr="002629DF">
        <w:t>Daňový doklad musí obsahovat číslo této Rámcové smlouvy a Prováděcí smlouvy</w:t>
      </w:r>
      <w:r>
        <w:t xml:space="preserve"> </w:t>
      </w:r>
      <w:r w:rsidRPr="002629DF">
        <w:t>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Rámcovou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30B9EA2C" w14:textId="77777777" w:rsidR="00D66589" w:rsidRDefault="00D66589" w:rsidP="00D66589">
      <w:pPr>
        <w:pStyle w:val="Styl1"/>
      </w:pPr>
      <w:r>
        <w:lastRenderedPageBreak/>
        <w:t>Objednatel neposkytuje Dodavateli jakékoliv zálohy na cenu za Plnění.</w:t>
      </w:r>
    </w:p>
    <w:p w14:paraId="67596476" w14:textId="7DC2A031" w:rsidR="00D66589" w:rsidRDefault="00D66589" w:rsidP="00D66589">
      <w:pPr>
        <w:pStyle w:val="Styl1"/>
      </w:pPr>
      <w:r w:rsidRPr="002629DF">
        <w:t>Splatnost daňového dokladu vystaveného Dodavatelem je</w:t>
      </w:r>
      <w:r>
        <w:t xml:space="preserve"> </w:t>
      </w:r>
      <w:r w:rsidRPr="00C173F7">
        <w:t>20</w:t>
      </w:r>
      <w:r>
        <w:t xml:space="preserve"> dní</w:t>
      </w:r>
      <w:r w:rsidRPr="002629DF">
        <w:t xml:space="preserve"> ode dne jeho</w:t>
      </w:r>
      <w:r w:rsidR="00395351">
        <w:t xml:space="preserve"> prokazatelného</w:t>
      </w:r>
      <w:r w:rsidRPr="002629DF">
        <w:t xml:space="preserve"> doručení Objednateli, spolu s veškerými požadovanými dokumenty, a to doporučeným dopisem, na adresu sídla Objednatele, či na jiné místo uvedené Objednatelem</w:t>
      </w:r>
      <w:r w:rsidR="007F1518">
        <w:t>,</w:t>
      </w:r>
      <w:r w:rsidR="00395351">
        <w:t xml:space="preserve"> nebo formou elektronické komunikace</w:t>
      </w:r>
      <w:r w:rsidRPr="002629DF">
        <w:t>. Zaplacením se pro účely této Rámcové smlouvy rozumí den odepsání přís</w:t>
      </w:r>
      <w:r>
        <w:t>lušné částky z účtu Objednatele.</w:t>
      </w:r>
    </w:p>
    <w:p w14:paraId="6B6FF1D5" w14:textId="77777777" w:rsidR="007242C6" w:rsidRPr="002629DF" w:rsidRDefault="007242C6" w:rsidP="007242C6">
      <w:pPr>
        <w:pStyle w:val="Styl1"/>
        <w:numPr>
          <w:ilvl w:val="0"/>
          <w:numId w:val="0"/>
        </w:numPr>
        <w:ind w:left="574"/>
      </w:pPr>
    </w:p>
    <w:p w14:paraId="409D78F5" w14:textId="77777777" w:rsidR="00D66589" w:rsidRDefault="00D66589" w:rsidP="00D66589">
      <w:pPr>
        <w:pStyle w:val="Nadpis1"/>
      </w:pPr>
      <w:r>
        <w:t>Doba místo a podmínky plnění</w:t>
      </w:r>
    </w:p>
    <w:p w14:paraId="74361D27" w14:textId="77777777" w:rsidR="00D66589" w:rsidRDefault="00D66589" w:rsidP="00D66589">
      <w:pPr>
        <w:pStyle w:val="Styl1"/>
      </w:pPr>
      <w:r>
        <w:t>Místem plnění je:</w:t>
      </w:r>
    </w:p>
    <w:p w14:paraId="5B094C50" w14:textId="574FA938" w:rsidR="00D66589" w:rsidRDefault="00D66589" w:rsidP="00A3682E">
      <w:pPr>
        <w:pStyle w:val="Odstavecseseznamem"/>
        <w:numPr>
          <w:ilvl w:val="0"/>
          <w:numId w:val="5"/>
        </w:numPr>
      </w:pPr>
      <w:r>
        <w:t xml:space="preserve">Historická budova Národního divadla, </w:t>
      </w:r>
      <w:r w:rsidR="00A3682E" w:rsidRPr="00A3682E">
        <w:t>Divadelní 223/1</w:t>
      </w:r>
      <w:r>
        <w:t>, Praha 1</w:t>
      </w:r>
    </w:p>
    <w:p w14:paraId="0EC18FAD" w14:textId="3904B468" w:rsidR="00D66589" w:rsidRDefault="00D66589" w:rsidP="00D66589">
      <w:pPr>
        <w:pStyle w:val="Odstavecseseznamem"/>
        <w:numPr>
          <w:ilvl w:val="0"/>
          <w:numId w:val="5"/>
        </w:numPr>
        <w:ind w:left="993" w:hanging="426"/>
      </w:pPr>
      <w:r>
        <w:t xml:space="preserve">Provozní budova Národního divadla, suterény, parking, Ostrovní </w:t>
      </w:r>
      <w:r w:rsidR="00A3682E">
        <w:t>225/</w:t>
      </w:r>
      <w:r>
        <w:t>1, Praha 1</w:t>
      </w:r>
    </w:p>
    <w:p w14:paraId="32B1A7EE" w14:textId="77777777" w:rsidR="00D66589" w:rsidRDefault="00D66589" w:rsidP="00D66589">
      <w:pPr>
        <w:pStyle w:val="Odstavecseseznamem"/>
        <w:numPr>
          <w:ilvl w:val="0"/>
          <w:numId w:val="5"/>
        </w:numPr>
        <w:ind w:left="993" w:hanging="426"/>
      </w:pPr>
      <w:r>
        <w:t>Provozní budova B Národního divadla, Národní 1435/6, Praha 1</w:t>
      </w:r>
    </w:p>
    <w:p w14:paraId="64842542" w14:textId="261BB8D7" w:rsidR="00D66589" w:rsidRDefault="00D66589" w:rsidP="00D66589">
      <w:pPr>
        <w:pStyle w:val="Odstavecseseznamem"/>
        <w:numPr>
          <w:ilvl w:val="0"/>
          <w:numId w:val="5"/>
        </w:numPr>
        <w:ind w:left="993" w:hanging="426"/>
      </w:pPr>
      <w:r>
        <w:t xml:space="preserve">Nová Scéna, Národní </w:t>
      </w:r>
      <w:r w:rsidR="00A3682E">
        <w:t>1393/</w:t>
      </w:r>
      <w:r>
        <w:t>4, Praha 1</w:t>
      </w:r>
    </w:p>
    <w:p w14:paraId="3C963FFA" w14:textId="77777777" w:rsidR="00D66589" w:rsidRDefault="00D66589" w:rsidP="00D66589">
      <w:pPr>
        <w:pStyle w:val="Odstavecseseznamem"/>
        <w:numPr>
          <w:ilvl w:val="0"/>
          <w:numId w:val="5"/>
        </w:numPr>
        <w:ind w:left="993" w:hanging="426"/>
      </w:pPr>
      <w:r>
        <w:t>Historická budova Stavovského divadla, Železná 540/11, Praha 1 – Staré Město</w:t>
      </w:r>
    </w:p>
    <w:p w14:paraId="6B211BFB" w14:textId="67E64E46" w:rsidR="00D66589" w:rsidRDefault="00D66589" w:rsidP="00D66589">
      <w:pPr>
        <w:pStyle w:val="Odstavecseseznamem"/>
        <w:numPr>
          <w:ilvl w:val="0"/>
          <w:numId w:val="5"/>
        </w:numPr>
        <w:ind w:left="993" w:hanging="426"/>
      </w:pPr>
      <w:r>
        <w:t>Provozní budova Stavovského divadla, Ovocný trh 579/6, Praha 1 – Staré Město</w:t>
      </w:r>
    </w:p>
    <w:p w14:paraId="703B54EE" w14:textId="77777777" w:rsidR="00536F44" w:rsidRDefault="00536F44" w:rsidP="00536F44">
      <w:pPr>
        <w:pStyle w:val="Odstavecseseznamem"/>
        <w:numPr>
          <w:ilvl w:val="0"/>
          <w:numId w:val="5"/>
        </w:numPr>
        <w:ind w:left="993" w:hanging="426"/>
      </w:pPr>
      <w:r>
        <w:t xml:space="preserve">Historická budova Státní opery, </w:t>
      </w:r>
      <w:r w:rsidR="00ED0635" w:rsidRPr="00ED0635">
        <w:t>Wilsonova 101/4, 11000 Praha 1 - Vinohrady</w:t>
      </w:r>
    </w:p>
    <w:p w14:paraId="2F362C44" w14:textId="77777777" w:rsidR="00536F44" w:rsidRDefault="00536F44" w:rsidP="00536F44">
      <w:pPr>
        <w:pStyle w:val="Odstavecseseznamem"/>
        <w:numPr>
          <w:ilvl w:val="0"/>
          <w:numId w:val="5"/>
        </w:numPr>
        <w:ind w:left="993" w:hanging="426"/>
      </w:pPr>
      <w:r>
        <w:t xml:space="preserve">Provozní budova Státní opery, </w:t>
      </w:r>
      <w:r w:rsidR="00ED0635" w:rsidRPr="00ED0635">
        <w:t>Legerova 57/75, 110 00 Praha 1 - Vinohrady</w:t>
      </w:r>
    </w:p>
    <w:p w14:paraId="4C4D05A5" w14:textId="77777777" w:rsidR="00D66589" w:rsidRDefault="00D66589" w:rsidP="00D66589">
      <w:pPr>
        <w:pStyle w:val="Odstavecseseznamem"/>
        <w:numPr>
          <w:ilvl w:val="0"/>
          <w:numId w:val="5"/>
        </w:numPr>
        <w:ind w:left="993" w:hanging="426"/>
      </w:pPr>
      <w:r>
        <w:t>Ateliéry a dílny, Vinohradská 117, Praha 3</w:t>
      </w:r>
    </w:p>
    <w:p w14:paraId="41DE55B8" w14:textId="77777777" w:rsidR="00D66589" w:rsidRDefault="00D66589" w:rsidP="00D66589">
      <w:pPr>
        <w:pStyle w:val="Odstavecseseznamem"/>
        <w:numPr>
          <w:ilvl w:val="0"/>
          <w:numId w:val="5"/>
        </w:numPr>
        <w:ind w:left="993" w:hanging="426"/>
      </w:pPr>
      <w:r>
        <w:t>Provozní budova ND Anenský areál, Anenské náměstí 211/2</w:t>
      </w:r>
      <w:r w:rsidR="00536F44">
        <w:t xml:space="preserve"> a 948/3</w:t>
      </w:r>
      <w:r>
        <w:t xml:space="preserve">, Praha 1 </w:t>
      </w:r>
    </w:p>
    <w:p w14:paraId="098B5854" w14:textId="77777777" w:rsidR="00D66589" w:rsidRDefault="00D66589" w:rsidP="00D66589">
      <w:pPr>
        <w:pStyle w:val="Odstavecseseznamem"/>
        <w:numPr>
          <w:ilvl w:val="0"/>
          <w:numId w:val="5"/>
        </w:numPr>
        <w:ind w:left="993" w:hanging="426"/>
      </w:pPr>
      <w:r>
        <w:t>Provozní budova ND areál Apolinář, Viničná 3, Praha 2</w:t>
      </w:r>
    </w:p>
    <w:p w14:paraId="41C831E2" w14:textId="2EA88F46" w:rsidR="00D66589" w:rsidRDefault="00D66589" w:rsidP="00D66589">
      <w:pPr>
        <w:pStyle w:val="Odstavecseseznamem"/>
        <w:numPr>
          <w:ilvl w:val="0"/>
          <w:numId w:val="5"/>
        </w:numPr>
        <w:ind w:left="993" w:hanging="426"/>
      </w:pPr>
      <w:r>
        <w:t xml:space="preserve">Skladovací budova ND v areálu Cukrovaru Čakovice, Praha 9 Cukrovarská ul., na pozemku parcel. č. 1252/23 a </w:t>
      </w:r>
      <w:proofErr w:type="spellStart"/>
      <w:r>
        <w:t>parc</w:t>
      </w:r>
      <w:proofErr w:type="spellEnd"/>
      <w:r>
        <w:t xml:space="preserve">. č. 1252/24, </w:t>
      </w:r>
      <w:proofErr w:type="spellStart"/>
      <w:proofErr w:type="gramStart"/>
      <w:r>
        <w:t>k.ú</w:t>
      </w:r>
      <w:proofErr w:type="spellEnd"/>
      <w:r>
        <w:t>.</w:t>
      </w:r>
      <w:proofErr w:type="gramEnd"/>
      <w:r>
        <w:t xml:space="preserve"> Čakovice</w:t>
      </w:r>
    </w:p>
    <w:p w14:paraId="382E7AC0" w14:textId="77777777" w:rsidR="00D66589" w:rsidRDefault="00D66589" w:rsidP="00D66589">
      <w:pPr>
        <w:pStyle w:val="Odstavecseseznamem"/>
        <w:numPr>
          <w:ilvl w:val="0"/>
          <w:numId w:val="5"/>
        </w:numPr>
        <w:ind w:left="993" w:hanging="426"/>
      </w:pPr>
      <w:r>
        <w:t xml:space="preserve">Skladovací budova ND v areálu Zemědělského areálu Čečelice-skladová hala bez </w:t>
      </w:r>
      <w:proofErr w:type="gramStart"/>
      <w:r>
        <w:t>č.p.</w:t>
      </w:r>
      <w:proofErr w:type="gramEnd"/>
      <w:r>
        <w:t xml:space="preserve">, 27732  Byšice, na pozemku parcel. St. 271/10, </w:t>
      </w:r>
      <w:proofErr w:type="spellStart"/>
      <w:proofErr w:type="gramStart"/>
      <w:r>
        <w:t>k.ú</w:t>
      </w:r>
      <w:proofErr w:type="spellEnd"/>
      <w:r>
        <w:t>.</w:t>
      </w:r>
      <w:proofErr w:type="gramEnd"/>
      <w:r>
        <w:t xml:space="preserve"> Čečelice</w:t>
      </w:r>
    </w:p>
    <w:p w14:paraId="6A27F4CF" w14:textId="108ECE60" w:rsidR="00D66589" w:rsidRPr="00C173F7" w:rsidRDefault="00D66589" w:rsidP="00650FA3">
      <w:pPr>
        <w:pStyle w:val="Styl1"/>
      </w:pPr>
      <w:r w:rsidRPr="00C173F7">
        <w:t>Tato smlouva se uzavírá na dobu určitou</w:t>
      </w:r>
      <w:r w:rsidR="00EC088A">
        <w:t xml:space="preserve"> a to ode dne nabytí účinnosti smlouvy na dobu 48 měsíců</w:t>
      </w:r>
      <w:r w:rsidR="00650FA3">
        <w:t>.</w:t>
      </w:r>
    </w:p>
    <w:p w14:paraId="19E799F8" w14:textId="0EA41CBC" w:rsidR="00D66589" w:rsidRDefault="00D66589" w:rsidP="00D66589">
      <w:pPr>
        <w:pStyle w:val="Styl1"/>
      </w:pPr>
      <w:r w:rsidRPr="002629DF">
        <w:t xml:space="preserve">Dodavatel je povinen provést </w:t>
      </w:r>
      <w:r>
        <w:t>Plnění</w:t>
      </w:r>
      <w:r w:rsidRPr="002629DF">
        <w:t xml:space="preserve"> sjednané v příslušné Prováděcí smlouvě</w:t>
      </w:r>
      <w:r>
        <w:t xml:space="preserve"> </w:t>
      </w:r>
      <w:r w:rsidRPr="002629DF">
        <w:t xml:space="preserve">a předat je Objednateli </w:t>
      </w:r>
      <w:r>
        <w:t>nejdéle do termínu v Prováděcí smlouvě určeném.</w:t>
      </w:r>
      <w:r w:rsidR="00DF0157">
        <w:t xml:space="preserve"> Pokud není určeno v</w:t>
      </w:r>
      <w:r w:rsidR="00B4485B">
        <w:t> Prováděcí smlouvě</w:t>
      </w:r>
      <w:r w:rsidR="00DF0157">
        <w:t xml:space="preserve">, platí </w:t>
      </w:r>
      <w:r w:rsidR="00062A61">
        <w:t xml:space="preserve">20 </w:t>
      </w:r>
      <w:r w:rsidR="00536F44">
        <w:t xml:space="preserve">pracovních </w:t>
      </w:r>
      <w:r w:rsidR="00DF0157">
        <w:t>dní od potvrzení zaslané Výzvy.</w:t>
      </w:r>
    </w:p>
    <w:p w14:paraId="650A80BB" w14:textId="77777777" w:rsidR="00D66589" w:rsidRDefault="00D66589" w:rsidP="00D66589">
      <w:pPr>
        <w:pStyle w:val="Styl1"/>
      </w:pPr>
      <w:r>
        <w:t>Obě smluvní strany mají právo tuto smlouvu vypovědět bez udání důvodu písemnou výpovědí, která musí být doručena druhé smluvní straně.</w:t>
      </w:r>
    </w:p>
    <w:p w14:paraId="5EF96444" w14:textId="77777777" w:rsidR="00D66589" w:rsidRDefault="00D66589" w:rsidP="00D66589">
      <w:pPr>
        <w:pStyle w:val="Styl1"/>
      </w:pPr>
      <w:r>
        <w:t xml:space="preserve">Výpovědní lhůta je sjednána šestiměsíční a počíná běžet 1. dnem následujícího kalendářního měsíce po doručení výpovědi. </w:t>
      </w:r>
    </w:p>
    <w:p w14:paraId="208878D8" w14:textId="77777777" w:rsidR="00D66589" w:rsidRDefault="00D66589" w:rsidP="00D66589">
      <w:pPr>
        <w:pStyle w:val="Styl1"/>
      </w:pPr>
      <w:r>
        <w:t>Tato smlouva může být ukončena dohodou smluvních stran.</w:t>
      </w:r>
    </w:p>
    <w:p w14:paraId="2E90BEC7" w14:textId="62B27EB9" w:rsidR="00D66589" w:rsidRDefault="00D66589" w:rsidP="00D66589">
      <w:pPr>
        <w:pStyle w:val="Styl1"/>
      </w:pPr>
      <w:r>
        <w:t>Odstoupení od smlouvy se řídí občanským zákoníkem č. 89/2012 Sb.</w:t>
      </w:r>
      <w:r w:rsidR="00D46781">
        <w:t xml:space="preserve"> v platném znění</w:t>
      </w:r>
      <w:r w:rsidR="00FA7253" w:rsidRPr="00FA7253">
        <w:t xml:space="preserve"> </w:t>
      </w:r>
      <w:r w:rsidR="00FA7253">
        <w:t>(dále jen „Občanský zákoník“)</w:t>
      </w:r>
      <w:r w:rsidR="00D46781">
        <w:t>,</w:t>
      </w:r>
      <w:r>
        <w:t xml:space="preserve"> není-li v této smlouvě stanoveno jinak.</w:t>
      </w:r>
    </w:p>
    <w:p w14:paraId="01F396A3" w14:textId="77777777" w:rsidR="007242C6" w:rsidRPr="002629DF" w:rsidRDefault="007242C6" w:rsidP="007242C6">
      <w:pPr>
        <w:pStyle w:val="Styl1"/>
        <w:numPr>
          <w:ilvl w:val="0"/>
          <w:numId w:val="0"/>
        </w:numPr>
        <w:ind w:left="574"/>
      </w:pPr>
    </w:p>
    <w:p w14:paraId="78E6A37C" w14:textId="77777777" w:rsidR="00D66589" w:rsidRDefault="00D66589" w:rsidP="00D66589">
      <w:pPr>
        <w:pStyle w:val="Nadpis1"/>
      </w:pPr>
      <w:r>
        <w:t>Záruční podmínky, odpovědnost za vady</w:t>
      </w:r>
    </w:p>
    <w:p w14:paraId="431AB5B3" w14:textId="77777777" w:rsidR="00D66589" w:rsidRDefault="00D66589" w:rsidP="00D66589">
      <w:pPr>
        <w:pStyle w:val="Styl1"/>
      </w:pPr>
      <w:r w:rsidRPr="00714C8B">
        <w:t>Dodavatel</w:t>
      </w:r>
      <w:r>
        <w:t xml:space="preserve"> zaručuje a odpovídá za to, že provedené plnění:</w:t>
      </w:r>
    </w:p>
    <w:p w14:paraId="72B962ED" w14:textId="77777777" w:rsidR="00D66589" w:rsidRDefault="00D66589" w:rsidP="00D66589">
      <w:pPr>
        <w:pStyle w:val="Styl1"/>
        <w:numPr>
          <w:ilvl w:val="1"/>
          <w:numId w:val="3"/>
        </w:numPr>
      </w:pPr>
      <w:r>
        <w:t>bude plně funkční a způsobilé pro použití k určenému či obvyklému účelu,</w:t>
      </w:r>
    </w:p>
    <w:p w14:paraId="4D150234" w14:textId="77777777" w:rsidR="00D66589" w:rsidRDefault="00D66589" w:rsidP="00D66589">
      <w:pPr>
        <w:pStyle w:val="Styl1"/>
        <w:numPr>
          <w:ilvl w:val="1"/>
          <w:numId w:val="3"/>
        </w:numPr>
      </w:pPr>
      <w:r>
        <w:t>bude použitelné v České republice,</w:t>
      </w:r>
    </w:p>
    <w:p w14:paraId="3A025224" w14:textId="77777777" w:rsidR="00D66589" w:rsidRDefault="00D66589" w:rsidP="00D66589">
      <w:pPr>
        <w:pStyle w:val="Styl1"/>
        <w:numPr>
          <w:ilvl w:val="1"/>
          <w:numId w:val="3"/>
        </w:numPr>
      </w:pPr>
      <w:r>
        <w:t>bude odpovídat sjednané specifikaci,</w:t>
      </w:r>
    </w:p>
    <w:p w14:paraId="06161356" w14:textId="77777777" w:rsidR="00D66589" w:rsidRDefault="00D66589" w:rsidP="00D66589">
      <w:pPr>
        <w:pStyle w:val="Styl1"/>
        <w:numPr>
          <w:ilvl w:val="1"/>
          <w:numId w:val="3"/>
        </w:numPr>
      </w:pPr>
      <w:r>
        <w:lastRenderedPageBreak/>
        <w:t>bude bez faktických vad,</w:t>
      </w:r>
    </w:p>
    <w:p w14:paraId="17F07F12" w14:textId="77777777" w:rsidR="00D66589" w:rsidRDefault="00D66589" w:rsidP="00D66589">
      <w:pPr>
        <w:pStyle w:val="Styl1"/>
        <w:numPr>
          <w:ilvl w:val="1"/>
          <w:numId w:val="3"/>
        </w:numPr>
      </w:pPr>
      <w:r>
        <w:t>bude bez právních vad,</w:t>
      </w:r>
    </w:p>
    <w:p w14:paraId="00478B31" w14:textId="77777777" w:rsidR="00D66589" w:rsidRDefault="00D66589" w:rsidP="00D66589">
      <w:pPr>
        <w:pStyle w:val="Styl1"/>
        <w:numPr>
          <w:ilvl w:val="1"/>
          <w:numId w:val="3"/>
        </w:numPr>
      </w:pPr>
      <w:r>
        <w:t>bude splňovat veškeré nároky a požadavky českého právního řádu.</w:t>
      </w:r>
    </w:p>
    <w:p w14:paraId="53B38C60" w14:textId="06F4147A" w:rsidR="00D66589" w:rsidRDefault="00D66589" w:rsidP="00D66589">
      <w:pPr>
        <w:pStyle w:val="Styl1"/>
      </w:pPr>
      <w:r>
        <w:t>Dodavatel</w:t>
      </w:r>
      <w:r w:rsidRPr="002629DF">
        <w:t xml:space="preserve"> poskytne objednateli záruku na </w:t>
      </w:r>
      <w:r w:rsidR="00225093">
        <w:t>provedené práce a dodané komponenty</w:t>
      </w:r>
      <w:r w:rsidR="00486799">
        <w:t xml:space="preserve"> požárně bezpečnostní</w:t>
      </w:r>
      <w:r w:rsidR="00225093">
        <w:t>ch</w:t>
      </w:r>
      <w:r w:rsidR="00486799">
        <w:t xml:space="preserve"> zařízení</w:t>
      </w:r>
      <w:r w:rsidRPr="002629DF">
        <w:t xml:space="preserve"> v délce 24 měsíců.</w:t>
      </w:r>
      <w:r w:rsidR="00486799">
        <w:t xml:space="preserve"> Záruka začne plynout od data převzetí konkrétního Plnění Objednatelem.</w:t>
      </w:r>
    </w:p>
    <w:p w14:paraId="2A1D13D9" w14:textId="77777777" w:rsidR="007242C6" w:rsidRPr="002629DF" w:rsidRDefault="007242C6" w:rsidP="007242C6">
      <w:pPr>
        <w:pStyle w:val="Styl1"/>
        <w:numPr>
          <w:ilvl w:val="0"/>
          <w:numId w:val="0"/>
        </w:numPr>
        <w:ind w:left="574"/>
      </w:pPr>
    </w:p>
    <w:p w14:paraId="388F2CF2" w14:textId="77777777" w:rsidR="00D66589" w:rsidRDefault="00D66589" w:rsidP="00D66589">
      <w:pPr>
        <w:pStyle w:val="Nadpis1"/>
      </w:pPr>
      <w:r>
        <w:t>Smluvní pokuty</w:t>
      </w:r>
    </w:p>
    <w:p w14:paraId="67BC13D5" w14:textId="59B9D050" w:rsidR="00D66589" w:rsidRPr="00714C8B" w:rsidRDefault="00D66589" w:rsidP="00D66589">
      <w:pPr>
        <w:pStyle w:val="Styl1"/>
      </w:pPr>
      <w:r w:rsidRPr="00714C8B">
        <w:t xml:space="preserve">V případě nedodržení dohodnutých termínů realizace </w:t>
      </w:r>
      <w:r>
        <w:t xml:space="preserve">předmětu plnění smlouvy </w:t>
      </w:r>
      <w:r w:rsidR="003F63D1">
        <w:t xml:space="preserve">dle </w:t>
      </w:r>
      <w:r>
        <w:t>čl. 6</w:t>
      </w:r>
      <w:r w:rsidRPr="00714C8B">
        <w:t xml:space="preserve"> smlouvy</w:t>
      </w:r>
      <w:r w:rsidR="00062A61">
        <w:t xml:space="preserve"> vč. předání příslušného Protokolu Objednateli</w:t>
      </w:r>
      <w:r w:rsidRPr="00714C8B">
        <w:t>, je zhotovitel povinen uhradit objednateli smluvní pokutu ve výši 1000 Kč za každý den prodlení. Tato smluvní pokuta je zúčtovatelná proti úhradě ceny předmětu plnění.</w:t>
      </w:r>
      <w:r w:rsidR="00536F44">
        <w:t xml:space="preserve"> Zaplacením smluvní pokuty není dotčeno právo požadovat náhradu škody, které vznikne Objednateli v souvislosti s prodlením (např. sankce orgánů státní správy apod.).</w:t>
      </w:r>
    </w:p>
    <w:p w14:paraId="3551BD01" w14:textId="00C51CB1" w:rsidR="00D66589" w:rsidRPr="00714C8B" w:rsidRDefault="00D66589" w:rsidP="00D66589">
      <w:pPr>
        <w:pStyle w:val="Styl1"/>
      </w:pPr>
      <w:r w:rsidRPr="00714C8B">
        <w:t xml:space="preserve">Pokud bude </w:t>
      </w:r>
      <w:r w:rsidR="00B85585">
        <w:t>Dodavatel</w:t>
      </w:r>
      <w:r w:rsidRPr="00714C8B">
        <w:t xml:space="preserve"> v prodlení oproti termínu realizace předmětu plnění dle této smlouvy delší než 20 dnů, </w:t>
      </w:r>
      <w:r w:rsidR="005654BF">
        <w:t>O</w:t>
      </w:r>
      <w:r w:rsidRPr="00714C8B">
        <w:t xml:space="preserve">bjednatel je oprávněn od této smlouvy odstoupit. Odstoupení musí být písemné a je účinné dnem doručení </w:t>
      </w:r>
      <w:r w:rsidR="005654BF">
        <w:t>Dodavateli</w:t>
      </w:r>
      <w:r w:rsidRPr="00714C8B">
        <w:t xml:space="preserve">. Odstoupením od smlouvy nezaniká právo </w:t>
      </w:r>
      <w:r w:rsidR="009705D8">
        <w:t>O</w:t>
      </w:r>
      <w:r w:rsidRPr="00714C8B">
        <w:t xml:space="preserve">bjednatele na úhradu náhrady škody vzniklé v souvislosti s porušením závazku </w:t>
      </w:r>
      <w:r w:rsidR="00085E8C">
        <w:t>Dodavatele</w:t>
      </w:r>
      <w:r w:rsidRPr="00714C8B">
        <w:t xml:space="preserve">. </w:t>
      </w:r>
    </w:p>
    <w:p w14:paraId="1BCC950D" w14:textId="24EA5F8F" w:rsidR="00D66589" w:rsidRPr="00714C8B" w:rsidRDefault="00D66589" w:rsidP="00D66589">
      <w:pPr>
        <w:pStyle w:val="Styl1"/>
      </w:pPr>
      <w:r w:rsidRPr="00714C8B">
        <w:t xml:space="preserve">Objednatel je oprávněn v případě prodlení </w:t>
      </w:r>
      <w:r w:rsidR="004F1795">
        <w:t>Dodavatele</w:t>
      </w:r>
      <w:r w:rsidR="004F1795" w:rsidRPr="00714C8B">
        <w:t xml:space="preserve"> </w:t>
      </w:r>
      <w:r w:rsidRPr="00714C8B">
        <w:t>s odstraněním reklamova</w:t>
      </w:r>
      <w:r>
        <w:t>ných vad Plnění</w:t>
      </w:r>
      <w:r w:rsidRPr="00714C8B">
        <w:t xml:space="preserve"> v záruční době formou smluvní pokuty ve výši 500 Kč za každý den prodlení.</w:t>
      </w:r>
    </w:p>
    <w:p w14:paraId="127EC45B" w14:textId="70A717B2" w:rsidR="00D66589" w:rsidRPr="00714C8B" w:rsidRDefault="00D66589" w:rsidP="00F90C45">
      <w:pPr>
        <w:pStyle w:val="Styl1"/>
      </w:pPr>
      <w:r w:rsidRPr="00714C8B">
        <w:t xml:space="preserve">Bude-li </w:t>
      </w:r>
      <w:r w:rsidR="00790523">
        <w:t>O</w:t>
      </w:r>
      <w:r w:rsidRPr="00714C8B">
        <w:t xml:space="preserve">bjednatel v prodlení s úhradou faktur, bude </w:t>
      </w:r>
      <w:r w:rsidR="000F6B2E">
        <w:t>Dodavatel</w:t>
      </w:r>
      <w:r w:rsidR="000F6B2E" w:rsidRPr="00714C8B">
        <w:t xml:space="preserve"> </w:t>
      </w:r>
      <w:r w:rsidRPr="00714C8B">
        <w:t xml:space="preserve">účtovat úrok z prodlení ve výši stanovené </w:t>
      </w:r>
      <w:r w:rsidR="00F90C45">
        <w:t xml:space="preserve">příslušnými </w:t>
      </w:r>
      <w:r w:rsidR="00F90C45" w:rsidRPr="00F90C45">
        <w:t>právními předpisy</w:t>
      </w:r>
      <w:r w:rsidR="00F90C45">
        <w:t xml:space="preserve"> platnými a účinnými</w:t>
      </w:r>
      <w:r w:rsidRPr="00714C8B">
        <w:t xml:space="preserve"> ke dni vzniku prodlení s úhradou.</w:t>
      </w:r>
    </w:p>
    <w:p w14:paraId="243F861E" w14:textId="77777777" w:rsidR="00D66589" w:rsidRDefault="00D66589" w:rsidP="00D66589">
      <w:pPr>
        <w:pStyle w:val="Styl1"/>
      </w:pPr>
      <w:r w:rsidRPr="00714C8B">
        <w:t>Zaplacení smluvní pokuty a úroku z prodlení není dotčeno právo oprávněné strany na náhradu škody vzniklé v příčinné souvislosti s porušením smluvní povinnosti, za jejíž nedodržení jsou smluvní pokuta nebo úrok z prodlení vymáháni a účtovány.</w:t>
      </w:r>
    </w:p>
    <w:p w14:paraId="3408E313" w14:textId="77777777" w:rsidR="007242C6" w:rsidRPr="00714C8B" w:rsidRDefault="007242C6" w:rsidP="007242C6">
      <w:pPr>
        <w:pStyle w:val="Styl1"/>
        <w:numPr>
          <w:ilvl w:val="0"/>
          <w:numId w:val="0"/>
        </w:numPr>
        <w:ind w:left="574"/>
      </w:pPr>
    </w:p>
    <w:p w14:paraId="53FC0FE4" w14:textId="77777777" w:rsidR="00D66589" w:rsidRDefault="00D66589" w:rsidP="00D66589">
      <w:pPr>
        <w:pStyle w:val="Nadpis1"/>
      </w:pPr>
      <w:r>
        <w:t>Závazky smluvních stran při plnění dle Prováděcích smluv</w:t>
      </w:r>
    </w:p>
    <w:p w14:paraId="07FA7C51" w14:textId="44B753AE" w:rsidR="00D66589" w:rsidRDefault="00D66589" w:rsidP="00D66589">
      <w:pPr>
        <w:pStyle w:val="Styl1"/>
      </w:pPr>
      <w:r>
        <w:t>Objednatel se zavazuje zajistit pracovníkům Dodavatele během plnění předmětu této Rámcové smlouvy, je-li to nezbytné, přístup na příslušná pracoviště Objednatele a součinnost nezbytnou k</w:t>
      </w:r>
      <w:r w:rsidR="00594E0A">
        <w:t> </w:t>
      </w:r>
      <w:r>
        <w:t>provedení Plnění. Dodavatel se zavazuje dodržovat v objektech Objednatele příslušné vnitřní pokyny a směrnice stanovující provozně technické a bezpečnostní podmínky pohybu osob v</w:t>
      </w:r>
      <w:r w:rsidR="00594E0A">
        <w:t> </w:t>
      </w:r>
      <w:r>
        <w:t>objektech Objednatele. Při plnění této Rámcové smlouvy v objektech Objednatele musí Dodavatel v maximální míře respektovat nutnost zajištění nerušeného užívání objektů jejich uživateli.</w:t>
      </w:r>
      <w:r w:rsidR="00355E41">
        <w:t xml:space="preserve"> Dodavatel nesmí svojí činností ohrozit nebo bez předchozí vzájemné dohody omezit provoz objektů ND.</w:t>
      </w:r>
    </w:p>
    <w:p w14:paraId="2F7FE4C7" w14:textId="2EC83A68" w:rsidR="00D66589" w:rsidRPr="002629DF" w:rsidRDefault="00C173F7" w:rsidP="002551DF">
      <w:pPr>
        <w:pStyle w:val="Styl1"/>
      </w:pPr>
      <w:r>
        <w:t>Zástup</w:t>
      </w:r>
      <w:r w:rsidR="002551DF">
        <w:t xml:space="preserve">ci jednotlivých objektů Národního divadlo oprávnění k odeslání Výzvy jsou uvedeni v Příloze č. </w:t>
      </w:r>
      <w:r w:rsidR="00B72863">
        <w:t>3</w:t>
      </w:r>
      <w:r w:rsidR="00C025BA">
        <w:t xml:space="preserve"> –</w:t>
      </w:r>
      <w:r w:rsidR="002551DF">
        <w:t xml:space="preserve"> </w:t>
      </w:r>
      <w:r w:rsidR="002551DF" w:rsidRPr="002551DF">
        <w:t>Seznam oprávněných osob za objekty ND</w:t>
      </w:r>
      <w:r w:rsidR="00D46781">
        <w:t>, která je nedílnou součástí této Rámcové smlouvy</w:t>
      </w:r>
      <w:r w:rsidR="002551DF">
        <w:t>.</w:t>
      </w:r>
      <w:r w:rsidR="000F71BC">
        <w:t xml:space="preserve"> Případná změna oprávněných osob bude Dodavateli oznámena písemně.</w:t>
      </w:r>
    </w:p>
    <w:p w14:paraId="5878665B" w14:textId="77777777" w:rsidR="00D66589" w:rsidRDefault="00D66589" w:rsidP="00D66589">
      <w:pPr>
        <w:pStyle w:val="Styl1"/>
      </w:pPr>
      <w:r>
        <w:t xml:space="preserve">Dodavatel je povinen postupovat při plnění této Rámcové smlouvy svědomitě a s řádnou a odbornou péčí. Dodavatel je povinen pověřit plněním závazků z této Rámcové smlouvy pouze ty své zaměstnance, kteří jsou k tomu odborně způsobilí. Při poskytování služeb je Dodavatel vázán touto Rámcovou smlouvou, zákony, obecně závaznými právními předpisy a pokyny Objednatele, pokud tyto nejsou v rozporu s těmito normami nebo zájmy Objednatele. Dodavatel potvrzuje, že Objednatel mu před podpisem této Rámcové smlouvy předal všechny podklady nutné k řádnému </w:t>
      </w:r>
      <w:r>
        <w:lastRenderedPageBreak/>
        <w:t>provedení služeb.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1DFB9684" w14:textId="492B7976" w:rsidR="00D66589" w:rsidRDefault="00D66589" w:rsidP="00D66589">
      <w:pPr>
        <w:pStyle w:val="Styl1"/>
      </w:pPr>
      <w:r>
        <w:t>Po celou dobu plnění této Rámcové smlouvy Dodavatel zodpovídá za dodržování bezpečnosti a ochrany zdraví při práci a dodržování příslušných ustanovení zákoníku práce u svých zaměstnanců. Stejně tak zodpovídá i za dodržování požární ochrany při plnění této Rámcové smlouvy. Dodavatel i jeho zaměstnanci musí respektovat kontrolní činnost Objednatele přijímáním účinných opatření bez prodlení.</w:t>
      </w:r>
    </w:p>
    <w:p w14:paraId="494927C6" w14:textId="0E4FE1D4" w:rsidR="00E26680" w:rsidRDefault="00D46781" w:rsidP="00E26680">
      <w:pPr>
        <w:pStyle w:val="Styl1"/>
      </w:pPr>
      <w:r w:rsidRPr="00D46781">
        <w:t>Dodavatel nese nebezpečí škody na předmětu plnění až do okamžiku podpisu protokolu o provedení Plnění Objednatelem. Podpisem protokolu o provedení Plnění přechází nebezpečí škody na plnění na Objednatele.</w:t>
      </w:r>
    </w:p>
    <w:p w14:paraId="13FD7868" w14:textId="5544EBC4" w:rsidR="00294BB8" w:rsidRDefault="009A4F9A" w:rsidP="00294BB8">
      <w:pPr>
        <w:pStyle w:val="Styl1"/>
      </w:pPr>
      <w:r>
        <w:t xml:space="preserve">Dodavatel </w:t>
      </w:r>
      <w:r w:rsidR="00294BB8">
        <w:t xml:space="preserve">se zavazuje, že seznámí všechny svoje zaměstnance a další osoby, které se budou podílet na realizaci předmětného díla se vstupní instruktáží o požární ochraně a bezpečnosti práce, která je dostupná na webové stránce ND: </w:t>
      </w:r>
    </w:p>
    <w:p w14:paraId="7E00F3D6" w14:textId="4330DE04" w:rsidR="00294BB8" w:rsidRDefault="00294BB8" w:rsidP="00294BB8">
      <w:pPr>
        <w:pStyle w:val="Styl1"/>
        <w:numPr>
          <w:ilvl w:val="0"/>
          <w:numId w:val="0"/>
        </w:numPr>
        <w:ind w:left="574"/>
      </w:pPr>
      <w:r>
        <w:t>https://</w:t>
      </w:r>
      <w:proofErr w:type="gramStart"/>
      <w:r>
        <w:t>www.narodni-divadlo</w:t>
      </w:r>
      <w:proofErr w:type="gramEnd"/>
      <w:r>
        <w:t>.cz/cs/dokumenty-o-divadle</w:t>
      </w:r>
    </w:p>
    <w:p w14:paraId="05975294" w14:textId="7DAEF142" w:rsidR="00294BB8" w:rsidRDefault="00294BB8" w:rsidP="00294BB8">
      <w:pPr>
        <w:pStyle w:val="Styl1"/>
        <w:numPr>
          <w:ilvl w:val="0"/>
          <w:numId w:val="0"/>
        </w:numPr>
        <w:ind w:left="574"/>
      </w:pPr>
      <w:r>
        <w:t>https://</w:t>
      </w:r>
      <w:proofErr w:type="gramStart"/>
      <w:r>
        <w:t>www.narodni-divadlo</w:t>
      </w:r>
      <w:proofErr w:type="gramEnd"/>
      <w:r>
        <w:t>.cz/en/documents-about-nt</w:t>
      </w:r>
    </w:p>
    <w:p w14:paraId="29973438" w14:textId="77777777" w:rsidR="00294BB8" w:rsidRDefault="00294BB8" w:rsidP="00294BB8">
      <w:pPr>
        <w:pStyle w:val="Styl1"/>
        <w:numPr>
          <w:ilvl w:val="0"/>
          <w:numId w:val="0"/>
        </w:numPr>
        <w:ind w:left="574"/>
      </w:pPr>
    </w:p>
    <w:p w14:paraId="79278A2E" w14:textId="77777777" w:rsidR="00E26680" w:rsidRPr="00E26680" w:rsidRDefault="00E26680" w:rsidP="00E26680">
      <w:pPr>
        <w:pStyle w:val="Styl1"/>
        <w:numPr>
          <w:ilvl w:val="0"/>
          <w:numId w:val="0"/>
        </w:numPr>
        <w:ind w:left="574"/>
      </w:pPr>
    </w:p>
    <w:p w14:paraId="7D7DD64D" w14:textId="77777777" w:rsidR="00D66589" w:rsidRDefault="00D66589" w:rsidP="00D66589">
      <w:pPr>
        <w:pStyle w:val="Nadpis1"/>
      </w:pPr>
      <w:r>
        <w:t>Závěrečná ustanovení</w:t>
      </w:r>
    </w:p>
    <w:p w14:paraId="5F933A89" w14:textId="1DE2FE09" w:rsidR="00D66589" w:rsidRDefault="00D66589" w:rsidP="00D66589">
      <w:pPr>
        <w:pStyle w:val="Styl1"/>
      </w:pPr>
      <w:r>
        <w:t xml:space="preserve">Jakékoli dohody stran jsou závazné pouze tehdy, jsou-li uvedeny v této </w:t>
      </w:r>
      <w:r w:rsidR="00C648D4">
        <w:t xml:space="preserve">Rámcové </w:t>
      </w:r>
      <w:r>
        <w:t xml:space="preserve">smlouvě nebo jejím event. dodatku. Změny této </w:t>
      </w:r>
      <w:r w:rsidR="007D4E11">
        <w:t xml:space="preserve">Rámcové </w:t>
      </w:r>
      <w:r>
        <w:t>smlouvy je možno provést pouze písemnou formou jako její dodatek</w:t>
      </w:r>
      <w:r w:rsidR="00D46781" w:rsidRPr="00D46781">
        <w:t xml:space="preserve"> </w:t>
      </w:r>
      <w:r w:rsidR="00D46781">
        <w:t>podepsaný oprávněnými zástupci smluvních stran</w:t>
      </w:r>
      <w:r>
        <w:t>.</w:t>
      </w:r>
    </w:p>
    <w:p w14:paraId="2E398FA2" w14:textId="5015B1D1" w:rsidR="00D66589" w:rsidRDefault="00D66589" w:rsidP="00D66589">
      <w:pPr>
        <w:pStyle w:val="Styl1"/>
      </w:pPr>
      <w:r>
        <w:t xml:space="preserve">Smluvní strany tímto vylučují pro použití § 1740 odst. 3 </w:t>
      </w:r>
      <w:r w:rsidR="00BD0513">
        <w:t>O</w:t>
      </w:r>
      <w:r>
        <w:t xml:space="preserve">bčanského zákoníku, který stanoví, že smlouva je uzavřena i tehdy, kdy nedojde k úplné shodě projevů vůle smluvních stran. </w:t>
      </w:r>
    </w:p>
    <w:p w14:paraId="6392F86B" w14:textId="341A3553" w:rsidR="009D6C30" w:rsidRDefault="009D6C30" w:rsidP="00D66589">
      <w:pPr>
        <w:pStyle w:val="Styl1"/>
      </w:pPr>
      <w:r w:rsidRPr="009D6C30">
        <w:t>Tato</w:t>
      </w:r>
      <w:r w:rsidR="00853682">
        <w:t xml:space="preserve"> Rámcová</w:t>
      </w:r>
      <w:r w:rsidRPr="009D6C30">
        <w:t xml:space="preserve">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r w:rsidR="00D66589">
        <w:t xml:space="preserve"> </w:t>
      </w:r>
    </w:p>
    <w:p w14:paraId="714808F9" w14:textId="6B53832D" w:rsidR="00D66589" w:rsidRDefault="00D66589" w:rsidP="00D66589">
      <w:pPr>
        <w:pStyle w:val="Styl1"/>
      </w:pPr>
      <w:r>
        <w:t xml:space="preserve">Tato </w:t>
      </w:r>
      <w:r w:rsidR="00C53024">
        <w:t xml:space="preserve">Rámcová </w:t>
      </w:r>
      <w:r>
        <w:t xml:space="preserve">smlouva nabývá platnosti dnem jejího podpisu smluvními stranami a účinnosti dnem jejího uveřejnění v registru smluv dle zákona č. 340/2015 Sb. Práva a povinnosti </w:t>
      </w:r>
      <w:r w:rsidR="00D46781">
        <w:t xml:space="preserve">smluvních stran </w:t>
      </w:r>
      <w:r>
        <w:t xml:space="preserve">vyplývající z této smlouvy se řídí </w:t>
      </w:r>
      <w:r w:rsidR="005E6AF2">
        <w:t>O</w:t>
      </w:r>
      <w:r>
        <w:t>bčanský</w:t>
      </w:r>
      <w:r w:rsidR="005E6AF2">
        <w:t>m</w:t>
      </w:r>
      <w:r>
        <w:t xml:space="preserve"> zákoník</w:t>
      </w:r>
      <w:r w:rsidR="005E6AF2">
        <w:t>em</w:t>
      </w:r>
      <w:r w:rsidR="00D46781">
        <w:t>, v platném znění,</w:t>
      </w:r>
      <w:r>
        <w:t xml:space="preserve"> není-li v této smlouvě stanoveno jinak.</w:t>
      </w:r>
    </w:p>
    <w:p w14:paraId="1F415EAC" w14:textId="283F46A7" w:rsidR="002A2F09" w:rsidRDefault="002A2F09" w:rsidP="002A2F09">
      <w:pPr>
        <w:pStyle w:val="Styl1"/>
      </w:pPr>
      <w:r w:rsidRPr="002A2F09">
        <w:t xml:space="preserve">Smluvní strany se dohodly, že v případě, kdy do jejich smluvního vztahu založeného touto </w:t>
      </w:r>
      <w:r w:rsidR="00DC37BD">
        <w:t xml:space="preserve">Rámcovou </w:t>
      </w:r>
      <w:r w:rsidRPr="002A2F09">
        <w:t>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38D3177" w14:textId="1CC05A8E" w:rsidR="00D66589" w:rsidRDefault="00D66589" w:rsidP="00D66589">
      <w:pPr>
        <w:pStyle w:val="Styl1"/>
      </w:pPr>
      <w:r>
        <w:t xml:space="preserve">Obě smluvní strany prohlašují, že </w:t>
      </w:r>
      <w:r w:rsidR="00D65BB6">
        <w:t xml:space="preserve">Rámcovou </w:t>
      </w:r>
      <w:r>
        <w:t>smlouvu přečetly, s jejím obsahem souhlasí a na důkaz toho připojují své podpisy.</w:t>
      </w:r>
    </w:p>
    <w:p w14:paraId="69BA099F" w14:textId="6E4BFCA7" w:rsidR="00D9364E" w:rsidRDefault="00D9364E" w:rsidP="00D9364E">
      <w:pPr>
        <w:pStyle w:val="Styl1"/>
      </w:pPr>
      <w:r w:rsidRPr="00D9364E">
        <w:lastRenderedPageBreak/>
        <w:t>Veškeré přílohy jsou nedílnou součástí této Rámcové smlouvy.</w:t>
      </w:r>
    </w:p>
    <w:p w14:paraId="31FD3A36" w14:textId="77777777" w:rsidR="00E26680" w:rsidRDefault="00E26680" w:rsidP="00D66589">
      <w:pPr>
        <w:ind w:firstLine="709"/>
      </w:pPr>
    </w:p>
    <w:p w14:paraId="0B3CF903" w14:textId="77A5E2DD" w:rsidR="00C173F7" w:rsidRDefault="00D66589" w:rsidP="00D66589">
      <w:pPr>
        <w:ind w:firstLine="709"/>
      </w:pPr>
      <w:r>
        <w:t xml:space="preserve">Přílohy: </w:t>
      </w:r>
    </w:p>
    <w:p w14:paraId="3D299532" w14:textId="51B8D1B3" w:rsidR="00D66589" w:rsidRDefault="00E26680" w:rsidP="00D66589">
      <w:pPr>
        <w:ind w:firstLine="709"/>
      </w:pPr>
      <w:r>
        <w:t xml:space="preserve">Příloha č. 1 – </w:t>
      </w:r>
      <w:r w:rsidR="00D66589" w:rsidRPr="00CF337A">
        <w:t>Jednotkové ceny činností a materiálů</w:t>
      </w:r>
    </w:p>
    <w:p w14:paraId="305E1D74" w14:textId="767E06A8" w:rsidR="00973FB7" w:rsidRDefault="00973FB7" w:rsidP="00973FB7">
      <w:pPr>
        <w:ind w:left="709"/>
        <w:jc w:val="left"/>
      </w:pPr>
      <w:r>
        <w:t xml:space="preserve">Příloha č. </w:t>
      </w:r>
      <w:r w:rsidR="00576A38">
        <w:t>2</w:t>
      </w:r>
      <w:r>
        <w:t xml:space="preserve"> – Orientační přehled požárních zařízení v </w:t>
      </w:r>
      <w:r w:rsidRPr="00DC7BCF">
        <w:t xml:space="preserve">objektech </w:t>
      </w:r>
      <w:r>
        <w:t>ND</w:t>
      </w:r>
    </w:p>
    <w:p w14:paraId="254B4213" w14:textId="158A0660" w:rsidR="00275177" w:rsidRDefault="00275177" w:rsidP="00275177">
      <w:pPr>
        <w:ind w:left="709"/>
        <w:jc w:val="left"/>
      </w:pPr>
      <w:r>
        <w:t xml:space="preserve">Příloha č. </w:t>
      </w:r>
      <w:r w:rsidR="00973FB7">
        <w:t>3</w:t>
      </w:r>
      <w:r>
        <w:t xml:space="preserve"> – </w:t>
      </w:r>
      <w:r w:rsidRPr="002551DF">
        <w:t>Seznam oprávněných osob za objekty ND</w:t>
      </w:r>
      <w:r w:rsidR="00973FB7">
        <w:t xml:space="preserve"> (volná příloha)</w:t>
      </w:r>
    </w:p>
    <w:p w14:paraId="6C1C24B6" w14:textId="77777777" w:rsidR="00D66589" w:rsidRDefault="00D66589" w:rsidP="00D66589">
      <w:pPr>
        <w:pStyle w:val="Zkladntextodsazen3"/>
        <w:tabs>
          <w:tab w:val="left" w:pos="-1418"/>
          <w:tab w:val="left" w:pos="4536"/>
        </w:tabs>
        <w:ind w:left="0"/>
        <w:rPr>
          <w:rFonts w:ascii="Franklin Gothic Book" w:hAnsi="Franklin Gothic Book"/>
          <w:sz w:val="22"/>
          <w:szCs w:val="22"/>
        </w:rPr>
      </w:pPr>
    </w:p>
    <w:p w14:paraId="0EB93F59" w14:textId="148FCBDF" w:rsidR="00D66589" w:rsidRPr="002629DF" w:rsidRDefault="00D66589" w:rsidP="00D66589">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V …</w:t>
      </w:r>
      <w:r w:rsidR="00791FCD">
        <w:rPr>
          <w:rFonts w:ascii="Arial" w:hAnsi="Arial" w:cs="Arial"/>
          <w:sz w:val="20"/>
          <w:szCs w:val="20"/>
        </w:rPr>
        <w:t>……………</w:t>
      </w:r>
      <w:r w:rsidRPr="002629DF">
        <w:rPr>
          <w:rFonts w:ascii="Arial" w:hAnsi="Arial" w:cs="Arial"/>
          <w:sz w:val="20"/>
          <w:szCs w:val="20"/>
        </w:rPr>
        <w:t xml:space="preserve"> dne</w:t>
      </w:r>
      <w:r>
        <w:rPr>
          <w:rFonts w:ascii="Arial" w:hAnsi="Arial" w:cs="Arial"/>
          <w:sz w:val="20"/>
          <w:szCs w:val="20"/>
        </w:rPr>
        <w:t xml:space="preserve">: </w:t>
      </w:r>
      <w:r>
        <w:rPr>
          <w:rFonts w:ascii="Arial" w:hAnsi="Arial" w:cs="Arial"/>
          <w:sz w:val="20"/>
          <w:szCs w:val="20"/>
        </w:rPr>
        <w:tab/>
        <w:t xml:space="preserve">                  V Praze</w:t>
      </w:r>
      <w:r w:rsidRPr="002629DF">
        <w:rPr>
          <w:rFonts w:ascii="Arial" w:hAnsi="Arial" w:cs="Arial"/>
          <w:sz w:val="20"/>
          <w:szCs w:val="20"/>
        </w:rPr>
        <w:t xml:space="preserve">: </w:t>
      </w:r>
    </w:p>
    <w:p w14:paraId="2736F87E" w14:textId="77777777" w:rsidR="00D66589" w:rsidRPr="002629DF" w:rsidRDefault="00D66589" w:rsidP="00D66589">
      <w:pPr>
        <w:pStyle w:val="Zkladntextodsazen3"/>
        <w:tabs>
          <w:tab w:val="left" w:pos="-1418"/>
          <w:tab w:val="left" w:pos="5103"/>
        </w:tabs>
        <w:ind w:left="0" w:firstLine="709"/>
        <w:rPr>
          <w:rFonts w:ascii="Arial" w:hAnsi="Arial" w:cs="Arial"/>
          <w:sz w:val="20"/>
          <w:szCs w:val="20"/>
        </w:rPr>
      </w:pPr>
    </w:p>
    <w:p w14:paraId="02E7B040" w14:textId="08FE91A5" w:rsidR="00D66589" w:rsidRPr="002629DF" w:rsidRDefault="00D66589" w:rsidP="00D66589">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 xml:space="preserve">Za </w:t>
      </w:r>
      <w:r w:rsidR="00DD7921">
        <w:rPr>
          <w:rFonts w:ascii="Arial" w:hAnsi="Arial" w:cs="Arial"/>
          <w:sz w:val="20"/>
          <w:szCs w:val="20"/>
        </w:rPr>
        <w:t>D</w:t>
      </w:r>
      <w:r>
        <w:rPr>
          <w:rFonts w:ascii="Arial" w:hAnsi="Arial" w:cs="Arial"/>
          <w:sz w:val="20"/>
          <w:szCs w:val="20"/>
        </w:rPr>
        <w:t>odavatele:</w:t>
      </w:r>
      <w:r w:rsidRPr="002629DF">
        <w:rPr>
          <w:rFonts w:ascii="Arial" w:hAnsi="Arial" w:cs="Arial"/>
          <w:sz w:val="20"/>
          <w:szCs w:val="20"/>
        </w:rPr>
        <w:tab/>
        <w:t xml:space="preserve">                  Za </w:t>
      </w:r>
      <w:r w:rsidR="00DD7921">
        <w:rPr>
          <w:rFonts w:ascii="Arial" w:hAnsi="Arial" w:cs="Arial"/>
          <w:sz w:val="20"/>
          <w:szCs w:val="20"/>
        </w:rPr>
        <w:t>O</w:t>
      </w:r>
      <w:r w:rsidRPr="002629DF">
        <w:rPr>
          <w:rFonts w:ascii="Arial" w:hAnsi="Arial" w:cs="Arial"/>
          <w:sz w:val="20"/>
          <w:szCs w:val="20"/>
        </w:rPr>
        <w:t>bjednatele:</w:t>
      </w:r>
    </w:p>
    <w:p w14:paraId="66645FC0" w14:textId="6A13C0CE" w:rsidR="00D66589" w:rsidRDefault="00D66589" w:rsidP="00D66589">
      <w:pPr>
        <w:pStyle w:val="Zkladntextodsazen3"/>
        <w:tabs>
          <w:tab w:val="left" w:pos="-1418"/>
          <w:tab w:val="left" w:pos="5103"/>
        </w:tabs>
        <w:ind w:left="0" w:firstLine="709"/>
        <w:rPr>
          <w:rFonts w:ascii="Arial" w:hAnsi="Arial" w:cs="Arial"/>
          <w:sz w:val="20"/>
          <w:szCs w:val="20"/>
        </w:rPr>
      </w:pPr>
    </w:p>
    <w:p w14:paraId="12D887E3" w14:textId="77777777" w:rsidR="00E26680" w:rsidRPr="002629DF" w:rsidRDefault="00E26680" w:rsidP="00D66589">
      <w:pPr>
        <w:pStyle w:val="Zkladntextodsazen3"/>
        <w:tabs>
          <w:tab w:val="left" w:pos="-1418"/>
          <w:tab w:val="left" w:pos="5103"/>
        </w:tabs>
        <w:ind w:left="0" w:firstLine="709"/>
        <w:rPr>
          <w:rFonts w:ascii="Arial" w:hAnsi="Arial" w:cs="Arial"/>
          <w:sz w:val="20"/>
          <w:szCs w:val="20"/>
        </w:rPr>
      </w:pPr>
    </w:p>
    <w:p w14:paraId="33BA3CF7" w14:textId="77777777" w:rsidR="00D66589" w:rsidRPr="002629DF" w:rsidRDefault="00D66589" w:rsidP="00D66589">
      <w:pPr>
        <w:pStyle w:val="Zkladntextodsazen3"/>
        <w:tabs>
          <w:tab w:val="left" w:pos="-1418"/>
          <w:tab w:val="left" w:pos="5103"/>
        </w:tabs>
        <w:ind w:left="0" w:firstLine="709"/>
        <w:rPr>
          <w:rFonts w:ascii="Arial" w:hAnsi="Arial" w:cs="Arial"/>
          <w:sz w:val="20"/>
          <w:szCs w:val="20"/>
        </w:rPr>
      </w:pPr>
    </w:p>
    <w:p w14:paraId="0AC19F02" w14:textId="77777777" w:rsidR="00D66589" w:rsidRPr="002629DF" w:rsidRDefault="00D66589" w:rsidP="00D66589">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w:t>
      </w:r>
      <w:r w:rsidRPr="002629DF">
        <w:rPr>
          <w:rFonts w:ascii="Arial" w:hAnsi="Arial" w:cs="Arial"/>
          <w:sz w:val="20"/>
          <w:szCs w:val="20"/>
        </w:rPr>
        <w:tab/>
        <w:t xml:space="preserve">                  …………………………………….</w:t>
      </w:r>
    </w:p>
    <w:p w14:paraId="424F1381" w14:textId="77777777" w:rsidR="006C6656" w:rsidRPr="002629DF" w:rsidRDefault="006C6656" w:rsidP="006C6656">
      <w:pPr>
        <w:pStyle w:val="Zkladntextodsazen3"/>
        <w:tabs>
          <w:tab w:val="left" w:pos="-1418"/>
          <w:tab w:val="left" w:pos="5103"/>
        </w:tabs>
        <w:ind w:left="0" w:firstLine="709"/>
        <w:rPr>
          <w:rFonts w:ascii="Arial" w:hAnsi="Arial" w:cs="Arial"/>
          <w:sz w:val="20"/>
          <w:szCs w:val="20"/>
        </w:rPr>
      </w:pPr>
      <w:r w:rsidRPr="00884673">
        <w:rPr>
          <w:rFonts w:ascii="Arial" w:hAnsi="Arial" w:cs="Arial"/>
          <w:b/>
          <w:sz w:val="20"/>
          <w:szCs w:val="20"/>
        </w:rPr>
        <w:t>„Sdružení PBZ ND“</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sidRPr="002629DF">
        <w:rPr>
          <w:rFonts w:ascii="Arial" w:hAnsi="Arial" w:cs="Arial"/>
          <w:b/>
          <w:sz w:val="20"/>
          <w:szCs w:val="20"/>
        </w:rPr>
        <w:t>Národní divadlo</w:t>
      </w:r>
      <w:r w:rsidRPr="002629DF">
        <w:rPr>
          <w:rFonts w:ascii="Arial" w:hAnsi="Arial" w:cs="Arial"/>
          <w:sz w:val="20"/>
          <w:szCs w:val="20"/>
        </w:rPr>
        <w:tab/>
        <w:t xml:space="preserve">                   </w:t>
      </w:r>
    </w:p>
    <w:p w14:paraId="6EAC0DE8" w14:textId="77777777" w:rsidR="006C6656" w:rsidRPr="002629DF" w:rsidRDefault="006C6656" w:rsidP="006C6656">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Jakub Erben</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t xml:space="preserve">prof. </w:t>
      </w:r>
      <w:proofErr w:type="spellStart"/>
      <w:r w:rsidRPr="002629DF">
        <w:rPr>
          <w:rFonts w:ascii="Arial" w:hAnsi="Arial" w:cs="Arial"/>
          <w:sz w:val="20"/>
          <w:szCs w:val="20"/>
        </w:rPr>
        <w:t>MgA</w:t>
      </w:r>
      <w:proofErr w:type="spellEnd"/>
      <w:r w:rsidRPr="002629DF">
        <w:rPr>
          <w:rFonts w:ascii="Arial" w:hAnsi="Arial" w:cs="Arial"/>
          <w:sz w:val="20"/>
          <w:szCs w:val="20"/>
        </w:rPr>
        <w:t xml:space="preserve">. Jan Burian </w:t>
      </w:r>
    </w:p>
    <w:p w14:paraId="599E7983" w14:textId="77777777" w:rsidR="006C6656" w:rsidRDefault="006C6656" w:rsidP="006C6656">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jednatel společnosti, JE Group s.r.o.</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sz w:val="20"/>
          <w:szCs w:val="20"/>
        </w:rPr>
        <w:t xml:space="preserve">generální </w:t>
      </w:r>
      <w:r w:rsidRPr="002629DF">
        <w:rPr>
          <w:rFonts w:ascii="Arial" w:hAnsi="Arial" w:cs="Arial"/>
          <w:sz w:val="20"/>
          <w:szCs w:val="20"/>
        </w:rPr>
        <w:t xml:space="preserve">ředitel </w:t>
      </w:r>
    </w:p>
    <w:p w14:paraId="7E164F5B" w14:textId="39413CA7" w:rsidR="00F73590" w:rsidRPr="006C6656" w:rsidRDefault="006C6656" w:rsidP="006C6656">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vedoucí člen „Sdružení PBZ ND“</w:t>
      </w:r>
    </w:p>
    <w:sectPr w:rsidR="00F73590" w:rsidRPr="006C6656" w:rsidSect="006F6A4E">
      <w:headerReference w:type="default" r:id="rId10"/>
      <w:footerReference w:type="default" r:id="rId11"/>
      <w:headerReference w:type="first" r:id="rId12"/>
      <w:pgSz w:w="11906" w:h="16838"/>
      <w:pgMar w:top="1276" w:right="1417" w:bottom="2127" w:left="1276"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A5717" w16cid:durableId="290B37B1"/>
  <w16cid:commentId w16cid:paraId="71959DBC" w16cid:durableId="290B46E5"/>
  <w16cid:commentId w16cid:paraId="4438A640" w16cid:durableId="290B4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3795" w14:textId="77777777" w:rsidR="00944A00" w:rsidRDefault="00944A00">
      <w:pPr>
        <w:spacing w:line="240" w:lineRule="auto"/>
      </w:pPr>
      <w:r>
        <w:separator/>
      </w:r>
    </w:p>
  </w:endnote>
  <w:endnote w:type="continuationSeparator" w:id="0">
    <w:p w14:paraId="0EEF6E46" w14:textId="77777777" w:rsidR="00944A00" w:rsidRDefault="0094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03E7" w14:textId="77777777" w:rsidR="00F87373" w:rsidRPr="00C63EF9" w:rsidRDefault="00AA0801" w:rsidP="00D2613C">
    <w:r>
      <w:pict w14:anchorId="76E8F331">
        <v:rect id="_x0000_i1026" style="width:453.6pt;height:1.5pt" o:hralign="center" o:hrstd="t" o:hrnoshade="t" o:hr="t" fillcolor="black [3213]" stroked="f"/>
      </w:pict>
    </w:r>
  </w:p>
  <w:p w14:paraId="3DD97C53" w14:textId="2D4C761E" w:rsidR="00F87373" w:rsidRDefault="00D66589" w:rsidP="0043033D">
    <w:pPr>
      <w:pStyle w:val="Zhlavdokumentu"/>
      <w:tabs>
        <w:tab w:val="clear" w:pos="1833"/>
        <w:tab w:val="left" w:pos="8789"/>
      </w:tabs>
      <w:jc w:val="left"/>
    </w:pPr>
    <w:r>
      <w:t>Rámcová smlouva</w:t>
    </w:r>
    <w:r>
      <w:rPr>
        <w:lang w:val="en-US"/>
      </w:rPr>
      <w:tab/>
    </w:r>
    <w:r w:rsidRPr="00AD0D17">
      <w:rPr>
        <w:lang w:val="en-US"/>
      </w:rPr>
      <w:fldChar w:fldCharType="begin"/>
    </w:r>
    <w:r w:rsidRPr="00AD0D17">
      <w:rPr>
        <w:lang w:val="en-US"/>
      </w:rPr>
      <w:instrText xml:space="preserve"> PAGE   \* MERGEFORMAT </w:instrText>
    </w:r>
    <w:r w:rsidRPr="00AD0D17">
      <w:rPr>
        <w:lang w:val="en-US"/>
      </w:rPr>
      <w:fldChar w:fldCharType="separate"/>
    </w:r>
    <w:r w:rsidR="00AA0801">
      <w:rPr>
        <w:noProof/>
        <w:lang w:val="en-US"/>
      </w:rPr>
      <w:t>7</w:t>
    </w:r>
    <w:r w:rsidRPr="00AD0D17">
      <w:rPr>
        <w:lang w:val="en-US"/>
      </w:rPr>
      <w:fldChar w:fldCharType="end"/>
    </w:r>
    <w:r>
      <w:rPr>
        <w:lang w:val="en-US"/>
      </w:rPr>
      <w:t>/</w:t>
    </w:r>
    <w:fldSimple w:instr=" NUMPAGES   \* MERGEFORMAT ">
      <w:r w:rsidR="00AA0801" w:rsidRPr="00AA0801">
        <w:rPr>
          <w:noProof/>
          <w:lang w:val="en-US"/>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0130" w14:textId="77777777" w:rsidR="00944A00" w:rsidRDefault="00944A00">
      <w:pPr>
        <w:spacing w:line="240" w:lineRule="auto"/>
      </w:pPr>
      <w:r>
        <w:separator/>
      </w:r>
    </w:p>
  </w:footnote>
  <w:footnote w:type="continuationSeparator" w:id="0">
    <w:p w14:paraId="20EEB9CA" w14:textId="77777777" w:rsidR="00944A00" w:rsidRDefault="00944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E65D" w14:textId="77777777" w:rsidR="00F87373" w:rsidRPr="00CF2C67" w:rsidRDefault="00AA0801" w:rsidP="00877E68">
    <w:pPr>
      <w:pStyle w:val="Zhlav"/>
      <w:tabs>
        <w:tab w:val="clear" w:pos="4536"/>
        <w:tab w:val="clear" w:pos="9072"/>
        <w:tab w:val="left" w:pos="1833"/>
      </w:tabs>
    </w:pPr>
    <w:r>
      <w:pict w14:anchorId="1C334BA0">
        <v:rect id="_x0000_i1025" style="width:453.6pt;height:1.5pt" o:hralign="center" o:hrstd="t" o:hrnoshade="t" o:hr="t" fillcolor="black [3213]" stroked="f"/>
      </w:pict>
    </w:r>
  </w:p>
  <w:p w14:paraId="5EA36D47" w14:textId="77777777" w:rsidR="00F87373" w:rsidRPr="00877E68" w:rsidRDefault="00AA0801" w:rsidP="00877E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1C17" w14:textId="77777777" w:rsidR="00F87373" w:rsidRPr="00F65CA3" w:rsidRDefault="00D66589" w:rsidP="00877E68">
    <w:pPr>
      <w:pStyle w:val="Zhlav"/>
      <w:tabs>
        <w:tab w:val="clear" w:pos="4536"/>
        <w:tab w:val="clear" w:pos="9072"/>
        <w:tab w:val="left" w:pos="3810"/>
      </w:tabs>
      <w:jc w:val="center"/>
    </w:pPr>
    <w:r>
      <w:rPr>
        <w:rFonts w:ascii="Franklin Gothic Book" w:hAnsi="Franklin Gothic Book"/>
        <w:b/>
        <w:noProof/>
        <w:sz w:val="32"/>
        <w:szCs w:val="32"/>
        <w:lang w:eastAsia="cs-CZ"/>
      </w:rPr>
      <w:drawing>
        <wp:inline distT="0" distB="0" distL="0" distR="0" wp14:anchorId="61C6963C" wp14:editId="1A7E6A52">
          <wp:extent cx="2486025" cy="400050"/>
          <wp:effectExtent l="0" t="0" r="9525" b="0"/>
          <wp:docPr id="17" name="Obrázek 17"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E14"/>
    <w:multiLevelType w:val="hybridMultilevel"/>
    <w:tmpl w:val="705CE5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7D232A"/>
    <w:multiLevelType w:val="hybridMultilevel"/>
    <w:tmpl w:val="67BCF732"/>
    <w:lvl w:ilvl="0" w:tplc="854E8E46">
      <w:numFmt w:val="bullet"/>
      <w:lvlText w:val="-"/>
      <w:lvlJc w:val="left"/>
      <w:pPr>
        <w:ind w:left="2912" w:hanging="1778"/>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1578F6"/>
    <w:multiLevelType w:val="hybridMultilevel"/>
    <w:tmpl w:val="E55C8F72"/>
    <w:lvl w:ilvl="0" w:tplc="52363558">
      <w:start w:val="1"/>
      <w:numFmt w:val="lowerLetter"/>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3" w15:restartNumberingAfterBreak="0">
    <w:nsid w:val="4D253ABB"/>
    <w:multiLevelType w:val="multilevel"/>
    <w:tmpl w:val="CD783456"/>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upperLetter"/>
      <w:lvlText w:val="%2."/>
      <w:lvlJc w:val="left"/>
      <w:pPr>
        <w:ind w:left="574" w:hanging="432"/>
      </w:pPr>
      <w:rPr>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4E2193E"/>
    <w:multiLevelType w:val="multilevel"/>
    <w:tmpl w:val="20EC803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lowerLetter"/>
      <w:lvlText w:val="%2)"/>
      <w:lvlJc w:val="left"/>
      <w:pPr>
        <w:ind w:left="574" w:hanging="432"/>
      </w:pPr>
      <w:rPr>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C490650"/>
    <w:multiLevelType w:val="multilevel"/>
    <w:tmpl w:val="9D565FE8"/>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color w:val="auto"/>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C763C61"/>
    <w:multiLevelType w:val="hybridMultilevel"/>
    <w:tmpl w:val="0D5274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89"/>
    <w:rsid w:val="00032383"/>
    <w:rsid w:val="00062A61"/>
    <w:rsid w:val="00072F52"/>
    <w:rsid w:val="00085E8C"/>
    <w:rsid w:val="000C05E2"/>
    <w:rsid w:val="000D79CC"/>
    <w:rsid w:val="000D7B11"/>
    <w:rsid w:val="000F6B2E"/>
    <w:rsid w:val="000F71BC"/>
    <w:rsid w:val="0011257F"/>
    <w:rsid w:val="00124B13"/>
    <w:rsid w:val="00153163"/>
    <w:rsid w:val="0016178B"/>
    <w:rsid w:val="001710EF"/>
    <w:rsid w:val="00180315"/>
    <w:rsid w:val="00197109"/>
    <w:rsid w:val="001A7A67"/>
    <w:rsid w:val="001B3B8F"/>
    <w:rsid w:val="001B603F"/>
    <w:rsid w:val="001B7E7C"/>
    <w:rsid w:val="00212196"/>
    <w:rsid w:val="00225093"/>
    <w:rsid w:val="00252523"/>
    <w:rsid w:val="002551DF"/>
    <w:rsid w:val="00275177"/>
    <w:rsid w:val="00287412"/>
    <w:rsid w:val="002946C4"/>
    <w:rsid w:val="00294BB8"/>
    <w:rsid w:val="00297FC5"/>
    <w:rsid w:val="002A2F09"/>
    <w:rsid w:val="002B73EC"/>
    <w:rsid w:val="002B7DC8"/>
    <w:rsid w:val="003123F6"/>
    <w:rsid w:val="00353BA7"/>
    <w:rsid w:val="00355E41"/>
    <w:rsid w:val="00395351"/>
    <w:rsid w:val="003B1EB2"/>
    <w:rsid w:val="003B53F9"/>
    <w:rsid w:val="003F63D1"/>
    <w:rsid w:val="003F7210"/>
    <w:rsid w:val="003F79DD"/>
    <w:rsid w:val="00406A23"/>
    <w:rsid w:val="004413FD"/>
    <w:rsid w:val="0045730D"/>
    <w:rsid w:val="004660E9"/>
    <w:rsid w:val="004802BF"/>
    <w:rsid w:val="0048086D"/>
    <w:rsid w:val="00486799"/>
    <w:rsid w:val="004A4C55"/>
    <w:rsid w:val="004B0BE5"/>
    <w:rsid w:val="004E2DF7"/>
    <w:rsid w:val="004F1795"/>
    <w:rsid w:val="00517E47"/>
    <w:rsid w:val="0052175B"/>
    <w:rsid w:val="0053693E"/>
    <w:rsid w:val="00536F44"/>
    <w:rsid w:val="005411B0"/>
    <w:rsid w:val="005654BF"/>
    <w:rsid w:val="00576A38"/>
    <w:rsid w:val="00594E0A"/>
    <w:rsid w:val="005E6AF2"/>
    <w:rsid w:val="005F3816"/>
    <w:rsid w:val="0061021C"/>
    <w:rsid w:val="00610B80"/>
    <w:rsid w:val="006223CD"/>
    <w:rsid w:val="00627757"/>
    <w:rsid w:val="006377F0"/>
    <w:rsid w:val="00641F7A"/>
    <w:rsid w:val="00650FA3"/>
    <w:rsid w:val="0065566A"/>
    <w:rsid w:val="006716AE"/>
    <w:rsid w:val="00676BBB"/>
    <w:rsid w:val="00687DF1"/>
    <w:rsid w:val="006A7D05"/>
    <w:rsid w:val="006C2A25"/>
    <w:rsid w:val="006C6656"/>
    <w:rsid w:val="006D024A"/>
    <w:rsid w:val="006E6CCE"/>
    <w:rsid w:val="006F6A4E"/>
    <w:rsid w:val="00707419"/>
    <w:rsid w:val="007242C6"/>
    <w:rsid w:val="0073471C"/>
    <w:rsid w:val="007424CD"/>
    <w:rsid w:val="00755544"/>
    <w:rsid w:val="00757549"/>
    <w:rsid w:val="00777FB4"/>
    <w:rsid w:val="00790523"/>
    <w:rsid w:val="00791FCD"/>
    <w:rsid w:val="007D4E11"/>
    <w:rsid w:val="007D6D5B"/>
    <w:rsid w:val="007E05A8"/>
    <w:rsid w:val="007F1518"/>
    <w:rsid w:val="00824C1E"/>
    <w:rsid w:val="00840C86"/>
    <w:rsid w:val="00853682"/>
    <w:rsid w:val="00874EBC"/>
    <w:rsid w:val="00880355"/>
    <w:rsid w:val="00885BF8"/>
    <w:rsid w:val="008E3DE0"/>
    <w:rsid w:val="008E591E"/>
    <w:rsid w:val="00930DA1"/>
    <w:rsid w:val="00934E3B"/>
    <w:rsid w:val="00944A00"/>
    <w:rsid w:val="00956457"/>
    <w:rsid w:val="009705D8"/>
    <w:rsid w:val="00973FB7"/>
    <w:rsid w:val="00975AA9"/>
    <w:rsid w:val="00983D97"/>
    <w:rsid w:val="00984AF2"/>
    <w:rsid w:val="00986663"/>
    <w:rsid w:val="00987D2B"/>
    <w:rsid w:val="009A4F9A"/>
    <w:rsid w:val="009C717A"/>
    <w:rsid w:val="009D6C30"/>
    <w:rsid w:val="009E0783"/>
    <w:rsid w:val="009E07EC"/>
    <w:rsid w:val="009E7061"/>
    <w:rsid w:val="00A15AE3"/>
    <w:rsid w:val="00A2743F"/>
    <w:rsid w:val="00A34238"/>
    <w:rsid w:val="00A36709"/>
    <w:rsid w:val="00A3682E"/>
    <w:rsid w:val="00A5560B"/>
    <w:rsid w:val="00A75B90"/>
    <w:rsid w:val="00A90859"/>
    <w:rsid w:val="00A927AE"/>
    <w:rsid w:val="00AA0801"/>
    <w:rsid w:val="00AD5B87"/>
    <w:rsid w:val="00AD654C"/>
    <w:rsid w:val="00AF6270"/>
    <w:rsid w:val="00B04CBC"/>
    <w:rsid w:val="00B07954"/>
    <w:rsid w:val="00B12C77"/>
    <w:rsid w:val="00B4485B"/>
    <w:rsid w:val="00B67A0A"/>
    <w:rsid w:val="00B72863"/>
    <w:rsid w:val="00B85585"/>
    <w:rsid w:val="00BA2785"/>
    <w:rsid w:val="00BA6FE8"/>
    <w:rsid w:val="00BD0513"/>
    <w:rsid w:val="00BF4F50"/>
    <w:rsid w:val="00C025BA"/>
    <w:rsid w:val="00C058CC"/>
    <w:rsid w:val="00C07F6C"/>
    <w:rsid w:val="00C13EF8"/>
    <w:rsid w:val="00C173F7"/>
    <w:rsid w:val="00C244ED"/>
    <w:rsid w:val="00C358EF"/>
    <w:rsid w:val="00C53024"/>
    <w:rsid w:val="00C648D4"/>
    <w:rsid w:val="00CC5DDF"/>
    <w:rsid w:val="00CD7FA3"/>
    <w:rsid w:val="00CF02D9"/>
    <w:rsid w:val="00CF0C91"/>
    <w:rsid w:val="00D034BC"/>
    <w:rsid w:val="00D2190B"/>
    <w:rsid w:val="00D2472A"/>
    <w:rsid w:val="00D30717"/>
    <w:rsid w:val="00D45850"/>
    <w:rsid w:val="00D46781"/>
    <w:rsid w:val="00D615B1"/>
    <w:rsid w:val="00D6282E"/>
    <w:rsid w:val="00D62A9F"/>
    <w:rsid w:val="00D6525B"/>
    <w:rsid w:val="00D65BB6"/>
    <w:rsid w:val="00D66589"/>
    <w:rsid w:val="00D87398"/>
    <w:rsid w:val="00D92EAC"/>
    <w:rsid w:val="00D9364E"/>
    <w:rsid w:val="00DC37BD"/>
    <w:rsid w:val="00DC7BCF"/>
    <w:rsid w:val="00DD6365"/>
    <w:rsid w:val="00DD7921"/>
    <w:rsid w:val="00DF0157"/>
    <w:rsid w:val="00DF40AC"/>
    <w:rsid w:val="00E01BB5"/>
    <w:rsid w:val="00E12106"/>
    <w:rsid w:val="00E26680"/>
    <w:rsid w:val="00E84A1F"/>
    <w:rsid w:val="00EB49EB"/>
    <w:rsid w:val="00EC088A"/>
    <w:rsid w:val="00EC47E9"/>
    <w:rsid w:val="00ED0635"/>
    <w:rsid w:val="00F033A3"/>
    <w:rsid w:val="00F73590"/>
    <w:rsid w:val="00F7662E"/>
    <w:rsid w:val="00F90C45"/>
    <w:rsid w:val="00FA6C3E"/>
    <w:rsid w:val="00FA7253"/>
    <w:rsid w:val="00FC0334"/>
    <w:rsid w:val="00FC1ACE"/>
    <w:rsid w:val="00FD0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5FC64AAD"/>
  <w15:chartTrackingRefBased/>
  <w15:docId w15:val="{E2C8F70B-0D6D-4904-AB2C-1E70CF38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89"/>
    <w:pPr>
      <w:spacing w:after="0" w:line="276" w:lineRule="auto"/>
      <w:jc w:val="both"/>
    </w:pPr>
    <w:rPr>
      <w:rFonts w:ascii="Arial" w:eastAsia="Calibri" w:hAnsi="Arial" w:cs="Arial"/>
      <w:sz w:val="20"/>
      <w:szCs w:val="20"/>
    </w:rPr>
  </w:style>
  <w:style w:type="paragraph" w:styleId="Nadpis1">
    <w:name w:val="heading 1"/>
    <w:basedOn w:val="Normln"/>
    <w:next w:val="Normln"/>
    <w:link w:val="Nadpis1Char"/>
    <w:uiPriority w:val="99"/>
    <w:qFormat/>
    <w:rsid w:val="00D66589"/>
    <w:pPr>
      <w:keepNext/>
      <w:keepLines/>
      <w:numPr>
        <w:numId w:val="1"/>
      </w:numPr>
      <w:spacing w:before="120" w:after="120"/>
      <w:ind w:left="426" w:hanging="426"/>
      <w:outlineLvl w:val="0"/>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66589"/>
    <w:rPr>
      <w:rFonts w:ascii="Arial" w:eastAsia="Times New Roman" w:hAnsi="Arial" w:cs="Arial"/>
      <w:b/>
      <w:bCs/>
      <w:sz w:val="28"/>
      <w:szCs w:val="28"/>
    </w:rPr>
  </w:style>
  <w:style w:type="paragraph" w:styleId="Odstavecseseznamem">
    <w:name w:val="List Paragraph"/>
    <w:basedOn w:val="Normln"/>
    <w:link w:val="OdstavecseseznamemChar"/>
    <w:uiPriority w:val="99"/>
    <w:qFormat/>
    <w:rsid w:val="00D66589"/>
    <w:pPr>
      <w:ind w:left="720"/>
    </w:pPr>
  </w:style>
  <w:style w:type="paragraph" w:styleId="Zhlav">
    <w:name w:val="header"/>
    <w:basedOn w:val="Normln"/>
    <w:link w:val="ZhlavChar"/>
    <w:uiPriority w:val="99"/>
    <w:rsid w:val="00D66589"/>
    <w:pPr>
      <w:tabs>
        <w:tab w:val="center" w:pos="4536"/>
        <w:tab w:val="right" w:pos="9072"/>
      </w:tabs>
      <w:spacing w:line="240" w:lineRule="auto"/>
    </w:pPr>
  </w:style>
  <w:style w:type="character" w:customStyle="1" w:styleId="ZhlavChar">
    <w:name w:val="Záhlaví Char"/>
    <w:basedOn w:val="Standardnpsmoodstavce"/>
    <w:link w:val="Zhlav"/>
    <w:uiPriority w:val="99"/>
    <w:rsid w:val="00D66589"/>
    <w:rPr>
      <w:rFonts w:ascii="Arial" w:eastAsia="Calibri" w:hAnsi="Arial" w:cs="Arial"/>
      <w:sz w:val="20"/>
      <w:szCs w:val="20"/>
    </w:rPr>
  </w:style>
  <w:style w:type="character" w:customStyle="1" w:styleId="Styl1Char">
    <w:name w:val="Styl1 Char"/>
    <w:basedOn w:val="Standardnpsmoodstavce"/>
    <w:link w:val="Styl1"/>
    <w:uiPriority w:val="99"/>
    <w:locked/>
    <w:rsid w:val="00D66589"/>
    <w:rPr>
      <w:rFonts w:ascii="Arial" w:hAnsi="Arial" w:cs="Arial"/>
      <w:sz w:val="20"/>
      <w:szCs w:val="20"/>
    </w:rPr>
  </w:style>
  <w:style w:type="paragraph" w:customStyle="1" w:styleId="Styl1">
    <w:name w:val="Styl1"/>
    <w:basedOn w:val="Odstavecseseznamem"/>
    <w:link w:val="Styl1Char"/>
    <w:uiPriority w:val="99"/>
    <w:qFormat/>
    <w:rsid w:val="00D66589"/>
    <w:pPr>
      <w:numPr>
        <w:ilvl w:val="1"/>
        <w:numId w:val="1"/>
      </w:numPr>
      <w:spacing w:before="120" w:after="120"/>
      <w:ind w:hanging="574"/>
    </w:pPr>
    <w:rPr>
      <w:rFonts w:eastAsiaTheme="minorHAnsi"/>
    </w:rPr>
  </w:style>
  <w:style w:type="paragraph" w:customStyle="1" w:styleId="Styl2">
    <w:name w:val="Styl2"/>
    <w:basedOn w:val="Bezmezer"/>
    <w:uiPriority w:val="99"/>
    <w:qFormat/>
    <w:rsid w:val="00D66589"/>
    <w:pPr>
      <w:numPr>
        <w:ilvl w:val="2"/>
        <w:numId w:val="1"/>
      </w:numPr>
      <w:tabs>
        <w:tab w:val="num" w:pos="360"/>
      </w:tabs>
      <w:spacing w:before="120" w:after="120" w:line="276" w:lineRule="auto"/>
      <w:ind w:left="0" w:firstLine="0"/>
    </w:pPr>
  </w:style>
  <w:style w:type="character" w:customStyle="1" w:styleId="OdstavecseseznamemChar">
    <w:name w:val="Odstavec se seznamem Char"/>
    <w:basedOn w:val="Standardnpsmoodstavce"/>
    <w:link w:val="Odstavecseseznamem"/>
    <w:uiPriority w:val="99"/>
    <w:locked/>
    <w:rsid w:val="00D66589"/>
    <w:rPr>
      <w:rFonts w:ascii="Arial" w:eastAsia="Calibri" w:hAnsi="Arial" w:cs="Arial"/>
      <w:sz w:val="20"/>
      <w:szCs w:val="20"/>
    </w:rPr>
  </w:style>
  <w:style w:type="paragraph" w:customStyle="1" w:styleId="Podnzev">
    <w:name w:val="Podnázev"/>
    <w:basedOn w:val="Normln"/>
    <w:link w:val="PodnzevChar"/>
    <w:uiPriority w:val="99"/>
    <w:rsid w:val="00D66589"/>
    <w:pPr>
      <w:jc w:val="center"/>
    </w:pPr>
    <w:rPr>
      <w:color w:val="182C68"/>
      <w:lang w:eastAsia="cs-CZ"/>
    </w:rPr>
  </w:style>
  <w:style w:type="character" w:customStyle="1" w:styleId="PodnzevChar">
    <w:name w:val="Podnázev Char"/>
    <w:basedOn w:val="Standardnpsmoodstavce"/>
    <w:link w:val="Podnzev"/>
    <w:uiPriority w:val="99"/>
    <w:locked/>
    <w:rsid w:val="00D66589"/>
    <w:rPr>
      <w:rFonts w:ascii="Arial" w:eastAsia="Calibri" w:hAnsi="Arial" w:cs="Arial"/>
      <w:color w:val="182C68"/>
      <w:sz w:val="20"/>
      <w:szCs w:val="20"/>
      <w:lang w:eastAsia="cs-CZ"/>
    </w:rPr>
  </w:style>
  <w:style w:type="paragraph" w:customStyle="1" w:styleId="Zhlavdokumentu">
    <w:name w:val="Záhlaví dokumentu"/>
    <w:basedOn w:val="Zhlav"/>
    <w:link w:val="ZhlavdokumentuChar"/>
    <w:uiPriority w:val="99"/>
    <w:rsid w:val="00D66589"/>
    <w:pPr>
      <w:tabs>
        <w:tab w:val="clear" w:pos="4536"/>
        <w:tab w:val="clear" w:pos="9072"/>
        <w:tab w:val="left" w:pos="1833"/>
      </w:tabs>
    </w:pPr>
    <w:rPr>
      <w:color w:val="002060"/>
      <w:sz w:val="18"/>
      <w:szCs w:val="18"/>
    </w:rPr>
  </w:style>
  <w:style w:type="paragraph" w:customStyle="1" w:styleId="Tabulka">
    <w:name w:val="Tabulka"/>
    <w:basedOn w:val="Normln"/>
    <w:link w:val="TabulkaChar"/>
    <w:uiPriority w:val="99"/>
    <w:rsid w:val="00D6658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uiPriority w:val="99"/>
    <w:locked/>
    <w:rsid w:val="00D66589"/>
    <w:rPr>
      <w:rFonts w:ascii="Arial" w:eastAsia="Calibri" w:hAnsi="Arial" w:cs="Arial"/>
      <w:color w:val="002060"/>
      <w:sz w:val="18"/>
      <w:szCs w:val="18"/>
    </w:rPr>
  </w:style>
  <w:style w:type="character" w:customStyle="1" w:styleId="TabulkaChar">
    <w:name w:val="Tabulka Char"/>
    <w:basedOn w:val="Standardnpsmoodstavce"/>
    <w:link w:val="Tabulka"/>
    <w:uiPriority w:val="99"/>
    <w:locked/>
    <w:rsid w:val="00D66589"/>
    <w:rPr>
      <w:rFonts w:ascii="Arial" w:eastAsia="Calibri" w:hAnsi="Arial" w:cs="Arial"/>
      <w:color w:val="182C68"/>
      <w:sz w:val="20"/>
      <w:szCs w:val="20"/>
      <w:lang w:eastAsia="cs-CZ"/>
    </w:rPr>
  </w:style>
  <w:style w:type="paragraph" w:customStyle="1" w:styleId="Nzevdokumentu">
    <w:name w:val="Název dokumentu"/>
    <w:link w:val="NzevdokumentuChar"/>
    <w:uiPriority w:val="99"/>
    <w:rsid w:val="00D66589"/>
    <w:pPr>
      <w:spacing w:after="0" w:line="240" w:lineRule="auto"/>
      <w:jc w:val="center"/>
    </w:pPr>
    <w:rPr>
      <w:rFonts w:ascii="Arial" w:eastAsia="Times New Roman" w:hAnsi="Arial" w:cs="Arial"/>
      <w:b/>
      <w:bCs/>
      <w:caps/>
      <w:color w:val="E8B600"/>
      <w:kern w:val="28"/>
      <w:sz w:val="44"/>
      <w:szCs w:val="44"/>
      <w:lang w:eastAsia="cs-CZ"/>
    </w:rPr>
  </w:style>
  <w:style w:type="paragraph" w:customStyle="1" w:styleId="Styl11">
    <w:name w:val="Styl 1.1."/>
    <w:basedOn w:val="Styl1"/>
    <w:link w:val="Styl11Char"/>
    <w:uiPriority w:val="99"/>
    <w:qFormat/>
    <w:rsid w:val="00D66589"/>
    <w:pPr>
      <w:ind w:hanging="432"/>
    </w:pPr>
    <w:rPr>
      <w:lang w:eastAsia="cs-CZ"/>
    </w:rPr>
  </w:style>
  <w:style w:type="character" w:customStyle="1" w:styleId="NzevdokumentuChar">
    <w:name w:val="Název dokumentu Char"/>
    <w:basedOn w:val="Standardnpsmoodstavce"/>
    <w:link w:val="Nzevdokumentu"/>
    <w:uiPriority w:val="99"/>
    <w:locked/>
    <w:rsid w:val="00D66589"/>
    <w:rPr>
      <w:rFonts w:ascii="Arial" w:eastAsia="Times New Roman" w:hAnsi="Arial" w:cs="Arial"/>
      <w:b/>
      <w:bCs/>
      <w:caps/>
      <w:color w:val="E8B600"/>
      <w:kern w:val="28"/>
      <w:sz w:val="44"/>
      <w:szCs w:val="44"/>
      <w:lang w:eastAsia="cs-CZ"/>
    </w:rPr>
  </w:style>
  <w:style w:type="character" w:customStyle="1" w:styleId="Styl11Char">
    <w:name w:val="Styl 1.1. Char"/>
    <w:basedOn w:val="Styl1Char"/>
    <w:link w:val="Styl11"/>
    <w:uiPriority w:val="99"/>
    <w:locked/>
    <w:rsid w:val="00D66589"/>
    <w:rPr>
      <w:rFonts w:ascii="Arial" w:hAnsi="Arial" w:cs="Arial"/>
      <w:sz w:val="20"/>
      <w:szCs w:val="20"/>
      <w:lang w:eastAsia="cs-CZ"/>
    </w:rPr>
  </w:style>
  <w:style w:type="paragraph" w:styleId="Zkladntextodsazen3">
    <w:name w:val="Body Text Indent 3"/>
    <w:basedOn w:val="Normln"/>
    <w:link w:val="Zkladntextodsazen3Char"/>
    <w:uiPriority w:val="99"/>
    <w:unhideWhenUsed/>
    <w:rsid w:val="00D66589"/>
    <w:pPr>
      <w:spacing w:after="120" w:line="240" w:lineRule="auto"/>
      <w:ind w:left="283"/>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D66589"/>
    <w:rPr>
      <w:rFonts w:ascii="Times New Roman" w:eastAsia="Times New Roman" w:hAnsi="Times New Roman" w:cs="Times New Roman"/>
      <w:sz w:val="16"/>
      <w:szCs w:val="16"/>
      <w:lang w:eastAsia="cs-CZ"/>
    </w:rPr>
  </w:style>
  <w:style w:type="paragraph" w:styleId="Bezmezer">
    <w:name w:val="No Spacing"/>
    <w:uiPriority w:val="1"/>
    <w:qFormat/>
    <w:rsid w:val="00D66589"/>
    <w:pPr>
      <w:spacing w:after="0" w:line="240" w:lineRule="auto"/>
      <w:jc w:val="both"/>
    </w:pPr>
    <w:rPr>
      <w:rFonts w:ascii="Arial" w:eastAsia="Calibri" w:hAnsi="Arial" w:cs="Arial"/>
      <w:sz w:val="20"/>
      <w:szCs w:val="20"/>
    </w:rPr>
  </w:style>
  <w:style w:type="character" w:styleId="Odkaznakoment">
    <w:name w:val="annotation reference"/>
    <w:basedOn w:val="Standardnpsmoodstavce"/>
    <w:uiPriority w:val="99"/>
    <w:semiHidden/>
    <w:unhideWhenUsed/>
    <w:rsid w:val="003B1EB2"/>
    <w:rPr>
      <w:sz w:val="16"/>
      <w:szCs w:val="16"/>
    </w:rPr>
  </w:style>
  <w:style w:type="paragraph" w:styleId="Textkomente">
    <w:name w:val="annotation text"/>
    <w:basedOn w:val="Normln"/>
    <w:link w:val="TextkomenteChar"/>
    <w:uiPriority w:val="99"/>
    <w:semiHidden/>
    <w:unhideWhenUsed/>
    <w:rsid w:val="003B1EB2"/>
    <w:pPr>
      <w:spacing w:line="240" w:lineRule="auto"/>
    </w:pPr>
  </w:style>
  <w:style w:type="character" w:customStyle="1" w:styleId="TextkomenteChar">
    <w:name w:val="Text komentáře Char"/>
    <w:basedOn w:val="Standardnpsmoodstavce"/>
    <w:link w:val="Textkomente"/>
    <w:uiPriority w:val="99"/>
    <w:semiHidden/>
    <w:rsid w:val="003B1EB2"/>
    <w:rPr>
      <w:rFonts w:ascii="Arial" w:eastAsia="Calibri" w:hAnsi="Arial" w:cs="Arial"/>
      <w:sz w:val="20"/>
      <w:szCs w:val="20"/>
    </w:rPr>
  </w:style>
  <w:style w:type="paragraph" w:styleId="Pedmtkomente">
    <w:name w:val="annotation subject"/>
    <w:basedOn w:val="Textkomente"/>
    <w:next w:val="Textkomente"/>
    <w:link w:val="PedmtkomenteChar"/>
    <w:uiPriority w:val="99"/>
    <w:semiHidden/>
    <w:unhideWhenUsed/>
    <w:rsid w:val="003B1EB2"/>
    <w:rPr>
      <w:b/>
      <w:bCs/>
    </w:rPr>
  </w:style>
  <w:style w:type="character" w:customStyle="1" w:styleId="PedmtkomenteChar">
    <w:name w:val="Předmět komentáře Char"/>
    <w:basedOn w:val="TextkomenteChar"/>
    <w:link w:val="Pedmtkomente"/>
    <w:uiPriority w:val="99"/>
    <w:semiHidden/>
    <w:rsid w:val="003B1EB2"/>
    <w:rPr>
      <w:rFonts w:ascii="Arial" w:eastAsia="Calibri" w:hAnsi="Arial" w:cs="Arial"/>
      <w:b/>
      <w:bCs/>
      <w:sz w:val="20"/>
      <w:szCs w:val="20"/>
    </w:rPr>
  </w:style>
  <w:style w:type="paragraph" w:styleId="Textbubliny">
    <w:name w:val="Balloon Text"/>
    <w:basedOn w:val="Normln"/>
    <w:link w:val="TextbublinyChar"/>
    <w:uiPriority w:val="99"/>
    <w:semiHidden/>
    <w:unhideWhenUsed/>
    <w:rsid w:val="003B1EB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EB2"/>
    <w:rPr>
      <w:rFonts w:ascii="Segoe UI" w:eastAsia="Calibri" w:hAnsi="Segoe UI" w:cs="Segoe UI"/>
      <w:sz w:val="18"/>
      <w:szCs w:val="18"/>
    </w:rPr>
  </w:style>
  <w:style w:type="paragraph" w:styleId="Zkladntextodsazen">
    <w:name w:val="Body Text Indent"/>
    <w:basedOn w:val="Normln"/>
    <w:link w:val="ZkladntextodsazenChar"/>
    <w:uiPriority w:val="99"/>
    <w:semiHidden/>
    <w:unhideWhenUsed/>
    <w:rsid w:val="009D6C30"/>
    <w:pPr>
      <w:spacing w:after="120"/>
      <w:ind w:left="283"/>
    </w:pPr>
  </w:style>
  <w:style w:type="character" w:customStyle="1" w:styleId="ZkladntextodsazenChar">
    <w:name w:val="Základní text odsazený Char"/>
    <w:basedOn w:val="Standardnpsmoodstavce"/>
    <w:link w:val="Zkladntextodsazen"/>
    <w:uiPriority w:val="99"/>
    <w:semiHidden/>
    <w:rsid w:val="009D6C30"/>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6" ma:contentTypeDescription="Vytvoří nový dokument" ma:contentTypeScope="" ma:versionID="3cbcbf09a2840e802b53d9992fad89a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299e7a33e87aef1f5b5be7c6600b5152"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d9d3be0-ce8a-4f2a-bc38-31481e71be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3067B-39BC-43D2-AE26-16525E002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571A9-D9AC-4F61-BC0C-8F4D94D05E7D}">
  <ds:schemaRefs>
    <ds:schemaRef ds:uri="http://schemas.microsoft.com/office/2006/metadata/properties"/>
    <ds:schemaRef ds:uri="http://schemas.microsoft.com/office/infopath/2007/PartnerControls"/>
    <ds:schemaRef ds:uri="fd9d3be0-ce8a-4f2a-bc38-31481e71be30"/>
  </ds:schemaRefs>
</ds:datastoreItem>
</file>

<file path=customXml/itemProps3.xml><?xml version="1.0" encoding="utf-8"?>
<ds:datastoreItem xmlns:ds="http://schemas.openxmlformats.org/officeDocument/2006/customXml" ds:itemID="{3FA0FF40-EDE6-42EA-B21A-F4D670A5F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2453</Words>
  <Characters>14473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 Antonín</dc:creator>
  <cp:keywords/>
  <dc:description/>
  <cp:lastModifiedBy>Casková Miroslava</cp:lastModifiedBy>
  <cp:revision>68</cp:revision>
  <dcterms:created xsi:type="dcterms:W3CDTF">2025-01-08T13:34:00Z</dcterms:created>
  <dcterms:modified xsi:type="dcterms:W3CDTF">2025-04-11T08:12:00Z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