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4A2E1314" w:rsidR="009D2B69" w:rsidRPr="006E23A9" w:rsidRDefault="009D2B69" w:rsidP="00F73633">
      <w:pPr>
        <w:pStyle w:val="Zkladntext"/>
        <w:tabs>
          <w:tab w:val="left" w:pos="1985"/>
        </w:tabs>
        <w:ind w:left="567" w:hanging="567"/>
        <w:rPr>
          <w:b/>
        </w:rPr>
      </w:pPr>
      <w:r w:rsidRPr="006E23A9">
        <w:rPr>
          <w:b/>
          <w:bCs/>
        </w:rPr>
        <w:t>1.</w:t>
      </w:r>
      <w:r w:rsidRPr="006E23A9">
        <w:rPr>
          <w:bCs/>
        </w:rPr>
        <w:t xml:space="preserve"> </w:t>
      </w:r>
      <w:r w:rsidR="00714548" w:rsidRPr="006E23A9">
        <w:rPr>
          <w:bCs/>
        </w:rPr>
        <w:tab/>
      </w:r>
      <w:r w:rsidR="00FD7939">
        <w:rPr>
          <w:b/>
          <w:szCs w:val="24"/>
        </w:rPr>
        <w:t>SmartMotion s.r.o.</w:t>
      </w:r>
      <w:r w:rsidRPr="006E23A9">
        <w:rPr>
          <w:bCs/>
        </w:rPr>
        <w:tab/>
      </w:r>
    </w:p>
    <w:p w14:paraId="5B7E4921" w14:textId="6D36A855" w:rsidR="009D2B69" w:rsidRPr="006E23A9" w:rsidRDefault="00714548" w:rsidP="00F73633">
      <w:pPr>
        <w:pStyle w:val="Zkladntext"/>
        <w:tabs>
          <w:tab w:val="left" w:pos="1985"/>
        </w:tabs>
        <w:ind w:left="567" w:hanging="567"/>
      </w:pPr>
      <w:r w:rsidRPr="006E23A9">
        <w:tab/>
      </w:r>
      <w:r w:rsidR="009D2B69" w:rsidRPr="006E23A9">
        <w:t xml:space="preserve">adresa sídla: </w:t>
      </w:r>
      <w:r w:rsidR="00FD7939">
        <w:t>Teslova 1242</w:t>
      </w:r>
      <w:r w:rsidR="009D2B69" w:rsidRPr="006E23A9">
        <w:tab/>
      </w:r>
    </w:p>
    <w:p w14:paraId="16C868F5" w14:textId="52A86C4B" w:rsidR="009D2B69" w:rsidRPr="006E23A9" w:rsidRDefault="00714548" w:rsidP="00F73633">
      <w:pPr>
        <w:pStyle w:val="Zkladntext"/>
        <w:tabs>
          <w:tab w:val="left" w:pos="1985"/>
        </w:tabs>
        <w:ind w:left="567" w:hanging="567"/>
      </w:pPr>
      <w:r w:rsidRPr="006E23A9">
        <w:tab/>
      </w:r>
      <w:r w:rsidR="009D2B69" w:rsidRPr="006E23A9">
        <w:t>IČ</w:t>
      </w:r>
      <w:r w:rsidR="004471DE" w:rsidRPr="006E23A9">
        <w:t>O</w:t>
      </w:r>
      <w:r w:rsidR="009D2B69" w:rsidRPr="006E23A9">
        <w:t xml:space="preserve">: </w:t>
      </w:r>
      <w:r w:rsidR="00FD7939" w:rsidRPr="00FD7939">
        <w:t>29114594</w:t>
      </w:r>
      <w:r w:rsidR="009D2B69" w:rsidRPr="006E23A9">
        <w:tab/>
      </w:r>
    </w:p>
    <w:p w14:paraId="216F3D0C" w14:textId="265EF222" w:rsidR="0099272E" w:rsidRPr="006E23A9" w:rsidRDefault="00714548" w:rsidP="0099272E">
      <w:pPr>
        <w:pStyle w:val="Zkladntext"/>
        <w:tabs>
          <w:tab w:val="left" w:pos="1985"/>
        </w:tabs>
        <w:ind w:left="567" w:hanging="567"/>
      </w:pPr>
      <w:r w:rsidRPr="006E23A9">
        <w:tab/>
      </w:r>
      <w:r w:rsidR="009D2B69" w:rsidRPr="006E23A9">
        <w:t xml:space="preserve">zastoupená: </w:t>
      </w:r>
      <w:r w:rsidR="00FD7939">
        <w:t>Ing. Jiří Barták</w:t>
      </w:r>
    </w:p>
    <w:p w14:paraId="4385B81F" w14:textId="14E1C1C7" w:rsidR="003A4812" w:rsidRPr="006E23A9" w:rsidRDefault="005A615B" w:rsidP="0099272E">
      <w:pPr>
        <w:pStyle w:val="Zkladntext"/>
        <w:tabs>
          <w:tab w:val="left" w:pos="1985"/>
        </w:tabs>
        <w:ind w:left="567" w:hanging="567"/>
      </w:pPr>
      <w:r w:rsidRPr="006E23A9">
        <w:tab/>
      </w:r>
      <w:r w:rsidR="009D2B69" w:rsidRPr="006E23A9">
        <w:rPr>
          <w:bCs/>
        </w:rPr>
        <w:t>(dále jen</w:t>
      </w:r>
      <w:r w:rsidR="009D2B69" w:rsidRPr="006E23A9">
        <w:t xml:space="preserve"> „příjemce“</w:t>
      </w:r>
      <w:r w:rsidR="009D5B1B" w:rsidRPr="006E23A9">
        <w:t xml:space="preserve"> nebo „</w:t>
      </w:r>
      <w:r w:rsidR="00FD7939">
        <w:t>SM</w:t>
      </w:r>
      <w:r w:rsidR="009D5B1B" w:rsidRPr="006E23A9">
        <w:t>“</w:t>
      </w:r>
      <w:r w:rsidR="0099272E" w:rsidRPr="006E23A9">
        <w:t>)</w:t>
      </w:r>
      <w:r w:rsidR="0070173D"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0C849D9B" w14:textId="77777777" w:rsidR="00FD7939" w:rsidRPr="006E23A9" w:rsidRDefault="009D2B69" w:rsidP="00FD7939">
      <w:pPr>
        <w:pStyle w:val="Zkladntext"/>
        <w:tabs>
          <w:tab w:val="left" w:pos="1985"/>
        </w:tabs>
        <w:ind w:left="567" w:hanging="567"/>
        <w:rPr>
          <w:b/>
          <w:szCs w:val="24"/>
        </w:rPr>
      </w:pPr>
      <w:r w:rsidRPr="006E23A9">
        <w:rPr>
          <w:b/>
          <w:bCs/>
        </w:rPr>
        <w:t>2.</w:t>
      </w:r>
      <w:r w:rsidR="00714548" w:rsidRPr="006E23A9">
        <w:rPr>
          <w:szCs w:val="24"/>
        </w:rPr>
        <w:t xml:space="preserve"> </w:t>
      </w:r>
      <w:r w:rsidR="00714548" w:rsidRPr="006E23A9">
        <w:rPr>
          <w:szCs w:val="24"/>
        </w:rPr>
        <w:tab/>
      </w:r>
      <w:r w:rsidR="00FD7939" w:rsidRPr="00827218">
        <w:rPr>
          <w:b/>
          <w:szCs w:val="24"/>
        </w:rPr>
        <w:t>Západočeská univerzita v Plzni</w:t>
      </w:r>
      <w:r w:rsidR="00FD7939" w:rsidRPr="006E23A9">
        <w:rPr>
          <w:b/>
          <w:bCs/>
          <w:szCs w:val="24"/>
        </w:rPr>
        <w:tab/>
      </w:r>
    </w:p>
    <w:p w14:paraId="569F0984" w14:textId="77777777" w:rsidR="00FD7939" w:rsidRPr="006E23A9" w:rsidRDefault="00FD7939" w:rsidP="00FD7939">
      <w:pPr>
        <w:pStyle w:val="Zkladntext"/>
        <w:tabs>
          <w:tab w:val="left" w:pos="1985"/>
        </w:tabs>
        <w:ind w:left="567" w:hanging="567"/>
        <w:rPr>
          <w:szCs w:val="24"/>
        </w:rPr>
      </w:pPr>
      <w:r w:rsidRPr="006E23A9">
        <w:rPr>
          <w:szCs w:val="24"/>
        </w:rPr>
        <w:tab/>
        <w:t xml:space="preserve">adresa sídla: </w:t>
      </w:r>
      <w:r>
        <w:t>Univerzitní 2732/8, 301 00 Plzeň</w:t>
      </w:r>
    </w:p>
    <w:p w14:paraId="2E3CEE5C" w14:textId="77777777" w:rsidR="00FD7939" w:rsidRPr="006E23A9" w:rsidRDefault="00FD7939" w:rsidP="00FD7939">
      <w:pPr>
        <w:pStyle w:val="Zkladntext"/>
        <w:tabs>
          <w:tab w:val="left" w:pos="1985"/>
        </w:tabs>
        <w:ind w:left="567" w:hanging="567"/>
        <w:rPr>
          <w:szCs w:val="24"/>
        </w:rPr>
      </w:pPr>
      <w:r w:rsidRPr="006E23A9">
        <w:rPr>
          <w:szCs w:val="24"/>
        </w:rPr>
        <w:tab/>
        <w:t xml:space="preserve">IČO: </w:t>
      </w:r>
      <w:r w:rsidRPr="00827218">
        <w:t>49777513</w:t>
      </w:r>
    </w:p>
    <w:p w14:paraId="72911E5A" w14:textId="0A3AD16A" w:rsidR="00FD7939" w:rsidRPr="006E23A9" w:rsidRDefault="00FD7939" w:rsidP="00FD7939">
      <w:pPr>
        <w:pStyle w:val="Zkladntext"/>
        <w:tabs>
          <w:tab w:val="left" w:pos="1985"/>
        </w:tabs>
        <w:ind w:left="567" w:hanging="567"/>
        <w:rPr>
          <w:szCs w:val="24"/>
        </w:rPr>
      </w:pPr>
      <w:r w:rsidRPr="006E23A9">
        <w:rPr>
          <w:szCs w:val="24"/>
        </w:rPr>
        <w:tab/>
        <w:t>zastoupená:</w:t>
      </w:r>
      <w:r w:rsidRPr="006E23A9">
        <w:rPr>
          <w:rFonts w:ascii="Arial" w:hAnsi="Arial" w:cs="Arial"/>
          <w:i/>
          <w:sz w:val="20"/>
        </w:rPr>
        <w:t xml:space="preserve"> </w:t>
      </w:r>
      <w:r w:rsidR="00AD0265" w:rsidRPr="006E23A9">
        <w:t xml:space="preserve">doc. Ing. </w:t>
      </w:r>
      <w:r w:rsidR="00AD0265">
        <w:t xml:space="preserve">Jiří </w:t>
      </w:r>
      <w:proofErr w:type="spellStart"/>
      <w:r w:rsidR="00AD0265">
        <w:t>Hammerbauer</w:t>
      </w:r>
      <w:proofErr w:type="spellEnd"/>
      <w:r w:rsidR="00AD0265" w:rsidRPr="006E23A9">
        <w:t>, Ph.D.</w:t>
      </w:r>
      <w:r w:rsidR="00AD0265" w:rsidRPr="006E23A9">
        <w:tab/>
      </w:r>
    </w:p>
    <w:p w14:paraId="44466838" w14:textId="77777777" w:rsidR="00FD7939" w:rsidRPr="006E23A9" w:rsidRDefault="00FD7939" w:rsidP="00FD7939">
      <w:pPr>
        <w:pStyle w:val="Zkladntext"/>
        <w:tabs>
          <w:tab w:val="left" w:pos="1985"/>
        </w:tabs>
        <w:ind w:left="567" w:hanging="567"/>
        <w:rPr>
          <w:bCs/>
        </w:rPr>
      </w:pPr>
      <w:r w:rsidRPr="006E23A9">
        <w:tab/>
      </w:r>
      <w:r w:rsidRPr="006E23A9">
        <w:rPr>
          <w:bCs/>
        </w:rPr>
        <w:t>(dále jen</w:t>
      </w:r>
      <w:r w:rsidRPr="006E23A9">
        <w:rPr>
          <w:b/>
        </w:rPr>
        <w:t xml:space="preserve"> </w:t>
      </w:r>
      <w:r w:rsidRPr="006E23A9">
        <w:t>„další účastník projektu“</w:t>
      </w:r>
      <w:r>
        <w:t xml:space="preserve"> „ZČU“)</w:t>
      </w:r>
    </w:p>
    <w:p w14:paraId="7A61E4AC" w14:textId="12D18FC1" w:rsidR="003A4812" w:rsidRPr="006E23A9" w:rsidRDefault="003A4812" w:rsidP="00FD7939">
      <w:pPr>
        <w:pStyle w:val="Zkladntext"/>
        <w:tabs>
          <w:tab w:val="left" w:pos="1985"/>
        </w:tabs>
        <w:ind w:left="567" w:hanging="567"/>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66CEFD23" w:rsidR="002B2D50" w:rsidRPr="006E23A9" w:rsidRDefault="00A22B2A" w:rsidP="00FD7939">
      <w:pPr>
        <w:pStyle w:val="Zkladntextodsazen"/>
        <w:numPr>
          <w:ilvl w:val="0"/>
          <w:numId w:val="21"/>
        </w:numPr>
        <w:spacing w:after="120"/>
      </w:pPr>
      <w:r w:rsidRPr="006E23A9">
        <w:t>Příjemce řeší</w:t>
      </w:r>
      <w:r w:rsidR="00B910F7" w:rsidRPr="006E23A9">
        <w:t xml:space="preserve"> s d</w:t>
      </w:r>
      <w:r w:rsidR="00CF7ADF" w:rsidRPr="006E23A9">
        <w:t>alším</w:t>
      </w:r>
      <w:r w:rsidR="00B910F7" w:rsidRPr="006E23A9">
        <w:t xml:space="preserve"> účastníkem</w:t>
      </w:r>
      <w:r w:rsidR="005558AB" w:rsidRPr="006E23A9">
        <w:t xml:space="preserve"> projektu</w:t>
      </w:r>
      <w:r w:rsidRPr="006E23A9">
        <w:t xml:space="preserve"> na základě výsledků veřejné soutěže vyhlášené </w:t>
      </w:r>
      <w:r w:rsidR="00FD7939" w:rsidRPr="00D71A43">
        <w:rPr>
          <w:szCs w:val="24"/>
        </w:rPr>
        <w:t>Technologickou agenturou České republiky</w:t>
      </w:r>
      <w:r w:rsidR="00FD7939" w:rsidRPr="006E23A9">
        <w:t xml:space="preserve"> </w:t>
      </w:r>
      <w:r w:rsidRPr="006E23A9">
        <w:t>(dále jen „</w:t>
      </w:r>
      <w:r w:rsidR="00CF7ADF" w:rsidRPr="006E23A9">
        <w:t>poskytovatel</w:t>
      </w:r>
      <w:r w:rsidRPr="006E23A9">
        <w:t>“)</w:t>
      </w:r>
      <w:r w:rsidR="0099272E" w:rsidRPr="006E23A9">
        <w:t xml:space="preserve"> v rámci programu </w:t>
      </w:r>
      <w:r w:rsidR="00FD7939" w:rsidRPr="009E3BC7">
        <w:rPr>
          <w:szCs w:val="24"/>
        </w:rPr>
        <w:t>Program podpory aplikovaného výzkumu, experimentálního vývoje a inovací DELTA 2, 3. veřejná soutěž DELTA 2</w:t>
      </w:r>
      <w:r w:rsidR="00FD7939">
        <w:rPr>
          <w:szCs w:val="24"/>
        </w:rPr>
        <w:t xml:space="preserve">, </w:t>
      </w:r>
      <w:r w:rsidR="00CF7ADF" w:rsidRPr="006E23A9">
        <w:t>projekt výzkumu a vývoje s názvem: „</w:t>
      </w:r>
      <w:r w:rsidR="00FD7939" w:rsidRPr="00FD7939">
        <w:t>Pokročilá robotika pro nedestruktivní inspekci v drsných prostředích</w:t>
      </w:r>
      <w:r w:rsidR="00CF7ADF" w:rsidRPr="006E23A9">
        <w:t xml:space="preserve">“, ev. č. </w:t>
      </w:r>
      <w:r w:rsidR="00FD7939" w:rsidRPr="00FD7939">
        <w:t xml:space="preserve">TM03000049 </w:t>
      </w:r>
      <w:r w:rsidR="00CF7ADF" w:rsidRPr="006E23A9">
        <w:t>(dále jen „</w:t>
      </w:r>
      <w:r w:rsidR="004471DE" w:rsidRPr="006E23A9">
        <w:t>p</w:t>
      </w:r>
      <w:r w:rsidR="00CF7ADF" w:rsidRPr="006E23A9">
        <w:t>rojekt“)</w:t>
      </w:r>
      <w:r w:rsidR="00D0097B" w:rsidRPr="006E23A9">
        <w:t>.</w:t>
      </w:r>
    </w:p>
    <w:p w14:paraId="71C307D4" w14:textId="7A775CCF"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042568">
        <w:t>28. 2. 2025.</w:t>
      </w:r>
    </w:p>
    <w:p w14:paraId="2247BB1E" w14:textId="08AB103D" w:rsidR="002B2D50" w:rsidRPr="006E23A9" w:rsidRDefault="00A22B2A" w:rsidP="00042568">
      <w:pPr>
        <w:pStyle w:val="Zkladntextodsazen"/>
        <w:numPr>
          <w:ilvl w:val="0"/>
          <w:numId w:val="21"/>
        </w:numPr>
        <w:spacing w:after="120"/>
      </w:pPr>
      <w:r w:rsidRPr="006E23A9">
        <w:t xml:space="preserve">Příjemce: </w:t>
      </w:r>
      <w:r w:rsidR="00042568" w:rsidRPr="00042568">
        <w:t>SmartMotion s.r.o.</w:t>
      </w:r>
    </w:p>
    <w:p w14:paraId="63608373" w14:textId="24E7E6AF" w:rsidR="002B2D50" w:rsidRPr="006E23A9" w:rsidRDefault="002B3734" w:rsidP="00042568">
      <w:pPr>
        <w:pStyle w:val="Zkladntextodsazen"/>
        <w:numPr>
          <w:ilvl w:val="0"/>
          <w:numId w:val="21"/>
        </w:numPr>
        <w:spacing w:after="120"/>
      </w:pPr>
      <w:r w:rsidRPr="006E23A9">
        <w:t xml:space="preserve">Na základě smlouvy o účasti na řešení projektu </w:t>
      </w:r>
      <w:r w:rsidR="00AE559E" w:rsidRPr="006E23A9">
        <w:t xml:space="preserve">je dalším účastníkem projektu </w:t>
      </w:r>
      <w:r w:rsidR="00042568" w:rsidRPr="00042568">
        <w:t>Západočeská univerzita v</w:t>
      </w:r>
      <w:r w:rsidR="00042568">
        <w:t> </w:t>
      </w:r>
      <w:r w:rsidR="00042568" w:rsidRPr="00042568">
        <w:t>Plzni</w:t>
      </w:r>
      <w:r w:rsidR="00042568">
        <w:t>.</w:t>
      </w:r>
    </w:p>
    <w:p w14:paraId="72490893" w14:textId="535BF200" w:rsidR="002B2D50" w:rsidRPr="006E23A9"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042568">
        <w:t>C</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4ADAD9E0" w14:textId="1A52E09D" w:rsidR="002A66D8" w:rsidRPr="006B50F2" w:rsidRDefault="004471DE" w:rsidP="00A623BB">
      <w:pPr>
        <w:pStyle w:val="Odstavecseseznamem"/>
        <w:numPr>
          <w:ilvl w:val="0"/>
          <w:numId w:val="27"/>
        </w:numPr>
        <w:tabs>
          <w:tab w:val="left" w:pos="3402"/>
        </w:tabs>
        <w:ind w:left="709" w:hanging="349"/>
        <w:jc w:val="both"/>
        <w:rPr>
          <w:sz w:val="24"/>
          <w:szCs w:val="24"/>
        </w:rPr>
      </w:pPr>
      <w:r w:rsidRPr="006B50F2">
        <w:rPr>
          <w:sz w:val="24"/>
          <w:szCs w:val="24"/>
        </w:rPr>
        <w:t xml:space="preserve">Název výsledku: </w:t>
      </w:r>
      <w:r w:rsidRPr="006B50F2">
        <w:rPr>
          <w:sz w:val="24"/>
          <w:szCs w:val="24"/>
        </w:rPr>
        <w:tab/>
      </w:r>
      <w:r w:rsidR="00A623BB" w:rsidRPr="006B50F2">
        <w:rPr>
          <w:sz w:val="24"/>
          <w:szCs w:val="24"/>
        </w:rPr>
        <w:t>Modulární robotický systém pro pokročilé NDT aplikace</w:t>
      </w:r>
    </w:p>
    <w:p w14:paraId="48E550D9" w14:textId="6F188343" w:rsidR="004C050D" w:rsidRPr="006B50F2" w:rsidRDefault="004C050D" w:rsidP="009D5B1B">
      <w:pPr>
        <w:tabs>
          <w:tab w:val="left" w:pos="3402"/>
        </w:tabs>
        <w:ind w:left="705"/>
        <w:jc w:val="both"/>
        <w:rPr>
          <w:sz w:val="24"/>
          <w:szCs w:val="24"/>
        </w:rPr>
      </w:pPr>
      <w:r w:rsidRPr="006B50F2">
        <w:rPr>
          <w:sz w:val="24"/>
          <w:szCs w:val="24"/>
        </w:rPr>
        <w:t>Typ výsledku</w:t>
      </w:r>
      <w:r w:rsidR="004471DE" w:rsidRPr="006B50F2">
        <w:rPr>
          <w:sz w:val="24"/>
          <w:szCs w:val="24"/>
        </w:rPr>
        <w:t>:</w:t>
      </w:r>
      <w:r w:rsidRPr="006B50F2">
        <w:rPr>
          <w:sz w:val="24"/>
          <w:szCs w:val="24"/>
        </w:rPr>
        <w:t xml:space="preserve"> </w:t>
      </w:r>
      <w:r w:rsidR="004471DE" w:rsidRPr="006B50F2">
        <w:rPr>
          <w:sz w:val="24"/>
          <w:szCs w:val="24"/>
        </w:rPr>
        <w:tab/>
      </w:r>
      <w:proofErr w:type="spellStart"/>
      <w:r w:rsidR="00A623BB" w:rsidRPr="006B50F2">
        <w:rPr>
          <w:sz w:val="24"/>
          <w:szCs w:val="24"/>
        </w:rPr>
        <w:t>Gfunk</w:t>
      </w:r>
      <w:proofErr w:type="spellEnd"/>
      <w:r w:rsidR="00A623BB" w:rsidRPr="006B50F2">
        <w:rPr>
          <w:sz w:val="24"/>
          <w:szCs w:val="24"/>
        </w:rPr>
        <w:t xml:space="preserve"> – Funkční vzorek</w:t>
      </w:r>
    </w:p>
    <w:p w14:paraId="205B8155" w14:textId="486B3934" w:rsidR="00736DEF" w:rsidRPr="006B50F2" w:rsidRDefault="002B2D50" w:rsidP="009D5B1B">
      <w:pPr>
        <w:tabs>
          <w:tab w:val="left" w:pos="3402"/>
        </w:tabs>
        <w:ind w:left="705"/>
        <w:jc w:val="both"/>
        <w:rPr>
          <w:sz w:val="24"/>
          <w:szCs w:val="24"/>
        </w:rPr>
      </w:pPr>
      <w:r w:rsidRPr="006B50F2">
        <w:rPr>
          <w:sz w:val="24"/>
          <w:szCs w:val="24"/>
        </w:rPr>
        <w:t>Vlastnictví</w:t>
      </w:r>
      <w:r w:rsidR="004C050D" w:rsidRPr="006B50F2">
        <w:rPr>
          <w:sz w:val="24"/>
          <w:szCs w:val="24"/>
        </w:rPr>
        <w:t xml:space="preserve"> výsledku</w:t>
      </w:r>
      <w:r w:rsidR="004471DE" w:rsidRPr="006B50F2">
        <w:rPr>
          <w:sz w:val="24"/>
          <w:szCs w:val="24"/>
        </w:rPr>
        <w:t>:</w:t>
      </w:r>
      <w:r w:rsidR="004C050D" w:rsidRPr="006B50F2">
        <w:rPr>
          <w:sz w:val="24"/>
          <w:szCs w:val="24"/>
        </w:rPr>
        <w:t xml:space="preserve"> </w:t>
      </w:r>
      <w:r w:rsidR="004471DE" w:rsidRPr="006B50F2">
        <w:rPr>
          <w:sz w:val="24"/>
          <w:szCs w:val="24"/>
        </w:rPr>
        <w:tab/>
      </w:r>
      <w:r w:rsidR="00A623BB" w:rsidRPr="006B50F2">
        <w:rPr>
          <w:sz w:val="24"/>
          <w:szCs w:val="24"/>
        </w:rPr>
        <w:t>SM:</w:t>
      </w:r>
      <w:r w:rsidR="00A623BB" w:rsidRPr="006B50F2">
        <w:rPr>
          <w:sz w:val="24"/>
          <w:szCs w:val="24"/>
        </w:rPr>
        <w:tab/>
        <w:t>50%</w:t>
      </w:r>
    </w:p>
    <w:p w14:paraId="547E621F" w14:textId="71178D7A" w:rsidR="00A623BB" w:rsidRPr="006B50F2" w:rsidRDefault="00A623BB" w:rsidP="009D5B1B">
      <w:pPr>
        <w:tabs>
          <w:tab w:val="left" w:pos="3402"/>
        </w:tabs>
        <w:ind w:left="705"/>
        <w:jc w:val="both"/>
        <w:rPr>
          <w:sz w:val="24"/>
          <w:szCs w:val="24"/>
        </w:rPr>
      </w:pPr>
      <w:r w:rsidRPr="006B50F2">
        <w:rPr>
          <w:sz w:val="24"/>
          <w:szCs w:val="24"/>
        </w:rPr>
        <w:tab/>
        <w:t xml:space="preserve">ZČU: </w:t>
      </w:r>
      <w:r w:rsidRPr="006B50F2">
        <w:rPr>
          <w:sz w:val="24"/>
          <w:szCs w:val="24"/>
        </w:rPr>
        <w:tab/>
        <w:t>50%</w:t>
      </w:r>
    </w:p>
    <w:p w14:paraId="717D4DF4" w14:textId="440A4F0C" w:rsidR="0099272E" w:rsidRPr="006E23A9" w:rsidRDefault="004471DE" w:rsidP="00422139">
      <w:pPr>
        <w:tabs>
          <w:tab w:val="left" w:pos="3402"/>
        </w:tabs>
        <w:ind w:left="705"/>
        <w:jc w:val="both"/>
        <w:rPr>
          <w:sz w:val="24"/>
          <w:szCs w:val="24"/>
        </w:rPr>
      </w:pPr>
      <w:r w:rsidRPr="006B50F2">
        <w:rPr>
          <w:b/>
          <w:sz w:val="24"/>
          <w:szCs w:val="24"/>
        </w:rPr>
        <w:t>Způsob využití výsledku:</w:t>
      </w:r>
      <w:r w:rsidRPr="006B50F2">
        <w:rPr>
          <w:sz w:val="24"/>
          <w:szCs w:val="24"/>
        </w:rPr>
        <w:t xml:space="preserve"> </w:t>
      </w:r>
      <w:r w:rsidRPr="006B50F2">
        <w:rPr>
          <w:sz w:val="24"/>
          <w:szCs w:val="24"/>
        </w:rPr>
        <w:tab/>
      </w:r>
      <w:r w:rsidR="001253C7" w:rsidRPr="006B50F2">
        <w:rPr>
          <w:sz w:val="24"/>
          <w:szCs w:val="24"/>
        </w:rPr>
        <w:t xml:space="preserve">Jedná se o funkční vzorek robotu sestávajícího se z mobilní robotické platformy (specifický obvodový pojezd na potrubí) a externího polohovadla (nosiče defektoskopických sond), který slouží k provádění pokročilých nedestruktivních kontrol svarových spojů. Součástí robotické systému je </w:t>
      </w:r>
      <w:proofErr w:type="spellStart"/>
      <w:r w:rsidR="001253C7" w:rsidRPr="006B50F2">
        <w:rPr>
          <w:sz w:val="24"/>
          <w:szCs w:val="24"/>
        </w:rPr>
        <w:t>kontroler</w:t>
      </w:r>
      <w:proofErr w:type="spellEnd"/>
      <w:r w:rsidR="001253C7" w:rsidRPr="006B50F2">
        <w:rPr>
          <w:sz w:val="24"/>
          <w:szCs w:val="24"/>
        </w:rPr>
        <w:t xml:space="preserve"> robotu s řídicím systémem pohybu a operátorským rozhraním. Využití výsledku ze strany hlavního </w:t>
      </w:r>
      <w:r w:rsidR="001253C7" w:rsidRPr="006B50F2">
        <w:rPr>
          <w:sz w:val="24"/>
          <w:szCs w:val="24"/>
        </w:rPr>
        <w:lastRenderedPageBreak/>
        <w:t>příjemce SM je dáno novým portfoliem produktů v podobě speciálních robotických struktur pro provádění NDT kontrol (mechanická a konstrukční část). Ze strany dalšího účastníka ZČU se jedná o výzkum, vývoj a implementaci řídicích systémů nestandardních robotických systémů, které systematicky rozvíjí ve svých výzk</w:t>
      </w:r>
      <w:r w:rsidR="00422139" w:rsidRPr="006B50F2">
        <w:rPr>
          <w:sz w:val="24"/>
          <w:szCs w:val="24"/>
        </w:rPr>
        <w:t>umných a vývojových aktivitách. T</w:t>
      </w:r>
      <w:r w:rsidR="001253C7" w:rsidRPr="006B50F2">
        <w:rPr>
          <w:sz w:val="24"/>
          <w:szCs w:val="24"/>
        </w:rPr>
        <w:t>yto výsledky jsou přenositelné i na jiná robotická zařízení. SM a ZČU mohou ve vzájemné spolupráce rozvíjet a přizpůsobovat předložený funkční vzorek dle požadavků průmyslových partnerů z obla</w:t>
      </w:r>
      <w:r w:rsidR="00422139" w:rsidRPr="006B50F2">
        <w:rPr>
          <w:sz w:val="24"/>
          <w:szCs w:val="24"/>
        </w:rPr>
        <w:t>sti nedestruktivního testování za účelem jeho prodeje v podobě finálního produktu.</w:t>
      </w:r>
    </w:p>
    <w:p w14:paraId="72372440" w14:textId="77777777" w:rsidR="00635D46" w:rsidRPr="006E23A9" w:rsidRDefault="00635D46" w:rsidP="00904625">
      <w:pPr>
        <w:ind w:left="705" w:hanging="705"/>
        <w:jc w:val="both"/>
        <w:rPr>
          <w:sz w:val="24"/>
          <w:szCs w:val="24"/>
        </w:rPr>
      </w:pPr>
    </w:p>
    <w:p w14:paraId="0F16772D" w14:textId="6088957A"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0C3BC3EC"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02D64FB" w14:textId="76C5A881"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 xml:space="preserve">onává </w:t>
      </w:r>
      <w:r w:rsidR="004471DE" w:rsidRPr="006E23A9">
        <w:rPr>
          <w:sz w:val="24"/>
          <w:szCs w:val="24"/>
        </w:rPr>
        <w:t xml:space="preserve">jedna </w:t>
      </w:r>
      <w:r w:rsidR="00FE7682" w:rsidRPr="006E23A9">
        <w:rPr>
          <w:sz w:val="24"/>
          <w:szCs w:val="24"/>
        </w:rPr>
        <w:t xml:space="preserve">ze </w:t>
      </w:r>
      <w:r w:rsidR="004471DE" w:rsidRPr="006E23A9">
        <w:rPr>
          <w:sz w:val="24"/>
          <w:szCs w:val="24"/>
        </w:rPr>
        <w:t>smluvní</w:t>
      </w:r>
      <w:r w:rsidR="00FE7682" w:rsidRPr="006E23A9">
        <w:rPr>
          <w:sz w:val="24"/>
          <w:szCs w:val="24"/>
        </w:rPr>
        <w:t>ch</w:t>
      </w:r>
      <w:r w:rsidR="004471DE" w:rsidRPr="006E23A9">
        <w:rPr>
          <w:sz w:val="24"/>
          <w:szCs w:val="24"/>
        </w:rPr>
        <w:t xml:space="preserve"> stran nebo </w:t>
      </w:r>
      <w:r w:rsidR="000946FE" w:rsidRPr="006E23A9">
        <w:rPr>
          <w:sz w:val="24"/>
          <w:szCs w:val="24"/>
        </w:rPr>
        <w:t xml:space="preserve">obě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477194AF"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55DE427E" w14:textId="4EBF7EC9" w:rsidR="00635D46" w:rsidRPr="006E23A9" w:rsidRDefault="004471DE" w:rsidP="006E23A9">
      <w:pPr>
        <w:pStyle w:val="Zkladntext"/>
        <w:numPr>
          <w:ilvl w:val="0"/>
          <w:numId w:val="18"/>
        </w:numPr>
        <w:spacing w:after="120"/>
        <w:ind w:hanging="720"/>
        <w:jc w:val="both"/>
        <w:rPr>
          <w:szCs w:val="24"/>
        </w:rPr>
      </w:pPr>
      <w:bookmarkStart w:id="0" w:name="_Hlk147222065"/>
      <w:r w:rsidRPr="006B50F2">
        <w:rPr>
          <w:szCs w:val="24"/>
        </w:rPr>
        <w:t xml:space="preserve">Smluvní strany se zavazují vyžít </w:t>
      </w:r>
      <w:r w:rsidR="000946FE" w:rsidRPr="006B50F2">
        <w:rPr>
          <w:szCs w:val="24"/>
        </w:rPr>
        <w:t>v</w:t>
      </w:r>
      <w:r w:rsidRPr="006B50F2">
        <w:rPr>
          <w:szCs w:val="24"/>
        </w:rPr>
        <w:t xml:space="preserve">ýsledky způsobem uvedeným v předchozím článku nejdéle do </w:t>
      </w:r>
      <w:r w:rsidR="00422139" w:rsidRPr="006B50F2">
        <w:t>2</w:t>
      </w:r>
      <w:r w:rsidR="0099272E" w:rsidRPr="006B50F2">
        <w:t xml:space="preserve"> </w:t>
      </w:r>
      <w:r w:rsidR="00E60F39" w:rsidRPr="006B50F2">
        <w:rPr>
          <w:szCs w:val="24"/>
        </w:rPr>
        <w:t>let</w:t>
      </w:r>
      <w:r w:rsidR="00E60F39" w:rsidRPr="006E23A9">
        <w:rPr>
          <w:szCs w:val="24"/>
        </w:rPr>
        <w:t xml:space="preserve">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r w:rsidR="00FE7682" w:rsidRPr="006E23A9">
        <w:rPr>
          <w:szCs w:val="24"/>
        </w:rPr>
        <w:t xml:space="preserve">Smluvní strany se zavazují spolupracovat a poskytnout si vzájemně maximální součinnost k tomu, aby výsledky byly využity </w:t>
      </w:r>
      <w:r w:rsidR="0045735C" w:rsidRPr="006E23A9">
        <w:rPr>
          <w:szCs w:val="24"/>
        </w:rPr>
        <w:t>v souladu s implementačním plánem</w:t>
      </w:r>
      <w:r w:rsidR="00FE7682" w:rsidRPr="006E23A9">
        <w:rPr>
          <w:szCs w:val="24"/>
        </w:rPr>
        <w:t>.</w:t>
      </w:r>
    </w:p>
    <w:p w14:paraId="3F161E09" w14:textId="4397AD0D"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5B0675B1" w14:textId="4D7401F9" w:rsidR="00787190" w:rsidRDefault="00787190" w:rsidP="00787190">
      <w:pPr>
        <w:pStyle w:val="Zkladntext"/>
        <w:spacing w:after="120"/>
        <w:ind w:left="720"/>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2EE5D68" w14:textId="04303664" w:rsidR="0045735C" w:rsidRPr="006E23A9" w:rsidRDefault="004D4B39" w:rsidP="00DC32BC">
      <w:pPr>
        <w:pStyle w:val="Zkladntext"/>
        <w:spacing w:after="120"/>
        <w:ind w:left="720"/>
        <w:jc w:val="both"/>
        <w:rPr>
          <w:szCs w:val="24"/>
        </w:rPr>
      </w:pPr>
      <w:r>
        <w:rPr>
          <w:szCs w:val="24"/>
        </w:rPr>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bookmarkEnd w:id="0"/>
    <w:p w14:paraId="6350702A" w14:textId="77777777" w:rsidR="000946FE" w:rsidRPr="006E23A9" w:rsidRDefault="000946FE" w:rsidP="009D5B1B">
      <w:pPr>
        <w:pStyle w:val="Zkladntext"/>
        <w:numPr>
          <w:ilvl w:val="0"/>
          <w:numId w:val="18"/>
        </w:numPr>
        <w:spacing w:after="120"/>
        <w:ind w:hanging="720"/>
        <w:jc w:val="both"/>
        <w:rPr>
          <w:szCs w:val="24"/>
        </w:rPr>
      </w:pPr>
      <w:r w:rsidRPr="006E23A9">
        <w:rPr>
          <w:szCs w:val="24"/>
        </w:rPr>
        <w:t>Smluvní strana, která je výlučným vlastníkem výsledku, jej může užívat sama bez jakéhokoliv omezení.</w:t>
      </w:r>
    </w:p>
    <w:p w14:paraId="6EE21497" w14:textId="306DAF00" w:rsidR="00DB74FF" w:rsidRPr="006E23A9" w:rsidRDefault="00DB74FF" w:rsidP="009D5B1B">
      <w:pPr>
        <w:pStyle w:val="Zkladntext"/>
        <w:numPr>
          <w:ilvl w:val="0"/>
          <w:numId w:val="18"/>
        </w:numPr>
        <w:spacing w:after="120"/>
        <w:ind w:hanging="720"/>
        <w:jc w:val="both"/>
        <w:rPr>
          <w:szCs w:val="24"/>
        </w:rPr>
      </w:pPr>
      <w:r w:rsidRPr="006E23A9">
        <w:t>Výsledky, které jsou ve spoluvlastnictví smluvních stran</w:t>
      </w:r>
      <w:r w:rsidR="00AF438A" w:rsidRPr="006E23A9">
        <w:t xml:space="preserve"> (dále jen „společné výsledky“)</w:t>
      </w:r>
      <w:r w:rsidRPr="006E23A9">
        <w:t xml:space="preserve">, </w:t>
      </w:r>
      <w:r w:rsidR="000946FE" w:rsidRPr="006E23A9">
        <w:t>mohou smluvní strany využívat nekomerčně bez omezení a komerčně za dále uvedených podmínek. Komerčním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r w:rsidR="001461C7">
        <w:rPr>
          <w:szCs w:val="24"/>
        </w:rPr>
        <w:t>.</w:t>
      </w:r>
    </w:p>
    <w:p w14:paraId="205559DD" w14:textId="2BBD772A"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lastRenderedPageBreak/>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transfer@</w:t>
      </w:r>
      <w:r w:rsidR="005A08FD" w:rsidRPr="006E23A9">
        <w:rPr>
          <w:szCs w:val="24"/>
        </w:rPr>
        <w:t>rek.</w:t>
      </w:r>
      <w:r w:rsidR="000946FE" w:rsidRPr="006E23A9">
        <w:rPr>
          <w:szCs w:val="24"/>
        </w:rPr>
        <w:t>zcu.cz</w:t>
      </w:r>
      <w:r w:rsidR="003367C7" w:rsidRPr="006E23A9">
        <w:rPr>
          <w:szCs w:val="24"/>
        </w:rPr>
        <w:t>.</w:t>
      </w:r>
      <w:r w:rsidRPr="006E23A9">
        <w:t xml:space="preserve"> </w:t>
      </w:r>
      <w:bookmarkStart w:id="1"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hradit </w:t>
      </w:r>
      <w:r w:rsidR="00535574" w:rsidRPr="006E23A9">
        <w:t xml:space="preserve">druhé </w:t>
      </w:r>
      <w:r w:rsidRPr="006E23A9">
        <w:t xml:space="preserve">smluvní straně, pokud by taková licenční smlouva platila po dobu dvou let. </w:t>
      </w:r>
      <w:bookmarkStart w:id="2" w:name="_Hlk7153700"/>
      <w:bookmarkStart w:id="3"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2"/>
      <w:r w:rsidRPr="006E23A9">
        <w:t xml:space="preserve"> Úhrada kompenzace neznamená, že smluvní strany nemohou jednat s jinými zájemci o uzavření licenční smlouvy, přičemž i na taková následná jednání se užije ustanovení tohoto odstavce</w:t>
      </w:r>
      <w:bookmarkEnd w:id="1"/>
      <w:r w:rsidRPr="006E23A9">
        <w:t>.</w:t>
      </w:r>
      <w:bookmarkEnd w:id="3"/>
    </w:p>
    <w:p w14:paraId="7DB1DD16" w14:textId="77777777" w:rsidR="0047791A" w:rsidRPr="006E23A9" w:rsidRDefault="0047791A" w:rsidP="0047791A">
      <w:pPr>
        <w:pStyle w:val="Zkladntext"/>
        <w:ind w:left="720"/>
        <w:jc w:val="center"/>
        <w:rPr>
          <w:b/>
        </w:rPr>
      </w:pPr>
    </w:p>
    <w:p w14:paraId="32AFE938" w14:textId="1CAB964E" w:rsidR="0047791A" w:rsidRPr="006E23A9" w:rsidRDefault="0047791A" w:rsidP="009D5B1B">
      <w:pPr>
        <w:pStyle w:val="Zkladntext"/>
        <w:ind w:left="720"/>
        <w:jc w:val="center"/>
        <w:rPr>
          <w:b/>
        </w:rPr>
      </w:pPr>
      <w:r w:rsidRPr="006E23A9">
        <w:rPr>
          <w:b/>
        </w:rPr>
        <w:t>IV.</w:t>
      </w:r>
    </w:p>
    <w:p w14:paraId="2192DD31" w14:textId="4CDB85DF" w:rsidR="0047791A" w:rsidRPr="006E23A9" w:rsidRDefault="0047791A" w:rsidP="006E23A9">
      <w:pPr>
        <w:pStyle w:val="Zkladntext"/>
        <w:spacing w:after="120"/>
        <w:ind w:left="720"/>
        <w:jc w:val="center"/>
        <w:rPr>
          <w:b/>
          <w:bCs/>
        </w:rPr>
      </w:pPr>
      <w:r w:rsidRPr="006E23A9">
        <w:rPr>
          <w:b/>
          <w:bCs/>
        </w:rPr>
        <w:t>Podmínky komerčního využití výsledku</w:t>
      </w:r>
    </w:p>
    <w:p w14:paraId="7646B36A" w14:textId="526B1BC2" w:rsidR="00645E93" w:rsidRPr="006E23A9" w:rsidRDefault="00645E93" w:rsidP="006E23A9">
      <w:pPr>
        <w:pStyle w:val="Zkladntext"/>
        <w:numPr>
          <w:ilvl w:val="0"/>
          <w:numId w:val="34"/>
        </w:numPr>
        <w:spacing w:after="120"/>
        <w:ind w:hanging="720"/>
        <w:jc w:val="both"/>
        <w:rPr>
          <w:szCs w:val="24"/>
        </w:rPr>
      </w:pPr>
      <w:r w:rsidRPr="006E23A9">
        <w:rPr>
          <w:szCs w:val="24"/>
        </w:rPr>
        <w:t>V případě komerčního využití společného výsledku jednou ze smluvních stran, náleží druhé smluvní straně</w:t>
      </w:r>
      <w:r w:rsidR="0047791A" w:rsidRPr="006E23A9">
        <w:rPr>
          <w:szCs w:val="24"/>
        </w:rPr>
        <w:t xml:space="preserve"> (</w:t>
      </w:r>
      <w:r w:rsidR="00D707A4" w:rsidRPr="006E23A9">
        <w:rPr>
          <w:szCs w:val="24"/>
        </w:rPr>
        <w:t>dále jen „</w:t>
      </w:r>
      <w:r w:rsidR="0047791A" w:rsidRPr="006E23A9">
        <w:rPr>
          <w:szCs w:val="24"/>
        </w:rPr>
        <w:t>oprávněná smluvní strana</w:t>
      </w:r>
      <w:r w:rsidR="00D707A4" w:rsidRPr="006E23A9">
        <w:rPr>
          <w:szCs w:val="24"/>
        </w:rPr>
        <w:t>“</w:t>
      </w:r>
      <w:r w:rsidR="0047791A" w:rsidRPr="006E23A9">
        <w:rPr>
          <w:szCs w:val="24"/>
        </w:rPr>
        <w:t xml:space="preserve">) </w:t>
      </w:r>
      <w:r w:rsidR="003432FD" w:rsidRPr="006E23A9">
        <w:rPr>
          <w:szCs w:val="24"/>
        </w:rPr>
        <w:t xml:space="preserve">roční </w:t>
      </w:r>
      <w:r w:rsidR="00FF6E67" w:rsidRPr="006B50F2">
        <w:rPr>
          <w:szCs w:val="24"/>
        </w:rPr>
        <w:t>poplatek</w:t>
      </w:r>
      <w:r w:rsidRPr="006B50F2">
        <w:rPr>
          <w:szCs w:val="24"/>
        </w:rPr>
        <w:t xml:space="preserve"> ve výši </w:t>
      </w:r>
      <w:r w:rsidR="00422139" w:rsidRPr="006B50F2">
        <w:rPr>
          <w:szCs w:val="24"/>
        </w:rPr>
        <w:t>5</w:t>
      </w:r>
      <w:r w:rsidRPr="006B50F2">
        <w:rPr>
          <w:szCs w:val="24"/>
        </w:rPr>
        <w:t xml:space="preserve"> %</w:t>
      </w:r>
      <w:r w:rsidRPr="006E23A9">
        <w:rPr>
          <w:szCs w:val="24"/>
        </w:rPr>
        <w:t xml:space="preserve"> z prodejní ceny produktu či služby, ve kterých byl společný výsledek užit</w:t>
      </w:r>
      <w:r w:rsidR="003432FD" w:rsidRPr="006E23A9">
        <w:rPr>
          <w:szCs w:val="24"/>
        </w:rPr>
        <w:t>. Poplatek bude vypočten</w:t>
      </w:r>
      <w:r w:rsidR="00661D68" w:rsidRPr="006E23A9">
        <w:rPr>
          <w:szCs w:val="24"/>
        </w:rPr>
        <w:t xml:space="preserve"> </w:t>
      </w:r>
      <w:r w:rsidR="00B5372A" w:rsidRPr="006E23A9">
        <w:rPr>
          <w:szCs w:val="24"/>
        </w:rPr>
        <w:t xml:space="preserve">vždy </w:t>
      </w:r>
      <w:r w:rsidR="00661D68" w:rsidRPr="006E23A9">
        <w:rPr>
          <w:szCs w:val="24"/>
        </w:rPr>
        <w:t>z</w:t>
      </w:r>
      <w:r w:rsidR="003432FD" w:rsidRPr="006E23A9">
        <w:rPr>
          <w:szCs w:val="24"/>
        </w:rPr>
        <w:t xml:space="preserve"> prodejní ceny </w:t>
      </w:r>
      <w:r w:rsidR="00B5372A" w:rsidRPr="006E23A9">
        <w:rPr>
          <w:szCs w:val="24"/>
        </w:rPr>
        <w:t xml:space="preserve">všech </w:t>
      </w:r>
      <w:r w:rsidR="003432FD" w:rsidRPr="006E23A9">
        <w:rPr>
          <w:szCs w:val="24"/>
        </w:rPr>
        <w:t>produkt</w:t>
      </w:r>
      <w:r w:rsidR="00B5372A" w:rsidRPr="006E23A9">
        <w:rPr>
          <w:szCs w:val="24"/>
        </w:rPr>
        <w:t>ů</w:t>
      </w:r>
      <w:r w:rsidR="003432FD" w:rsidRPr="006E23A9">
        <w:rPr>
          <w:szCs w:val="24"/>
        </w:rPr>
        <w:t xml:space="preserve"> či služ</w:t>
      </w:r>
      <w:r w:rsidR="00B5372A" w:rsidRPr="006E23A9">
        <w:rPr>
          <w:szCs w:val="24"/>
        </w:rPr>
        <w:t>e</w:t>
      </w:r>
      <w:r w:rsidR="003432FD" w:rsidRPr="006E23A9">
        <w:rPr>
          <w:szCs w:val="24"/>
        </w:rPr>
        <w:t>b, ve kterých byl společný výsledek užit</w:t>
      </w:r>
      <w:r w:rsidR="003B54B8">
        <w:rPr>
          <w:szCs w:val="24"/>
        </w:rPr>
        <w:t>, byť jen částečně</w:t>
      </w:r>
      <w:r w:rsidR="003432FD" w:rsidRPr="006E23A9">
        <w:rPr>
          <w:szCs w:val="24"/>
        </w:rPr>
        <w:t>, za</w:t>
      </w:r>
      <w:r w:rsidR="00661D68" w:rsidRPr="006E23A9">
        <w:rPr>
          <w:szCs w:val="24"/>
        </w:rPr>
        <w:t xml:space="preserve"> předchozí kalendářní rok</w:t>
      </w:r>
      <w:r w:rsidRPr="006E23A9">
        <w:rPr>
          <w:szCs w:val="24"/>
        </w:rPr>
        <w:t xml:space="preserve">. </w:t>
      </w:r>
      <w:r w:rsidR="00C26D33" w:rsidRPr="006E23A9">
        <w:rPr>
          <w:szCs w:val="24"/>
        </w:rPr>
        <w:t>P</w:t>
      </w:r>
      <w:r w:rsidRPr="006E23A9">
        <w:rPr>
          <w:szCs w:val="24"/>
        </w:rPr>
        <w:t>rodejní cenou se rozumí cena, za kterou smluvní strana prodá produkt či službu, ve kterých byl společný výsledek užit</w:t>
      </w:r>
      <w:r w:rsidR="003B54B8">
        <w:rPr>
          <w:szCs w:val="24"/>
        </w:rPr>
        <w:t xml:space="preserve"> (byť jen částečně)</w:t>
      </w:r>
      <w:r w:rsidRPr="006E23A9">
        <w:rPr>
          <w:szCs w:val="24"/>
        </w:rPr>
        <w:t>.</w:t>
      </w:r>
      <w:r w:rsidR="0047791A" w:rsidRPr="006E23A9">
        <w:rPr>
          <w:szCs w:val="24"/>
        </w:rPr>
        <w:t xml:space="preserve"> Budou-li produkt či služba poskytnuty třetí osobě bezúplatně či za cenu nižší, než je tržní cena, má se pro účely této smlouvy za to, že byly prodány, a oprávněné smluvní straně náleží poplatek ve výši dle tohoto článku, přičemž základem pro výpočet poplatku bude částka rovnající se nejvyšší prodejní ceně, za kterou byly produkt či služba v daném roce prodány</w:t>
      </w:r>
      <w:r w:rsidR="008A6D5A">
        <w:rPr>
          <w:szCs w:val="24"/>
        </w:rPr>
        <w:t>, a nedošlo-li v daném roce k žádnému prodeji, bude základem tržní cena stanovená soudním znalcem</w:t>
      </w:r>
      <w:r w:rsidR="009C6E74">
        <w:rPr>
          <w:szCs w:val="24"/>
        </w:rPr>
        <w:t>.</w:t>
      </w:r>
    </w:p>
    <w:p w14:paraId="2A6D62BC" w14:textId="77777777" w:rsidR="00012EF6" w:rsidRPr="006E23A9" w:rsidRDefault="00645E93" w:rsidP="0047791A">
      <w:pPr>
        <w:pStyle w:val="Zkladntext"/>
        <w:numPr>
          <w:ilvl w:val="0"/>
          <w:numId w:val="34"/>
        </w:numPr>
        <w:spacing w:after="120"/>
        <w:ind w:hanging="720"/>
        <w:jc w:val="both"/>
        <w:rPr>
          <w:szCs w:val="24"/>
        </w:rPr>
      </w:pPr>
      <w:r w:rsidRPr="006E23A9">
        <w:rPr>
          <w:szCs w:val="24"/>
        </w:rPr>
        <w:t xml:space="preserve">Smluvní strana před tím, než začne společný výsledek užívat komerčně, bude o této skutečnosti </w:t>
      </w:r>
      <w:r w:rsidR="00691847" w:rsidRPr="006E23A9">
        <w:rPr>
          <w:szCs w:val="24"/>
        </w:rPr>
        <w:t xml:space="preserve">písemně </w:t>
      </w:r>
      <w:r w:rsidRPr="006E23A9">
        <w:rPr>
          <w:szCs w:val="24"/>
        </w:rPr>
        <w:t xml:space="preserve">informovat druhou smluvní stranu. </w:t>
      </w:r>
      <w:bookmarkStart w:id="4" w:name="_Hlk50096253"/>
    </w:p>
    <w:p w14:paraId="0F87F776" w14:textId="7ADF4F50" w:rsidR="00012EF6" w:rsidRPr="006E23A9" w:rsidRDefault="00012EF6" w:rsidP="0047791A">
      <w:pPr>
        <w:pStyle w:val="Zkladntext"/>
        <w:numPr>
          <w:ilvl w:val="0"/>
          <w:numId w:val="34"/>
        </w:numPr>
        <w:spacing w:after="120"/>
        <w:ind w:hanging="720"/>
        <w:jc w:val="both"/>
        <w:rPr>
          <w:szCs w:val="24"/>
        </w:rPr>
      </w:pPr>
      <w:r w:rsidRPr="006E23A9">
        <w:rPr>
          <w:szCs w:val="24"/>
        </w:rPr>
        <w:t>Smluvní strana, která komerčně užívá společný výsledek</w:t>
      </w:r>
      <w:r w:rsidR="001461C7">
        <w:rPr>
          <w:szCs w:val="24"/>
        </w:rPr>
        <w:t>,</w:t>
      </w:r>
      <w:r w:rsidRPr="006E23A9">
        <w:rPr>
          <w:szCs w:val="24"/>
        </w:rPr>
        <w:t xml:space="preserve">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23A9">
        <w:rPr>
          <w:szCs w:val="24"/>
        </w:rPr>
        <w:t xml:space="preserve"> oprávněné smluvní straně</w:t>
      </w:r>
      <w:r w:rsidRPr="006E23A9">
        <w:rPr>
          <w:rFonts w:ascii="Arial" w:hAnsi="Arial" w:cs="Arial"/>
          <w:sz w:val="20"/>
        </w:rPr>
        <w:t xml:space="preserve">. </w:t>
      </w:r>
    </w:p>
    <w:p w14:paraId="5B20B9C2" w14:textId="611DC4B9" w:rsidR="00AF438A" w:rsidRPr="006E23A9" w:rsidRDefault="00645E93" w:rsidP="009D5B1B">
      <w:pPr>
        <w:pStyle w:val="Zkladntext"/>
        <w:numPr>
          <w:ilvl w:val="0"/>
          <w:numId w:val="34"/>
        </w:numPr>
        <w:spacing w:after="120"/>
        <w:ind w:hanging="720"/>
        <w:jc w:val="both"/>
        <w:rPr>
          <w:szCs w:val="24"/>
        </w:rPr>
      </w:pPr>
      <w:r w:rsidRPr="006E23A9">
        <w:rPr>
          <w:szCs w:val="24"/>
        </w:rPr>
        <w:t>Smluvní strana, která komerčně užívá společný výsledek</w:t>
      </w:r>
      <w:r w:rsidR="00AF438A" w:rsidRPr="006E23A9">
        <w:rPr>
          <w:szCs w:val="24"/>
        </w:rPr>
        <w:t xml:space="preserve"> (</w:t>
      </w:r>
      <w:r w:rsidR="00D707A4" w:rsidRPr="006E23A9">
        <w:rPr>
          <w:szCs w:val="24"/>
        </w:rPr>
        <w:t>dále též jen „</w:t>
      </w:r>
      <w:r w:rsidR="00AF438A" w:rsidRPr="006E23A9">
        <w:rPr>
          <w:rFonts w:eastAsia="Arial"/>
          <w:color w:val="000000"/>
          <w:spacing w:val="2"/>
        </w:rPr>
        <w:t xml:space="preserve">povinná </w:t>
      </w:r>
      <w:r w:rsidR="00920E25" w:rsidRPr="006E23A9">
        <w:rPr>
          <w:rFonts w:eastAsia="Arial"/>
          <w:color w:val="000000"/>
          <w:spacing w:val="2"/>
        </w:rPr>
        <w:t xml:space="preserve">smluvní </w:t>
      </w:r>
      <w:r w:rsidR="00AF438A" w:rsidRPr="006E23A9">
        <w:rPr>
          <w:rFonts w:eastAsia="Arial"/>
          <w:color w:val="000000"/>
          <w:spacing w:val="2"/>
        </w:rPr>
        <w:t>strana</w:t>
      </w:r>
      <w:r w:rsidR="00D707A4" w:rsidRPr="006E23A9">
        <w:rPr>
          <w:rFonts w:eastAsia="Arial"/>
          <w:color w:val="000000"/>
          <w:spacing w:val="2"/>
        </w:rPr>
        <w:t>“</w:t>
      </w:r>
      <w:r w:rsidR="00AF438A" w:rsidRPr="006E23A9">
        <w:rPr>
          <w:rFonts w:eastAsia="Arial"/>
          <w:color w:val="000000"/>
          <w:spacing w:val="2"/>
        </w:rPr>
        <w:t>),</w:t>
      </w:r>
      <w:r w:rsidR="00AF438A" w:rsidRPr="006E23A9" w:rsidDel="00EE04B0">
        <w:rPr>
          <w:rFonts w:eastAsia="Arial"/>
          <w:color w:val="000000"/>
          <w:spacing w:val="2"/>
        </w:rPr>
        <w:t xml:space="preserve"> </w:t>
      </w:r>
      <w:r w:rsidR="00AF438A" w:rsidRPr="006E23A9">
        <w:rPr>
          <w:rFonts w:eastAsia="Arial"/>
          <w:color w:val="000000"/>
          <w:spacing w:val="2"/>
        </w:rPr>
        <w:t>je povi</w:t>
      </w:r>
      <w:r w:rsidR="00AF438A" w:rsidRPr="006E23A9">
        <w:rPr>
          <w:rFonts w:eastAsia="Arial"/>
        </w:rPr>
        <w:t>nna</w:t>
      </w:r>
      <w:r w:rsidR="00AF438A" w:rsidRPr="006E23A9">
        <w:rPr>
          <w:rFonts w:eastAsia="Arial"/>
          <w:color w:val="000000"/>
          <w:spacing w:val="2"/>
        </w:rPr>
        <w:t xml:space="preserve"> zaslat předběžné vyúčtování </w:t>
      </w:r>
      <w:r w:rsidR="00AF438A" w:rsidRPr="006E23A9">
        <w:rPr>
          <w:szCs w:val="24"/>
        </w:rPr>
        <w:t>poplatku dle předchozího odstavce</w:t>
      </w:r>
      <w:r w:rsidR="00AF438A" w:rsidRPr="006E23A9">
        <w:rPr>
          <w:rFonts w:eastAsia="Arial"/>
          <w:color w:val="000000"/>
          <w:spacing w:val="2"/>
        </w:rPr>
        <w:t xml:space="preserve"> druhé smluvní straně, a to </w:t>
      </w:r>
      <w:r w:rsidR="00B42822" w:rsidRPr="006E23A9">
        <w:rPr>
          <w:rFonts w:eastAsia="Arial"/>
          <w:color w:val="000000"/>
          <w:spacing w:val="2"/>
        </w:rPr>
        <w:t xml:space="preserve">vždy </w:t>
      </w:r>
      <w:r w:rsidR="00AF438A" w:rsidRPr="006E23A9">
        <w:rPr>
          <w:rFonts w:eastAsia="Arial"/>
          <w:color w:val="000000"/>
          <w:spacing w:val="2"/>
        </w:rPr>
        <w:t>nejpozději do 10. ledna daného kalendářního roku za rok předcházející</w:t>
      </w:r>
      <w:r w:rsidR="00AF438A" w:rsidRPr="006E23A9">
        <w:rPr>
          <w:szCs w:val="24"/>
        </w:rPr>
        <w:t xml:space="preserve">. ZČU bude vyúčtování zasláno e-mailem na adresu: </w:t>
      </w:r>
      <w:hyperlink r:id="rId8" w:history="1">
        <w:r w:rsidR="00AF438A" w:rsidRPr="006E23A9">
          <w:rPr>
            <w:rStyle w:val="Hypertextovodkaz"/>
            <w:szCs w:val="24"/>
          </w:rPr>
          <w:t>transfer@rek.zcu.cz</w:t>
        </w:r>
      </w:hyperlink>
      <w:r w:rsidR="00AF438A" w:rsidRPr="006E23A9">
        <w:rPr>
          <w:szCs w:val="24"/>
        </w:rPr>
        <w:t xml:space="preserve"> a do datové schránky. </w:t>
      </w:r>
      <w:r w:rsidR="00422139">
        <w:rPr>
          <w:szCs w:val="24"/>
        </w:rPr>
        <w:t>SM</w:t>
      </w:r>
      <w:r w:rsidR="00AF438A" w:rsidRPr="006E23A9">
        <w:rPr>
          <w:szCs w:val="24"/>
        </w:rPr>
        <w:t xml:space="preserve"> bude vyúčtování zasláno na e-mailovou adresu: </w:t>
      </w:r>
      <w:hyperlink r:id="rId9" w:history="1">
        <w:r w:rsidR="00AD24F5" w:rsidRPr="00125959">
          <w:rPr>
            <w:rStyle w:val="Hypertextovodkaz"/>
            <w:szCs w:val="24"/>
          </w:rPr>
          <w:t>ucetni@smart-motion.cz</w:t>
        </w:r>
      </w:hyperlink>
      <w:r w:rsidR="00AD24F5">
        <w:rPr>
          <w:szCs w:val="24"/>
        </w:rPr>
        <w:t xml:space="preserve"> </w:t>
      </w:r>
      <w:r w:rsidR="00422139" w:rsidRPr="00422139">
        <w:t>a do datové schránky:</w:t>
      </w:r>
      <w:r w:rsidR="00422139" w:rsidRPr="006E23A9">
        <w:rPr>
          <w:szCs w:val="24"/>
        </w:rPr>
        <w:t xml:space="preserve"> </w:t>
      </w:r>
      <w:r w:rsidR="00AD24F5" w:rsidRPr="00AD24F5">
        <w:rPr>
          <w:szCs w:val="24"/>
        </w:rPr>
        <w:t>qney3</w:t>
      </w:r>
      <w:r w:rsidR="006B50F2" w:rsidRPr="00AD24F5">
        <w:rPr>
          <w:szCs w:val="24"/>
        </w:rPr>
        <w:t>qw</w:t>
      </w:r>
      <w:r w:rsidR="006B50F2">
        <w:rPr>
          <w:szCs w:val="24"/>
        </w:rPr>
        <w:t xml:space="preserve"> .</w:t>
      </w:r>
      <w:r w:rsidR="006B50F2" w:rsidRPr="006E23A9">
        <w:rPr>
          <w:szCs w:val="24"/>
        </w:rPr>
        <w:t xml:space="preserve"> Zároveň</w:t>
      </w:r>
      <w:r w:rsidR="00012EF6" w:rsidRPr="006E23A9">
        <w:rPr>
          <w:szCs w:val="24"/>
        </w:rPr>
        <w:t xml:space="preserve"> stejným způsobem povinná </w:t>
      </w:r>
      <w:r w:rsidR="00920E25" w:rsidRPr="006E23A9">
        <w:rPr>
          <w:szCs w:val="24"/>
        </w:rPr>
        <w:t xml:space="preserve">smluvní </w:t>
      </w:r>
      <w:r w:rsidR="00012EF6" w:rsidRPr="006E23A9">
        <w:rPr>
          <w:szCs w:val="24"/>
        </w:rPr>
        <w:t xml:space="preserve">strana předloží oprávněné </w:t>
      </w:r>
      <w:r w:rsidR="00535574" w:rsidRPr="006E23A9">
        <w:rPr>
          <w:szCs w:val="24"/>
        </w:rPr>
        <w:t xml:space="preserve">smluvní </w:t>
      </w:r>
      <w:r w:rsidR="00012EF6" w:rsidRPr="006E23A9">
        <w:rPr>
          <w:szCs w:val="24"/>
        </w:rPr>
        <w:t>straně evidenční list, ze kterého bude možno ověřit výši poplatku.</w:t>
      </w:r>
      <w:r w:rsidR="00AF438A" w:rsidRPr="006E23A9">
        <w:rPr>
          <w:szCs w:val="24"/>
        </w:rPr>
        <w:t xml:space="preserve"> Oprávněná </w:t>
      </w:r>
      <w:r w:rsidR="00535574" w:rsidRPr="006E23A9">
        <w:rPr>
          <w:szCs w:val="24"/>
        </w:rPr>
        <w:t xml:space="preserve">smluvní </w:t>
      </w:r>
      <w:r w:rsidR="00AF438A" w:rsidRPr="006E23A9">
        <w:rPr>
          <w:szCs w:val="24"/>
        </w:rPr>
        <w:t xml:space="preserve">strana je povinna vystavit a doručit povinné </w:t>
      </w:r>
      <w:r w:rsidR="00920E25" w:rsidRPr="006E23A9">
        <w:rPr>
          <w:szCs w:val="24"/>
        </w:rPr>
        <w:t xml:space="preserve">smluvní </w:t>
      </w:r>
      <w:r w:rsidR="00AF438A" w:rsidRPr="006E23A9">
        <w:rPr>
          <w:szCs w:val="24"/>
        </w:rPr>
        <w:t xml:space="preserve">straně originál daňového dokladu (faktura). </w:t>
      </w:r>
      <w:r w:rsidR="00AF438A"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6E23A9">
        <w:rPr>
          <w:szCs w:val="24"/>
        </w:rPr>
        <w:t xml:space="preserve">. </w:t>
      </w:r>
    </w:p>
    <w:p w14:paraId="11833806" w14:textId="63F2B8BB" w:rsidR="00AF438A" w:rsidRPr="006E23A9" w:rsidRDefault="00AF438A" w:rsidP="009D5B1B">
      <w:pPr>
        <w:pStyle w:val="Zkladntext"/>
        <w:numPr>
          <w:ilvl w:val="0"/>
          <w:numId w:val="34"/>
        </w:numPr>
        <w:spacing w:after="120"/>
        <w:ind w:hanging="720"/>
        <w:jc w:val="both"/>
        <w:rPr>
          <w:szCs w:val="24"/>
        </w:rPr>
      </w:pPr>
      <w:r w:rsidRPr="006E23A9">
        <w:rPr>
          <w:szCs w:val="24"/>
        </w:rPr>
        <w:t xml:space="preserve">Povinná </w:t>
      </w:r>
      <w:r w:rsidR="00920E25" w:rsidRPr="006E23A9">
        <w:rPr>
          <w:szCs w:val="24"/>
        </w:rPr>
        <w:t xml:space="preserve">smluvní </w:t>
      </w:r>
      <w:r w:rsidRPr="006E23A9">
        <w:rPr>
          <w:szCs w:val="24"/>
        </w:rPr>
        <w:t xml:space="preserve">strana </w:t>
      </w:r>
      <w:r w:rsidRPr="006E23A9">
        <w:t xml:space="preserve">má dále povinnost do 28. února daného roku zaslat oprávněné </w:t>
      </w:r>
      <w:r w:rsidR="00920E25" w:rsidRPr="006E23A9">
        <w:t xml:space="preserve">smluvní </w:t>
      </w:r>
      <w:r w:rsidRPr="006E23A9">
        <w:t xml:space="preserve">straně na výše uvedený </w:t>
      </w:r>
      <w:r w:rsidRPr="006E23A9">
        <w:rPr>
          <w:rFonts w:eastAsia="Arial"/>
          <w:color w:val="000000"/>
          <w:spacing w:val="2"/>
        </w:rPr>
        <w:t>e-mail a do datové schránky</w:t>
      </w:r>
      <w:r w:rsidRPr="006E23A9" w:rsidDel="003750EB">
        <w:t xml:space="preserve"> </w:t>
      </w:r>
      <w:r w:rsidRPr="006E23A9">
        <w:t>konečné vyúčtování. Bude-</w:t>
      </w:r>
      <w:r w:rsidRPr="006E23A9">
        <w:lastRenderedPageBreak/>
        <w:t xml:space="preserve">li třeba, oprávněná </w:t>
      </w:r>
      <w:r w:rsidR="00920E25" w:rsidRPr="006E23A9">
        <w:t xml:space="preserve">smluvní </w:t>
      </w:r>
      <w:r w:rsidRPr="006E23A9">
        <w:t>strana do deseti pracovních dní od doručení konečného vyúčtování vystaví konečnou fakturu na poplatek za užívání výsledku v pře</w:t>
      </w:r>
      <w:r w:rsidR="001461C7">
        <w:t>d</w:t>
      </w:r>
      <w:r w:rsidRPr="006E23A9">
        <w:t>chozím roce.</w:t>
      </w:r>
    </w:p>
    <w:p w14:paraId="7208EAE9" w14:textId="523DEF3A" w:rsidR="00645E93" w:rsidRPr="006E23A9" w:rsidRDefault="00AF438A" w:rsidP="009D5B1B">
      <w:pPr>
        <w:pStyle w:val="Zkladntext"/>
        <w:numPr>
          <w:ilvl w:val="0"/>
          <w:numId w:val="34"/>
        </w:numPr>
        <w:spacing w:after="120"/>
        <w:ind w:hanging="720"/>
        <w:jc w:val="both"/>
        <w:rPr>
          <w:szCs w:val="24"/>
        </w:rPr>
      </w:pPr>
      <w:r w:rsidRPr="006E23A9">
        <w:rPr>
          <w:szCs w:val="24"/>
        </w:rPr>
        <w:t>K poplatku určenému dle předchozí</w:t>
      </w:r>
      <w:r w:rsidR="00F96266">
        <w:rPr>
          <w:szCs w:val="24"/>
        </w:rPr>
        <w:t>c</w:t>
      </w:r>
      <w:r w:rsidRPr="006E23A9">
        <w:rPr>
          <w:szCs w:val="24"/>
        </w:rPr>
        <w:t>h odstavc</w:t>
      </w:r>
      <w:r w:rsidR="00F96266">
        <w:rPr>
          <w:szCs w:val="24"/>
        </w:rPr>
        <w:t>ů</w:t>
      </w:r>
      <w:r w:rsidRPr="006E23A9">
        <w:rPr>
          <w:szCs w:val="24"/>
        </w:rPr>
        <w:t xml:space="preserve"> bude připočtena DPH, poplatek bude uhrazen na základě faktury vystavené oprávněnou smluvní stranou, se splatností 30 dní.</w:t>
      </w:r>
      <w:r w:rsidR="00645E93" w:rsidRPr="006E23A9">
        <w:rPr>
          <w:szCs w:val="24"/>
        </w:rPr>
        <w:t xml:space="preserve"> </w:t>
      </w:r>
    </w:p>
    <w:p w14:paraId="48DA179F" w14:textId="082A4D47" w:rsidR="00645E93" w:rsidRPr="006E23A9" w:rsidRDefault="00645E93" w:rsidP="009D5B1B">
      <w:pPr>
        <w:pStyle w:val="Zkladntext"/>
        <w:numPr>
          <w:ilvl w:val="0"/>
          <w:numId w:val="34"/>
        </w:numPr>
        <w:spacing w:after="120"/>
        <w:ind w:hanging="720"/>
        <w:jc w:val="both"/>
        <w:rPr>
          <w:szCs w:val="24"/>
        </w:rPr>
      </w:pPr>
      <w:r w:rsidRPr="006E23A9">
        <w:rPr>
          <w:szCs w:val="24"/>
        </w:rPr>
        <w:t xml:space="preserve">V případě prodlení s předložením vyúčtování </w:t>
      </w:r>
      <w:r w:rsidR="0034355A" w:rsidRPr="006E23A9">
        <w:rPr>
          <w:szCs w:val="24"/>
        </w:rPr>
        <w:t>poplatku</w:t>
      </w:r>
      <w:r w:rsidRPr="006E23A9">
        <w:rPr>
          <w:szCs w:val="24"/>
        </w:rPr>
        <w:t xml:space="preserve"> je </w:t>
      </w:r>
      <w:r w:rsidR="0034355A" w:rsidRPr="006E23A9">
        <w:rPr>
          <w:szCs w:val="24"/>
        </w:rPr>
        <w:t xml:space="preserve">smluvní strana využívající </w:t>
      </w:r>
      <w:r w:rsidR="00927411" w:rsidRPr="006E23A9">
        <w:rPr>
          <w:szCs w:val="24"/>
        </w:rPr>
        <w:t xml:space="preserve">společný </w:t>
      </w:r>
      <w:r w:rsidR="0034355A" w:rsidRPr="006E23A9">
        <w:rPr>
          <w:szCs w:val="24"/>
        </w:rPr>
        <w:t xml:space="preserve">výsledek </w:t>
      </w:r>
      <w:r w:rsidRPr="006E23A9">
        <w:rPr>
          <w:szCs w:val="24"/>
        </w:rPr>
        <w:t xml:space="preserve">povinna </w:t>
      </w:r>
      <w:r w:rsidR="00920E25" w:rsidRPr="006E23A9">
        <w:rPr>
          <w:szCs w:val="24"/>
        </w:rPr>
        <w:t xml:space="preserve">oprávněné </w:t>
      </w:r>
      <w:r w:rsidRPr="006E23A9">
        <w:rPr>
          <w:szCs w:val="24"/>
        </w:rPr>
        <w:t xml:space="preserve">smluvní straně </w:t>
      </w:r>
      <w:r w:rsidR="0034355A" w:rsidRPr="006E23A9">
        <w:rPr>
          <w:szCs w:val="24"/>
        </w:rPr>
        <w:t xml:space="preserve">uhradit </w:t>
      </w:r>
      <w:r w:rsidRPr="006E23A9">
        <w:rPr>
          <w:szCs w:val="24"/>
        </w:rPr>
        <w:t xml:space="preserve">smluvní pokutu ve výši 300,- Kč za každý, byť započatý den prodlení. </w:t>
      </w:r>
      <w:r w:rsidR="00FF6E67" w:rsidRPr="006E23A9">
        <w:rPr>
          <w:szCs w:val="24"/>
        </w:rPr>
        <w:t>Ujednáním o s</w:t>
      </w:r>
      <w:r w:rsidRPr="006E23A9">
        <w:rPr>
          <w:szCs w:val="24"/>
        </w:rPr>
        <w:t>mluvní pokut</w:t>
      </w:r>
      <w:r w:rsidR="00FF6E67" w:rsidRPr="006E23A9">
        <w:rPr>
          <w:szCs w:val="24"/>
        </w:rPr>
        <w:t>ě</w:t>
      </w:r>
      <w:r w:rsidRPr="006E23A9">
        <w:rPr>
          <w:szCs w:val="24"/>
        </w:rPr>
        <w:t xml:space="preserve"> ne</w:t>
      </w:r>
      <w:r w:rsidR="00FF6E67" w:rsidRPr="006E23A9">
        <w:rPr>
          <w:szCs w:val="24"/>
        </w:rPr>
        <w:t xml:space="preserve">ní dotčeno právo na </w:t>
      </w:r>
      <w:r w:rsidRPr="006E23A9">
        <w:rPr>
          <w:szCs w:val="24"/>
        </w:rPr>
        <w:t>náhradu škody</w:t>
      </w:r>
      <w:r w:rsidR="0034355A" w:rsidRPr="006E23A9">
        <w:rPr>
          <w:szCs w:val="24"/>
        </w:rPr>
        <w:t xml:space="preserve"> v plné výši</w:t>
      </w:r>
      <w:r w:rsidRPr="006E23A9">
        <w:rPr>
          <w:szCs w:val="24"/>
        </w:rPr>
        <w:t xml:space="preserve">. </w:t>
      </w:r>
    </w:p>
    <w:p w14:paraId="475079A5" w14:textId="59E35C55" w:rsidR="00FF6E67" w:rsidRPr="006E23A9" w:rsidRDefault="00FF6E67" w:rsidP="009D5B1B">
      <w:pPr>
        <w:pStyle w:val="Zkladntext"/>
        <w:numPr>
          <w:ilvl w:val="0"/>
          <w:numId w:val="34"/>
        </w:numPr>
        <w:spacing w:after="120"/>
        <w:ind w:hanging="720"/>
        <w:jc w:val="both"/>
        <w:rPr>
          <w:szCs w:val="24"/>
        </w:rPr>
      </w:pPr>
      <w:r w:rsidRPr="006E23A9">
        <w:rPr>
          <w:szCs w:val="24"/>
        </w:rPr>
        <w:t xml:space="preserve">Nezaplatí-li smluvní strana využívající </w:t>
      </w:r>
      <w:r w:rsidR="00927411" w:rsidRPr="006E23A9">
        <w:rPr>
          <w:szCs w:val="24"/>
        </w:rPr>
        <w:t xml:space="preserve">společný </w:t>
      </w:r>
      <w:r w:rsidRPr="006E23A9">
        <w:rPr>
          <w:szCs w:val="24"/>
        </w:rPr>
        <w:t>výsledek poplatek dle tohoto článku včas, je povinn</w:t>
      </w:r>
      <w:r w:rsidR="0034355A" w:rsidRPr="006E23A9">
        <w:rPr>
          <w:szCs w:val="24"/>
        </w:rPr>
        <w:t>a</w:t>
      </w:r>
      <w:r w:rsidRPr="006E23A9">
        <w:rPr>
          <w:szCs w:val="24"/>
        </w:rPr>
        <w:t xml:space="preserve"> hradit </w:t>
      </w:r>
      <w:r w:rsidR="00920E25" w:rsidRPr="006E23A9">
        <w:rPr>
          <w:szCs w:val="24"/>
        </w:rPr>
        <w:t xml:space="preserve">oprávněné </w:t>
      </w:r>
      <w:r w:rsidRPr="006E23A9">
        <w:rPr>
          <w:szCs w:val="24"/>
        </w:rPr>
        <w:t>smluvní straně smluvní pokutu ve výši 0,1 % z dlužné částky za každý, i započatý, den prodlení. Ujednáním o smluvní pokutě není dotčeno právo na náhradu škody</w:t>
      </w:r>
      <w:r w:rsidR="0034355A" w:rsidRPr="006E23A9">
        <w:rPr>
          <w:szCs w:val="24"/>
        </w:rPr>
        <w:t xml:space="preserve"> v plné výši</w:t>
      </w:r>
      <w:r w:rsidRPr="006E23A9">
        <w:rPr>
          <w:szCs w:val="24"/>
        </w:rPr>
        <w:t>.</w:t>
      </w:r>
    </w:p>
    <w:p w14:paraId="3A0A739F" w14:textId="7A94C448" w:rsidR="003432FD" w:rsidRPr="006E23A9" w:rsidRDefault="003432FD" w:rsidP="009D5B1B">
      <w:pPr>
        <w:pStyle w:val="Zkladntext"/>
        <w:numPr>
          <w:ilvl w:val="0"/>
          <w:numId w:val="34"/>
        </w:numPr>
        <w:spacing w:after="120"/>
        <w:ind w:hanging="720"/>
        <w:jc w:val="both"/>
        <w:rPr>
          <w:szCs w:val="24"/>
        </w:rPr>
      </w:pPr>
      <w:r w:rsidRPr="006E23A9">
        <w:rPr>
          <w:szCs w:val="24"/>
        </w:rPr>
        <w:t xml:space="preserve">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sidRPr="006E23A9">
        <w:rPr>
          <w:szCs w:val="24"/>
        </w:rPr>
        <w:t xml:space="preserve">oprávněné </w:t>
      </w:r>
      <w:r w:rsidRPr="006E23A9">
        <w:rPr>
          <w:szCs w:val="24"/>
        </w:rPr>
        <w:t>smluvní straně náklady vynaložené na činnost znalce dle tohoto odstavce.</w:t>
      </w:r>
      <w:bookmarkEnd w:id="4"/>
    </w:p>
    <w:p w14:paraId="7F9C057A" w14:textId="77777777" w:rsidR="00DF0B4A" w:rsidRPr="006E23A9" w:rsidRDefault="00DF0B4A">
      <w:pPr>
        <w:pStyle w:val="Zkladntext"/>
        <w:jc w:val="center"/>
        <w:rPr>
          <w:b/>
        </w:rPr>
      </w:pPr>
    </w:p>
    <w:p w14:paraId="68FDC678" w14:textId="383AFCF0" w:rsidR="009D2B69" w:rsidRPr="006E23A9" w:rsidRDefault="009D2B69">
      <w:pPr>
        <w:pStyle w:val="Zkladntext"/>
        <w:jc w:val="center"/>
        <w:rPr>
          <w:b/>
        </w:rPr>
      </w:pPr>
      <w:r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62949315"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 </w:t>
      </w:r>
      <w:r w:rsidR="00422139">
        <w:rPr>
          <w:sz w:val="24"/>
          <w:szCs w:val="24"/>
        </w:rPr>
        <w:t>a)</w:t>
      </w:r>
      <w:r w:rsidRPr="006E23A9">
        <w:rPr>
          <w:sz w:val="24"/>
          <w:szCs w:val="24"/>
        </w:rPr>
        <w:t xml:space="preserve">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t xml:space="preserve">Výsledky nevyjmenované v odst. 1 tohoto článku netvoří obchodní tajemství smluvních stran a informace o nich je možné volně šířit. </w:t>
      </w:r>
    </w:p>
    <w:p w14:paraId="20568B90" w14:textId="77777777" w:rsidR="007A7C5E" w:rsidRPr="006E23A9" w:rsidRDefault="007A7C5E" w:rsidP="00D26A98">
      <w:pPr>
        <w:jc w:val="both"/>
      </w:pPr>
    </w:p>
    <w:p w14:paraId="3334C9DD" w14:textId="6A1A9DB6" w:rsidR="009D2B69" w:rsidRPr="006E23A9" w:rsidRDefault="008259DF">
      <w:pPr>
        <w:pStyle w:val="Zkladntext"/>
        <w:jc w:val="center"/>
        <w:rPr>
          <w:b/>
        </w:rPr>
      </w:pPr>
      <w:r w:rsidRPr="006E23A9">
        <w:rPr>
          <w:b/>
        </w:rPr>
        <w:t>V</w:t>
      </w:r>
      <w:r w:rsidR="006E23A9">
        <w:rPr>
          <w:b/>
        </w:rPr>
        <w:t>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3D361F8C"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je povinna zaplatit druhé 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50.000,-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1A212E4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0DA1C636" w:rsidR="008A2111" w:rsidRPr="006E23A9" w:rsidRDefault="006B50F2" w:rsidP="006E23A9">
      <w:pPr>
        <w:pStyle w:val="Odstavecseseznamem"/>
        <w:numPr>
          <w:ilvl w:val="0"/>
          <w:numId w:val="20"/>
        </w:numPr>
        <w:spacing w:after="120"/>
        <w:ind w:hanging="720"/>
        <w:contextualSpacing w:val="0"/>
        <w:jc w:val="both"/>
        <w:rPr>
          <w:sz w:val="24"/>
          <w:szCs w:val="24"/>
        </w:rPr>
      </w:pPr>
      <w:r>
        <w:rPr>
          <w:sz w:val="24"/>
          <w:szCs w:val="24"/>
        </w:rPr>
        <w:t>SM</w:t>
      </w:r>
      <w:r w:rsidRPr="006E23A9">
        <w:rPr>
          <w:sz w:val="24"/>
          <w:szCs w:val="24"/>
        </w:rPr>
        <w:t xml:space="preserve"> bere</w:t>
      </w:r>
      <w:r w:rsidR="00AF438A" w:rsidRPr="006E23A9">
        <w:rPr>
          <w:sz w:val="24"/>
          <w:szCs w:val="24"/>
        </w:rPr>
        <w:t xml:space="preserv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w:t>
      </w:r>
      <w:r w:rsidR="00AF438A" w:rsidRPr="006E23A9">
        <w:rPr>
          <w:sz w:val="24"/>
          <w:szCs w:val="24"/>
        </w:rPr>
        <w:lastRenderedPageBreak/>
        <w:t xml:space="preserve">účelem je </w:t>
      </w:r>
      <w:r w:rsidR="00422139">
        <w:rPr>
          <w:sz w:val="24"/>
          <w:szCs w:val="24"/>
        </w:rPr>
        <w:t>SM</w:t>
      </w:r>
      <w:r w:rsidR="00AF438A" w:rsidRPr="006E23A9">
        <w:rPr>
          <w:sz w:val="24"/>
          <w:szCs w:val="24"/>
        </w:rPr>
        <w:t xml:space="preserve"> povinen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w:t>
      </w:r>
      <w:r w:rsidR="001461C7">
        <w:rPr>
          <w:sz w:val="24"/>
          <w:szCs w:val="24"/>
        </w:rPr>
        <w:t>r</w:t>
      </w:r>
      <w:r w:rsidR="00AF438A" w:rsidRPr="006E23A9">
        <w:rPr>
          <w:sz w:val="24"/>
          <w:szCs w:val="24"/>
        </w:rPr>
        <w: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1D20FFF9"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422139" w:rsidRPr="006B50F2">
        <w:rPr>
          <w:sz w:val="24"/>
          <w:szCs w:val="24"/>
        </w:rPr>
        <w:t>5 let</w:t>
      </w:r>
      <w:r w:rsidR="00AD24F5" w:rsidRPr="006B50F2">
        <w:rPr>
          <w:sz w:val="24"/>
          <w:szCs w:val="24"/>
        </w:rPr>
        <w:t>.</w:t>
      </w:r>
      <w:r w:rsidR="009F63C3" w:rsidRPr="009F63C3">
        <w:t xml:space="preserve"> </w:t>
      </w:r>
      <w:r w:rsidR="009F63C3" w:rsidRPr="009F63C3">
        <w:rPr>
          <w:sz w:val="24"/>
          <w:szCs w:val="24"/>
        </w:rPr>
        <w:t xml:space="preserve">Ukončením platnosti této smlouvy nejsou dotčena ustanovení smlouvy upravující vlastnické </w:t>
      </w:r>
      <w:r w:rsidR="00C32495">
        <w:rPr>
          <w:sz w:val="24"/>
          <w:szCs w:val="24"/>
        </w:rPr>
        <w:t xml:space="preserve">či spoluvlastnické </w:t>
      </w:r>
      <w:r w:rsidR="009F63C3" w:rsidRPr="009F63C3">
        <w:rPr>
          <w:sz w:val="24"/>
          <w:szCs w:val="24"/>
        </w:rPr>
        <w:t xml:space="preserve">podíly stran </w:t>
      </w:r>
      <w:r w:rsidR="00C32495">
        <w:rPr>
          <w:sz w:val="24"/>
          <w:szCs w:val="24"/>
        </w:rPr>
        <w:t>k</w:t>
      </w:r>
      <w:r w:rsidR="009F63C3" w:rsidRPr="009F63C3">
        <w:rPr>
          <w:sz w:val="24"/>
          <w:szCs w:val="24"/>
        </w:rPr>
        <w:t xml:space="preserve"> vytvořenému výsledk</w:t>
      </w:r>
      <w:r w:rsidR="00C32495">
        <w:rPr>
          <w:sz w:val="24"/>
          <w:szCs w:val="24"/>
        </w:rPr>
        <w:t>u</w:t>
      </w:r>
      <w:r w:rsidR="009F63C3" w:rsidRPr="009F63C3">
        <w:rPr>
          <w:sz w:val="24"/>
          <w:szCs w:val="24"/>
        </w:rPr>
        <w: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38F0F2C1" w:rsidR="009D2B69" w:rsidRPr="006E23A9" w:rsidRDefault="008325CB" w:rsidP="009D5B1B">
      <w:pPr>
        <w:pStyle w:val="Odstavecseseznamem"/>
        <w:numPr>
          <w:ilvl w:val="0"/>
          <w:numId w:val="20"/>
        </w:numPr>
        <w:spacing w:after="120"/>
        <w:ind w:hanging="720"/>
        <w:contextualSpacing w:val="0"/>
        <w:jc w:val="both"/>
        <w:rPr>
          <w:sz w:val="24"/>
          <w:szCs w:val="24"/>
        </w:rPr>
      </w:pPr>
      <w:bookmarkStart w:id="5" w:name="_Hlk87510925"/>
      <w:r w:rsidRPr="00052C39">
        <w:rPr>
          <w:sz w:val="24"/>
          <w:szCs w:val="24"/>
        </w:rPr>
        <w:t>Pokud je tato smlouva uzavírána elektronickými prostředky, je vyhotovena v jednom originále</w:t>
      </w:r>
      <w:bookmarkStart w:id="6" w:name="_Hlk149830365"/>
      <w:r w:rsidRPr="00052C39">
        <w:rPr>
          <w:sz w:val="24"/>
          <w:szCs w:val="24"/>
        </w:rPr>
        <w:t>,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bookmarkEnd w:id="6"/>
      <w:r>
        <w:rPr>
          <w:sz w:val="24"/>
          <w:szCs w:val="24"/>
        </w:rPr>
        <w:t xml:space="preserve"> </w:t>
      </w:r>
      <w:r w:rsidR="00AF14D0" w:rsidRPr="006E23A9">
        <w:rPr>
          <w:sz w:val="24"/>
          <w:szCs w:val="24"/>
        </w:rPr>
        <w:t>Pokud je tato smlouva uzavírána v listinné formě, je</w:t>
      </w:r>
      <w:bookmarkEnd w:id="5"/>
      <w:r w:rsidR="00AF14D0" w:rsidRPr="006E23A9">
        <w:rPr>
          <w:sz w:val="24"/>
          <w:szCs w:val="24"/>
        </w:rPr>
        <w:t xml:space="preserve"> vyhotovena ve </w:t>
      </w:r>
      <w:r w:rsidR="00422139">
        <w:rPr>
          <w:sz w:val="24"/>
          <w:szCs w:val="24"/>
        </w:rPr>
        <w:t>2</w:t>
      </w:r>
      <w:r w:rsidR="00AF14D0" w:rsidRPr="006E23A9">
        <w:rPr>
          <w:sz w:val="24"/>
          <w:szCs w:val="24"/>
        </w:rPr>
        <w:t xml:space="preserve"> </w:t>
      </w:r>
      <w:r>
        <w:rPr>
          <w:sz w:val="24"/>
          <w:szCs w:val="24"/>
        </w:rPr>
        <w:t>stejnopisech</w:t>
      </w:r>
      <w:r w:rsidR="00AF14D0" w:rsidRPr="006E23A9">
        <w:rPr>
          <w:sz w:val="24"/>
          <w:szCs w:val="24"/>
        </w:rPr>
        <w:t xml:space="preserve">, z nichž každá Smluvní strana obdrží </w:t>
      </w:r>
      <w:r w:rsidR="006E23A9" w:rsidRPr="006E23A9">
        <w:rPr>
          <w:sz w:val="24"/>
          <w:szCs w:val="24"/>
        </w:rPr>
        <w:t>po jednom</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6B945F27" w:rsidR="009D2B69" w:rsidRPr="006E23A9" w:rsidRDefault="009D2B69" w:rsidP="00981A5E">
      <w:pPr>
        <w:pStyle w:val="Zkladntext"/>
      </w:pPr>
      <w:r w:rsidRPr="006E23A9">
        <w:t>V </w:t>
      </w:r>
      <w:r w:rsidR="00554CD1" w:rsidRPr="006E23A9">
        <w:t xml:space="preserve">Plzni </w:t>
      </w:r>
      <w:r w:rsidR="008A2111" w:rsidRPr="006E23A9">
        <w:t xml:space="preserve">dne </w:t>
      </w:r>
      <w:r w:rsidR="008A2111" w:rsidRPr="006B50F2">
        <w:t>………</w:t>
      </w:r>
      <w:r w:rsidR="008A2111" w:rsidRPr="006E23A9">
        <w:tab/>
      </w:r>
      <w:r w:rsidR="008A2111" w:rsidRPr="006E23A9">
        <w:tab/>
      </w:r>
      <w:r w:rsidR="008A2111" w:rsidRPr="006E23A9">
        <w:tab/>
      </w:r>
      <w:r w:rsidR="008A2111" w:rsidRPr="006E23A9">
        <w:tab/>
      </w:r>
      <w:r w:rsidR="0034355A" w:rsidRPr="006E23A9">
        <w:tab/>
      </w:r>
      <w:r w:rsidR="008A2111" w:rsidRPr="006E23A9">
        <w:t>V </w:t>
      </w:r>
      <w:r w:rsidR="00422139">
        <w:t>Plzni</w:t>
      </w:r>
      <w:r w:rsidR="008A2111" w:rsidRPr="006E23A9">
        <w:t xml:space="preserve"> dne </w:t>
      </w:r>
      <w:r w:rsidR="00AD24F5">
        <w:t>25. 3. 2025</w:t>
      </w:r>
    </w:p>
    <w:p w14:paraId="1432D500" w14:textId="77777777" w:rsidR="00FA1D8C" w:rsidRPr="006E23A9" w:rsidRDefault="00FA1D8C" w:rsidP="00981A5E">
      <w:pPr>
        <w:pStyle w:val="Zkladntext"/>
      </w:pPr>
    </w:p>
    <w:p w14:paraId="7D2218D1" w14:textId="77777777" w:rsidR="009D2B69" w:rsidRPr="006E23A9" w:rsidRDefault="009D2B69">
      <w:pPr>
        <w:pStyle w:val="Zkladntext"/>
      </w:pPr>
    </w:p>
    <w:p w14:paraId="201F167E" w14:textId="7374EBE1" w:rsidR="009D2B69" w:rsidRPr="006E23A9" w:rsidRDefault="00554CD1">
      <w:pPr>
        <w:pStyle w:val="Zkladntext"/>
      </w:pPr>
      <w:r w:rsidRPr="006E23A9">
        <w:t>Západočesk</w:t>
      </w:r>
      <w:r w:rsidR="008325CB">
        <w:t>á</w:t>
      </w:r>
      <w:r w:rsidRPr="006E23A9">
        <w:t xml:space="preserve"> univerzit</w:t>
      </w:r>
      <w:r w:rsidR="008325CB">
        <w:t>a</w:t>
      </w:r>
      <w:r w:rsidRPr="006E23A9">
        <w:t xml:space="preserve"> v Plzni</w:t>
      </w:r>
      <w:r w:rsidR="009D2B69" w:rsidRPr="006E23A9">
        <w:tab/>
      </w:r>
      <w:r w:rsidR="009D2B69" w:rsidRPr="006E23A9">
        <w:tab/>
      </w:r>
      <w:r w:rsidR="009D2B69" w:rsidRPr="006E23A9">
        <w:tab/>
      </w:r>
      <w:r w:rsidR="00422139">
        <w:t>SmartMotion s.r.o.</w:t>
      </w:r>
      <w:r w:rsidR="00FA1D8C" w:rsidRPr="006E23A9">
        <w:t xml:space="preserve"> </w:t>
      </w:r>
    </w:p>
    <w:p w14:paraId="63AEB052" w14:textId="77777777" w:rsidR="00FA1D8C" w:rsidRPr="006E23A9" w:rsidRDefault="00FA1D8C">
      <w:pPr>
        <w:pStyle w:val="Zkladntext"/>
      </w:pPr>
    </w:p>
    <w:p w14:paraId="3FAF1DBE" w14:textId="77777777" w:rsidR="009D2B69" w:rsidRPr="006E23A9" w:rsidRDefault="009D2B69">
      <w:pPr>
        <w:pStyle w:val="Zkladntext"/>
      </w:pPr>
    </w:p>
    <w:p w14:paraId="3C14E7B4" w14:textId="77777777" w:rsidR="009D2B69" w:rsidRPr="006E23A9" w:rsidRDefault="009D2B69">
      <w:pPr>
        <w:pStyle w:val="Zkladntext"/>
      </w:pPr>
    </w:p>
    <w:p w14:paraId="0909AA87" w14:textId="35423DBE" w:rsidR="00554CD1" w:rsidRPr="006E23A9" w:rsidRDefault="00283B49" w:rsidP="00981A5E">
      <w:pPr>
        <w:pStyle w:val="Zkladntext"/>
      </w:pPr>
      <w:r w:rsidRPr="006E23A9">
        <w:t xml:space="preserve">doc. Ing. </w:t>
      </w:r>
      <w:r w:rsidR="008325CB">
        <w:t xml:space="preserve">Jiří </w:t>
      </w:r>
      <w:proofErr w:type="spellStart"/>
      <w:r w:rsidR="008325CB">
        <w:t>Hammerbauer</w:t>
      </w:r>
      <w:proofErr w:type="spellEnd"/>
      <w:r w:rsidRPr="006E23A9">
        <w:t xml:space="preserve">, </w:t>
      </w:r>
      <w:r w:rsidR="00011C0B" w:rsidRPr="006E23A9">
        <w:t>P</w:t>
      </w:r>
      <w:r w:rsidRPr="006E23A9">
        <w:t>h.D.</w:t>
      </w:r>
      <w:r w:rsidR="009D2B69" w:rsidRPr="006E23A9">
        <w:tab/>
      </w:r>
      <w:r w:rsidR="009D2B69" w:rsidRPr="006E23A9">
        <w:tab/>
      </w:r>
      <w:r w:rsidR="009D2B69" w:rsidRPr="006E23A9">
        <w:tab/>
      </w:r>
      <w:r w:rsidR="00422139">
        <w:t>Ing. Jiří Barták</w:t>
      </w:r>
      <w:r w:rsidR="009D2B69" w:rsidRPr="006E23A9">
        <w:tab/>
      </w:r>
    </w:p>
    <w:p w14:paraId="52DFB11E" w14:textId="2A8F0334" w:rsidR="009D2B69" w:rsidRDefault="00554CD1" w:rsidP="00981A5E">
      <w:pPr>
        <w:pStyle w:val="Zkladntext"/>
      </w:pPr>
      <w:r w:rsidRPr="00404830">
        <w:rPr>
          <w:sz w:val="22"/>
          <w:szCs w:val="22"/>
        </w:rPr>
        <w:t xml:space="preserve">prorektor pro </w:t>
      </w:r>
      <w:r w:rsidR="008325CB" w:rsidRPr="00404830">
        <w:rPr>
          <w:sz w:val="22"/>
          <w:szCs w:val="22"/>
        </w:rPr>
        <w:t>tvůrčí činnost a doktorské studium</w:t>
      </w:r>
      <w:r w:rsidRPr="006E23A9">
        <w:tab/>
      </w:r>
      <w:r w:rsidR="00422139" w:rsidRPr="00422139">
        <w:rPr>
          <w:sz w:val="22"/>
          <w:szCs w:val="22"/>
        </w:rPr>
        <w:t>jednatel</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10"/>
      <w:footerReference w:type="default" r:id="rId11"/>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670F" w14:textId="77777777" w:rsidR="00DF21FC" w:rsidRDefault="00DF21FC">
      <w:r>
        <w:separator/>
      </w:r>
    </w:p>
  </w:endnote>
  <w:endnote w:type="continuationSeparator" w:id="0">
    <w:p w14:paraId="45BE327C" w14:textId="77777777" w:rsidR="00DF21FC" w:rsidRDefault="00DF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CEDFCF7" w:rsidR="001253C7" w:rsidRDefault="001253C7">
    <w:pPr>
      <w:pStyle w:val="Zpat"/>
    </w:pPr>
    <w:r>
      <w:tab/>
      <w:t xml:space="preserve">- </w:t>
    </w:r>
    <w:r>
      <w:fldChar w:fldCharType="begin"/>
    </w:r>
    <w:r>
      <w:instrText xml:space="preserve"> PAGE </w:instrText>
    </w:r>
    <w:r>
      <w:fldChar w:fldCharType="separate"/>
    </w:r>
    <w:r w:rsidR="00AD0265">
      <w:rPr>
        <w:noProof/>
      </w:rPr>
      <w:t>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53E2" w14:textId="77777777" w:rsidR="00DF21FC" w:rsidRDefault="00DF21FC">
      <w:r>
        <w:separator/>
      </w:r>
    </w:p>
  </w:footnote>
  <w:footnote w:type="continuationSeparator" w:id="0">
    <w:p w14:paraId="7BD7AD34" w14:textId="77777777" w:rsidR="00DF21FC" w:rsidRDefault="00DF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1253C7" w:rsidRDefault="001253C7"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360209037">
    <w:abstractNumId w:val="18"/>
  </w:num>
  <w:num w:numId="2" w16cid:durableId="2120643100">
    <w:abstractNumId w:val="26"/>
  </w:num>
  <w:num w:numId="3" w16cid:durableId="1924676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527718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94173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5800318">
    <w:abstractNumId w:val="13"/>
  </w:num>
  <w:num w:numId="7" w16cid:durableId="1151871051">
    <w:abstractNumId w:val="20"/>
  </w:num>
  <w:num w:numId="8" w16cid:durableId="1159152941">
    <w:abstractNumId w:val="31"/>
  </w:num>
  <w:num w:numId="9" w16cid:durableId="699822007">
    <w:abstractNumId w:val="16"/>
  </w:num>
  <w:num w:numId="10" w16cid:durableId="649596168">
    <w:abstractNumId w:val="32"/>
  </w:num>
  <w:num w:numId="11" w16cid:durableId="1087262850">
    <w:abstractNumId w:val="24"/>
  </w:num>
  <w:num w:numId="12" w16cid:durableId="975718242">
    <w:abstractNumId w:val="0"/>
  </w:num>
  <w:num w:numId="13" w16cid:durableId="330253530">
    <w:abstractNumId w:val="3"/>
  </w:num>
  <w:num w:numId="14" w16cid:durableId="1737974816">
    <w:abstractNumId w:val="5"/>
  </w:num>
  <w:num w:numId="15" w16cid:durableId="1856724399">
    <w:abstractNumId w:val="10"/>
  </w:num>
  <w:num w:numId="16" w16cid:durableId="139345390">
    <w:abstractNumId w:val="9"/>
  </w:num>
  <w:num w:numId="17" w16cid:durableId="1273632959">
    <w:abstractNumId w:val="19"/>
  </w:num>
  <w:num w:numId="18" w16cid:durableId="1280137926">
    <w:abstractNumId w:val="21"/>
  </w:num>
  <w:num w:numId="19" w16cid:durableId="1734084804">
    <w:abstractNumId w:val="1"/>
  </w:num>
  <w:num w:numId="20" w16cid:durableId="396975051">
    <w:abstractNumId w:val="25"/>
  </w:num>
  <w:num w:numId="21" w16cid:durableId="1513104809">
    <w:abstractNumId w:val="15"/>
  </w:num>
  <w:num w:numId="22" w16cid:durableId="1560828203">
    <w:abstractNumId w:val="17"/>
  </w:num>
  <w:num w:numId="23" w16cid:durableId="1453817516">
    <w:abstractNumId w:val="6"/>
  </w:num>
  <w:num w:numId="24" w16cid:durableId="910190723">
    <w:abstractNumId w:val="30"/>
  </w:num>
  <w:num w:numId="25" w16cid:durableId="268054394">
    <w:abstractNumId w:val="12"/>
  </w:num>
  <w:num w:numId="26" w16cid:durableId="1363508063">
    <w:abstractNumId w:val="28"/>
  </w:num>
  <w:num w:numId="27" w16cid:durableId="1978759983">
    <w:abstractNumId w:val="4"/>
  </w:num>
  <w:num w:numId="28" w16cid:durableId="1872647287">
    <w:abstractNumId w:val="8"/>
  </w:num>
  <w:num w:numId="29" w16cid:durableId="1241646395">
    <w:abstractNumId w:val="14"/>
  </w:num>
  <w:num w:numId="30" w16cid:durableId="1056902972">
    <w:abstractNumId w:val="27"/>
  </w:num>
  <w:num w:numId="31" w16cid:durableId="425073911">
    <w:abstractNumId w:val="7"/>
  </w:num>
  <w:num w:numId="32" w16cid:durableId="1123159119">
    <w:abstractNumId w:val="23"/>
  </w:num>
  <w:num w:numId="33" w16cid:durableId="1911230061">
    <w:abstractNumId w:val="2"/>
  </w:num>
  <w:num w:numId="34" w16cid:durableId="2098138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0A50"/>
    <w:rsid w:val="00002C1D"/>
    <w:rsid w:val="00011C0B"/>
    <w:rsid w:val="00012EF6"/>
    <w:rsid w:val="00015B69"/>
    <w:rsid w:val="000370A8"/>
    <w:rsid w:val="00042568"/>
    <w:rsid w:val="0004573D"/>
    <w:rsid w:val="00047F28"/>
    <w:rsid w:val="00072696"/>
    <w:rsid w:val="000754AD"/>
    <w:rsid w:val="000946FE"/>
    <w:rsid w:val="000B0270"/>
    <w:rsid w:val="000B26A8"/>
    <w:rsid w:val="000E2A5E"/>
    <w:rsid w:val="000E2DE3"/>
    <w:rsid w:val="000E3376"/>
    <w:rsid w:val="000E6AA1"/>
    <w:rsid w:val="000F386B"/>
    <w:rsid w:val="000F44F0"/>
    <w:rsid w:val="000F472E"/>
    <w:rsid w:val="00116556"/>
    <w:rsid w:val="00121FF9"/>
    <w:rsid w:val="001233C9"/>
    <w:rsid w:val="001253C7"/>
    <w:rsid w:val="0014407B"/>
    <w:rsid w:val="00144C3C"/>
    <w:rsid w:val="001461C7"/>
    <w:rsid w:val="0014671A"/>
    <w:rsid w:val="00156BB1"/>
    <w:rsid w:val="00166A86"/>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6DC6"/>
    <w:rsid w:val="00251D7B"/>
    <w:rsid w:val="00254DAE"/>
    <w:rsid w:val="00262623"/>
    <w:rsid w:val="00283B49"/>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D"/>
    <w:rsid w:val="0034355A"/>
    <w:rsid w:val="003477A1"/>
    <w:rsid w:val="003510B1"/>
    <w:rsid w:val="00361744"/>
    <w:rsid w:val="00361F86"/>
    <w:rsid w:val="00363F12"/>
    <w:rsid w:val="00381E88"/>
    <w:rsid w:val="00386C09"/>
    <w:rsid w:val="003A33FB"/>
    <w:rsid w:val="003A391E"/>
    <w:rsid w:val="003A4812"/>
    <w:rsid w:val="003B044C"/>
    <w:rsid w:val="003B54B8"/>
    <w:rsid w:val="003C7A6B"/>
    <w:rsid w:val="003D0594"/>
    <w:rsid w:val="003E29C2"/>
    <w:rsid w:val="003E5B2C"/>
    <w:rsid w:val="003F11FD"/>
    <w:rsid w:val="00404830"/>
    <w:rsid w:val="00422139"/>
    <w:rsid w:val="004471DE"/>
    <w:rsid w:val="00447DD6"/>
    <w:rsid w:val="0045735C"/>
    <w:rsid w:val="00465B51"/>
    <w:rsid w:val="00475569"/>
    <w:rsid w:val="0047791A"/>
    <w:rsid w:val="0048436B"/>
    <w:rsid w:val="004851ED"/>
    <w:rsid w:val="00496538"/>
    <w:rsid w:val="00497D50"/>
    <w:rsid w:val="004A783F"/>
    <w:rsid w:val="004B4BFE"/>
    <w:rsid w:val="004C050D"/>
    <w:rsid w:val="004D26E5"/>
    <w:rsid w:val="004D4B39"/>
    <w:rsid w:val="004E6921"/>
    <w:rsid w:val="004E6FCE"/>
    <w:rsid w:val="00500460"/>
    <w:rsid w:val="00506211"/>
    <w:rsid w:val="00512D27"/>
    <w:rsid w:val="00516F75"/>
    <w:rsid w:val="0053474E"/>
    <w:rsid w:val="00535574"/>
    <w:rsid w:val="00554CD1"/>
    <w:rsid w:val="005558AB"/>
    <w:rsid w:val="00566926"/>
    <w:rsid w:val="00581B4B"/>
    <w:rsid w:val="00581E6B"/>
    <w:rsid w:val="00585DA8"/>
    <w:rsid w:val="005915C2"/>
    <w:rsid w:val="005A08FD"/>
    <w:rsid w:val="005A4F5F"/>
    <w:rsid w:val="005A5430"/>
    <w:rsid w:val="005A615B"/>
    <w:rsid w:val="005B38C3"/>
    <w:rsid w:val="005C1D1D"/>
    <w:rsid w:val="005D5235"/>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22EA"/>
    <w:rsid w:val="006938E8"/>
    <w:rsid w:val="00694146"/>
    <w:rsid w:val="006B50F2"/>
    <w:rsid w:val="006C49EB"/>
    <w:rsid w:val="006D0A09"/>
    <w:rsid w:val="006D482F"/>
    <w:rsid w:val="006E23A9"/>
    <w:rsid w:val="0070173D"/>
    <w:rsid w:val="0071039D"/>
    <w:rsid w:val="007139B6"/>
    <w:rsid w:val="00714548"/>
    <w:rsid w:val="00722287"/>
    <w:rsid w:val="00724DFC"/>
    <w:rsid w:val="00736DEF"/>
    <w:rsid w:val="00741E56"/>
    <w:rsid w:val="00744F3A"/>
    <w:rsid w:val="0075732C"/>
    <w:rsid w:val="0078252D"/>
    <w:rsid w:val="00787190"/>
    <w:rsid w:val="007A7C5E"/>
    <w:rsid w:val="007B1025"/>
    <w:rsid w:val="007D368F"/>
    <w:rsid w:val="007E0858"/>
    <w:rsid w:val="007E6A6C"/>
    <w:rsid w:val="008043A9"/>
    <w:rsid w:val="00805334"/>
    <w:rsid w:val="008149E3"/>
    <w:rsid w:val="008259DF"/>
    <w:rsid w:val="008325CB"/>
    <w:rsid w:val="0083570F"/>
    <w:rsid w:val="00836209"/>
    <w:rsid w:val="00851E4A"/>
    <w:rsid w:val="0086129A"/>
    <w:rsid w:val="008A2111"/>
    <w:rsid w:val="008A6D5A"/>
    <w:rsid w:val="008B28E1"/>
    <w:rsid w:val="008B65B0"/>
    <w:rsid w:val="008C1C5F"/>
    <w:rsid w:val="008D1F26"/>
    <w:rsid w:val="008D363A"/>
    <w:rsid w:val="008E01C9"/>
    <w:rsid w:val="008F0E1C"/>
    <w:rsid w:val="00904625"/>
    <w:rsid w:val="009113DA"/>
    <w:rsid w:val="00920E25"/>
    <w:rsid w:val="00922E54"/>
    <w:rsid w:val="00926EB5"/>
    <w:rsid w:val="00927411"/>
    <w:rsid w:val="009400F8"/>
    <w:rsid w:val="00940287"/>
    <w:rsid w:val="00943971"/>
    <w:rsid w:val="00946BAA"/>
    <w:rsid w:val="00954A21"/>
    <w:rsid w:val="0096488D"/>
    <w:rsid w:val="00981A5E"/>
    <w:rsid w:val="00985472"/>
    <w:rsid w:val="0099272E"/>
    <w:rsid w:val="009B37D6"/>
    <w:rsid w:val="009B434C"/>
    <w:rsid w:val="009B749F"/>
    <w:rsid w:val="009C61DA"/>
    <w:rsid w:val="009C6E74"/>
    <w:rsid w:val="009D2B69"/>
    <w:rsid w:val="009D3921"/>
    <w:rsid w:val="009D5B1B"/>
    <w:rsid w:val="009F2A90"/>
    <w:rsid w:val="009F5595"/>
    <w:rsid w:val="009F63C3"/>
    <w:rsid w:val="00A0028E"/>
    <w:rsid w:val="00A213ED"/>
    <w:rsid w:val="00A22B2A"/>
    <w:rsid w:val="00A23B93"/>
    <w:rsid w:val="00A5390B"/>
    <w:rsid w:val="00A53A9D"/>
    <w:rsid w:val="00A623BB"/>
    <w:rsid w:val="00A80865"/>
    <w:rsid w:val="00A80E49"/>
    <w:rsid w:val="00AA4AE7"/>
    <w:rsid w:val="00AB061E"/>
    <w:rsid w:val="00AB29FD"/>
    <w:rsid w:val="00AC3086"/>
    <w:rsid w:val="00AD0265"/>
    <w:rsid w:val="00AD24F5"/>
    <w:rsid w:val="00AE559E"/>
    <w:rsid w:val="00AF14D0"/>
    <w:rsid w:val="00AF438A"/>
    <w:rsid w:val="00AF4D96"/>
    <w:rsid w:val="00B01C94"/>
    <w:rsid w:val="00B04A12"/>
    <w:rsid w:val="00B05A53"/>
    <w:rsid w:val="00B15A26"/>
    <w:rsid w:val="00B23BE8"/>
    <w:rsid w:val="00B31C51"/>
    <w:rsid w:val="00B42822"/>
    <w:rsid w:val="00B5372A"/>
    <w:rsid w:val="00B67676"/>
    <w:rsid w:val="00B910F7"/>
    <w:rsid w:val="00B963C7"/>
    <w:rsid w:val="00BB0CA6"/>
    <w:rsid w:val="00BB1643"/>
    <w:rsid w:val="00BB1A5C"/>
    <w:rsid w:val="00BD0970"/>
    <w:rsid w:val="00BE72D9"/>
    <w:rsid w:val="00C0743F"/>
    <w:rsid w:val="00C14D08"/>
    <w:rsid w:val="00C16BDB"/>
    <w:rsid w:val="00C2376D"/>
    <w:rsid w:val="00C26D33"/>
    <w:rsid w:val="00C32495"/>
    <w:rsid w:val="00C337E1"/>
    <w:rsid w:val="00C401DC"/>
    <w:rsid w:val="00C40BC1"/>
    <w:rsid w:val="00C435E8"/>
    <w:rsid w:val="00C44E76"/>
    <w:rsid w:val="00C540B5"/>
    <w:rsid w:val="00C550DB"/>
    <w:rsid w:val="00C56D47"/>
    <w:rsid w:val="00C6031A"/>
    <w:rsid w:val="00C71FBD"/>
    <w:rsid w:val="00C73210"/>
    <w:rsid w:val="00C80298"/>
    <w:rsid w:val="00C846C5"/>
    <w:rsid w:val="00C8634F"/>
    <w:rsid w:val="00C9008F"/>
    <w:rsid w:val="00C94127"/>
    <w:rsid w:val="00CA7E2B"/>
    <w:rsid w:val="00CB05A6"/>
    <w:rsid w:val="00CC79C6"/>
    <w:rsid w:val="00CD4FAD"/>
    <w:rsid w:val="00CE0AE5"/>
    <w:rsid w:val="00CE5423"/>
    <w:rsid w:val="00CE566A"/>
    <w:rsid w:val="00CF7ADF"/>
    <w:rsid w:val="00D000DB"/>
    <w:rsid w:val="00D0097B"/>
    <w:rsid w:val="00D02515"/>
    <w:rsid w:val="00D11CDE"/>
    <w:rsid w:val="00D11D30"/>
    <w:rsid w:val="00D172D5"/>
    <w:rsid w:val="00D23D23"/>
    <w:rsid w:val="00D26A98"/>
    <w:rsid w:val="00D53EA0"/>
    <w:rsid w:val="00D6270D"/>
    <w:rsid w:val="00D65B05"/>
    <w:rsid w:val="00D66AF9"/>
    <w:rsid w:val="00D66C88"/>
    <w:rsid w:val="00D679C9"/>
    <w:rsid w:val="00D707A4"/>
    <w:rsid w:val="00D81034"/>
    <w:rsid w:val="00D90D37"/>
    <w:rsid w:val="00D9622C"/>
    <w:rsid w:val="00DA7279"/>
    <w:rsid w:val="00DB10F7"/>
    <w:rsid w:val="00DB4E89"/>
    <w:rsid w:val="00DB74FF"/>
    <w:rsid w:val="00DC02B1"/>
    <w:rsid w:val="00DC32BC"/>
    <w:rsid w:val="00DC526F"/>
    <w:rsid w:val="00DE158C"/>
    <w:rsid w:val="00DE6049"/>
    <w:rsid w:val="00DF0B4A"/>
    <w:rsid w:val="00DF21FC"/>
    <w:rsid w:val="00DF5624"/>
    <w:rsid w:val="00E013FB"/>
    <w:rsid w:val="00E05DE4"/>
    <w:rsid w:val="00E27B86"/>
    <w:rsid w:val="00E505C8"/>
    <w:rsid w:val="00E60F39"/>
    <w:rsid w:val="00E62EEF"/>
    <w:rsid w:val="00E7540F"/>
    <w:rsid w:val="00EC2678"/>
    <w:rsid w:val="00EC748A"/>
    <w:rsid w:val="00ED0FD2"/>
    <w:rsid w:val="00EE572B"/>
    <w:rsid w:val="00EF1DB6"/>
    <w:rsid w:val="00EF32AA"/>
    <w:rsid w:val="00EF3883"/>
    <w:rsid w:val="00F028D4"/>
    <w:rsid w:val="00F0634B"/>
    <w:rsid w:val="00F105C3"/>
    <w:rsid w:val="00F132CB"/>
    <w:rsid w:val="00F21762"/>
    <w:rsid w:val="00F47207"/>
    <w:rsid w:val="00F670D1"/>
    <w:rsid w:val="00F73633"/>
    <w:rsid w:val="00F84E0F"/>
    <w:rsid w:val="00F86A3C"/>
    <w:rsid w:val="00F96266"/>
    <w:rsid w:val="00F97F1C"/>
    <w:rsid w:val="00FA1D8C"/>
    <w:rsid w:val="00FB06AC"/>
    <w:rsid w:val="00FC46FE"/>
    <w:rsid w:val="00FD7939"/>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AD2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37883424">
      <w:bodyDiv w:val="1"/>
      <w:marLeft w:val="0"/>
      <w:marRight w:val="0"/>
      <w:marTop w:val="0"/>
      <w:marBottom w:val="0"/>
      <w:divBdr>
        <w:top w:val="none" w:sz="0" w:space="0" w:color="auto"/>
        <w:left w:val="none" w:sz="0" w:space="0" w:color="auto"/>
        <w:bottom w:val="none" w:sz="0" w:space="0" w:color="auto"/>
        <w:right w:val="none" w:sz="0" w:space="0" w:color="auto"/>
      </w:divBdr>
      <w:divsChild>
        <w:div w:id="1880435592">
          <w:marLeft w:val="0"/>
          <w:marRight w:val="0"/>
          <w:marTop w:val="30"/>
          <w:marBottom w:val="0"/>
          <w:divBdr>
            <w:top w:val="none" w:sz="0" w:space="0" w:color="auto"/>
            <w:left w:val="none" w:sz="0" w:space="0" w:color="auto"/>
            <w:bottom w:val="none" w:sz="0" w:space="0" w:color="auto"/>
            <w:right w:val="none" w:sz="0" w:space="0" w:color="auto"/>
          </w:divBdr>
          <w:divsChild>
            <w:div w:id="21234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322081300">
      <w:bodyDiv w:val="1"/>
      <w:marLeft w:val="0"/>
      <w:marRight w:val="0"/>
      <w:marTop w:val="0"/>
      <w:marBottom w:val="0"/>
      <w:divBdr>
        <w:top w:val="none" w:sz="0" w:space="0" w:color="auto"/>
        <w:left w:val="none" w:sz="0" w:space="0" w:color="auto"/>
        <w:bottom w:val="none" w:sz="0" w:space="0" w:color="auto"/>
        <w:right w:val="none" w:sz="0" w:space="0" w:color="auto"/>
      </w:divBdr>
      <w:divsChild>
        <w:div w:id="779033948">
          <w:marLeft w:val="0"/>
          <w:marRight w:val="0"/>
          <w:marTop w:val="0"/>
          <w:marBottom w:val="0"/>
          <w:divBdr>
            <w:top w:val="none" w:sz="0" w:space="0" w:color="auto"/>
            <w:left w:val="none" w:sz="0" w:space="0" w:color="auto"/>
            <w:bottom w:val="none" w:sz="0" w:space="0" w:color="auto"/>
            <w:right w:val="none" w:sz="0" w:space="0" w:color="auto"/>
          </w:divBdr>
        </w:div>
      </w:divsChild>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cetni@smart-motio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ACA9-290D-489B-8796-03969062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2137</Words>
  <Characters>12615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2025-03-26T07:28:00Z</cp:lastPrinted>
  <dcterms:created xsi:type="dcterms:W3CDTF">2025-04-11T09:44:00Z</dcterms:created>
  <dcterms:modified xsi:type="dcterms:W3CDTF">2025-04-11T09:44:00Z</dcterms:modified>
</cp:coreProperties>
</file>