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8D5A" w14:textId="77777777" w:rsidR="00450501" w:rsidRPr="00F11A07" w:rsidRDefault="00281164" w:rsidP="00887DE4">
      <w:pPr>
        <w:pStyle w:val="HHTitle2"/>
        <w:rPr>
          <w:szCs w:val="22"/>
        </w:rPr>
      </w:pPr>
      <w:r w:rsidRPr="00F11A07">
        <w:rPr>
          <w:szCs w:val="22"/>
        </w:rPr>
        <w:t>SMLOUVA</w:t>
      </w:r>
      <w:r w:rsidR="00450501" w:rsidRPr="00F11A07">
        <w:rPr>
          <w:szCs w:val="22"/>
        </w:rPr>
        <w:t xml:space="preserve"> O POSKYTOVÁNÍ PRÁVNÍCH SLUŽEB</w:t>
      </w:r>
    </w:p>
    <w:p w14:paraId="158A8C2A" w14:textId="77777777" w:rsidR="00450501" w:rsidRPr="00F11A07" w:rsidRDefault="00450501" w:rsidP="00450501">
      <w:pPr>
        <w:jc w:val="center"/>
        <w:rPr>
          <w:szCs w:val="22"/>
        </w:rPr>
      </w:pPr>
      <w:r w:rsidRPr="00F11A07">
        <w:rPr>
          <w:szCs w:val="22"/>
        </w:rPr>
        <w:t>(„</w:t>
      </w:r>
      <w:r w:rsidRPr="00F11A07">
        <w:rPr>
          <w:rStyle w:val="StyleBold"/>
          <w:szCs w:val="22"/>
        </w:rPr>
        <w:t>Smlouva</w:t>
      </w:r>
      <w:r w:rsidRPr="00F11A07">
        <w:rPr>
          <w:rStyle w:val="StyleBold"/>
          <w:b w:val="0"/>
          <w:szCs w:val="22"/>
        </w:rPr>
        <w:t>“</w:t>
      </w:r>
      <w:r w:rsidRPr="00F11A07">
        <w:rPr>
          <w:szCs w:val="22"/>
        </w:rPr>
        <w:t>)</w:t>
      </w:r>
    </w:p>
    <w:p w14:paraId="6D6DC75C" w14:textId="77777777" w:rsidR="002453CC" w:rsidRPr="00F11A07" w:rsidRDefault="002453CC" w:rsidP="005C5257">
      <w:pPr>
        <w:pStyle w:val="Smluvnistranypreambule"/>
        <w:spacing w:before="240"/>
        <w:rPr>
          <w:szCs w:val="22"/>
          <w:u w:val="single"/>
        </w:rPr>
      </w:pPr>
      <w:r w:rsidRPr="00F11A07">
        <w:rPr>
          <w:szCs w:val="22"/>
          <w:u w:val="single"/>
        </w:rPr>
        <w:t>Smluvní strany</w:t>
      </w:r>
    </w:p>
    <w:p w14:paraId="2785F827" w14:textId="14DE23A4" w:rsidR="003D6F88" w:rsidRPr="00F11A07" w:rsidRDefault="00325CC2" w:rsidP="003D6F88">
      <w:pPr>
        <w:numPr>
          <w:ilvl w:val="0"/>
          <w:numId w:val="26"/>
        </w:numPr>
        <w:rPr>
          <w:szCs w:val="22"/>
        </w:rPr>
      </w:pPr>
      <w:r w:rsidRPr="00F11A07">
        <w:rPr>
          <w:b/>
          <w:szCs w:val="22"/>
        </w:rPr>
        <w:t>Ústav molekulární genetiky AV ČR, v. v. i.</w:t>
      </w:r>
      <w:r w:rsidRPr="00F11A07">
        <w:rPr>
          <w:bCs/>
          <w:szCs w:val="22"/>
        </w:rPr>
        <w:t>, se sídlem Vídeňská 1083, Krč, 14200 Praha 4, IČO: 68378050</w:t>
      </w:r>
    </w:p>
    <w:p w14:paraId="1F38140E" w14:textId="77777777" w:rsidR="004D2928" w:rsidRPr="00F11A07" w:rsidRDefault="00914577" w:rsidP="003D6F88">
      <w:pPr>
        <w:ind w:firstLine="567"/>
        <w:rPr>
          <w:szCs w:val="22"/>
        </w:rPr>
      </w:pPr>
      <w:r w:rsidRPr="00F11A07">
        <w:rPr>
          <w:szCs w:val="22"/>
        </w:rPr>
        <w:t>(</w:t>
      </w:r>
      <w:r w:rsidR="004D2928" w:rsidRPr="00F11A07">
        <w:rPr>
          <w:szCs w:val="22"/>
        </w:rPr>
        <w:t>„</w:t>
      </w:r>
      <w:r w:rsidR="004D2928" w:rsidRPr="00F11A07">
        <w:rPr>
          <w:rStyle w:val="StyleBold"/>
          <w:szCs w:val="22"/>
        </w:rPr>
        <w:t>Klient</w:t>
      </w:r>
      <w:r w:rsidRPr="00F11A07">
        <w:rPr>
          <w:szCs w:val="22"/>
        </w:rPr>
        <w:t>“)</w:t>
      </w:r>
      <w:bookmarkStart w:id="0" w:name="_DV_M14"/>
      <w:bookmarkEnd w:id="0"/>
    </w:p>
    <w:p w14:paraId="45661415" w14:textId="77777777" w:rsidR="0019329C" w:rsidRPr="00F11A07" w:rsidRDefault="0019329C" w:rsidP="005C5257">
      <w:pPr>
        <w:ind w:firstLine="567"/>
        <w:rPr>
          <w:szCs w:val="22"/>
        </w:rPr>
      </w:pPr>
      <w:r w:rsidRPr="00F11A07">
        <w:rPr>
          <w:szCs w:val="22"/>
        </w:rPr>
        <w:t>a</w:t>
      </w:r>
    </w:p>
    <w:p w14:paraId="781D4FE7" w14:textId="77777777" w:rsidR="0019329C" w:rsidRPr="00F11A07" w:rsidRDefault="00360DFC" w:rsidP="00360DFC">
      <w:pPr>
        <w:numPr>
          <w:ilvl w:val="0"/>
          <w:numId w:val="26"/>
        </w:numPr>
        <w:rPr>
          <w:szCs w:val="22"/>
        </w:rPr>
      </w:pPr>
      <w:bookmarkStart w:id="1" w:name="_DV_M15"/>
      <w:bookmarkStart w:id="2" w:name="_DV_M16"/>
      <w:bookmarkEnd w:id="1"/>
      <w:bookmarkEnd w:id="2"/>
      <w:r w:rsidRPr="00F11A07">
        <w:rPr>
          <w:rStyle w:val="StyleBold"/>
          <w:szCs w:val="22"/>
        </w:rPr>
        <w:t>HAVEL &amp; PARTNERS</w:t>
      </w:r>
      <w:r w:rsidR="003D6F88" w:rsidRPr="00F11A07">
        <w:rPr>
          <w:rStyle w:val="StyleBold"/>
          <w:szCs w:val="22"/>
        </w:rPr>
        <w:t xml:space="preserve"> s.r.o.</w:t>
      </w:r>
      <w:r w:rsidR="003D6F88" w:rsidRPr="00F11A07">
        <w:rPr>
          <w:szCs w:val="22"/>
        </w:rPr>
        <w:t xml:space="preserve">, </w:t>
      </w:r>
      <w:r w:rsidR="003D6F88" w:rsidRPr="00F11A07">
        <w:rPr>
          <w:b/>
          <w:szCs w:val="22"/>
        </w:rPr>
        <w:t>advokátní kancelář</w:t>
      </w:r>
      <w:r w:rsidR="003D6F88" w:rsidRPr="00F11A07">
        <w:rPr>
          <w:szCs w:val="22"/>
        </w:rPr>
        <w:t xml:space="preserve">, sídlo Praha 1, Na Florenci 2116/15, PSČ 110 00, IČO: 26454807, DIČ: </w:t>
      </w:r>
      <w:r w:rsidR="00BE2FAA" w:rsidRPr="00F11A07">
        <w:rPr>
          <w:szCs w:val="22"/>
        </w:rPr>
        <w:t>CZ</w:t>
      </w:r>
      <w:r w:rsidR="003D6F88" w:rsidRPr="00F11A07">
        <w:rPr>
          <w:szCs w:val="22"/>
        </w:rPr>
        <w:t>26454807, zapsaná v obchodním rejstříku vedeném Městským soudem v Praze, oddíl C, vložka 114599</w:t>
      </w:r>
      <w:r w:rsidR="004D2928" w:rsidRPr="00F11A07">
        <w:rPr>
          <w:szCs w:val="22"/>
        </w:rPr>
        <w:t xml:space="preserve"> </w:t>
      </w:r>
    </w:p>
    <w:p w14:paraId="178F4ECD" w14:textId="77777777" w:rsidR="004D2928" w:rsidRPr="00F11A07" w:rsidRDefault="004D2928" w:rsidP="0019329C">
      <w:pPr>
        <w:ind w:firstLine="567"/>
        <w:rPr>
          <w:szCs w:val="22"/>
        </w:rPr>
      </w:pPr>
      <w:r w:rsidRPr="00F11A07">
        <w:rPr>
          <w:szCs w:val="22"/>
        </w:rPr>
        <w:t>(„</w:t>
      </w:r>
      <w:r w:rsidRPr="00F11A07">
        <w:rPr>
          <w:rStyle w:val="StyleBold"/>
          <w:szCs w:val="22"/>
        </w:rPr>
        <w:t>Poskytovatel</w:t>
      </w:r>
      <w:r w:rsidRPr="00F11A07">
        <w:rPr>
          <w:szCs w:val="22"/>
        </w:rPr>
        <w:t>“ a společně s Klientem „</w:t>
      </w:r>
      <w:r w:rsidRPr="00F11A07">
        <w:rPr>
          <w:rStyle w:val="StyleBold"/>
          <w:szCs w:val="22"/>
        </w:rPr>
        <w:t>Strany</w:t>
      </w:r>
      <w:r w:rsidRPr="00F11A07">
        <w:rPr>
          <w:szCs w:val="22"/>
        </w:rPr>
        <w:t>“)</w:t>
      </w:r>
    </w:p>
    <w:p w14:paraId="2DA95312" w14:textId="77777777" w:rsidR="004D2928" w:rsidRPr="00F11A07" w:rsidRDefault="004D2928" w:rsidP="00B870D8">
      <w:pPr>
        <w:pStyle w:val="Nadpis1"/>
        <w:rPr>
          <w:szCs w:val="22"/>
        </w:rPr>
      </w:pPr>
      <w:r w:rsidRPr="00F11A07">
        <w:rPr>
          <w:szCs w:val="22"/>
        </w:rPr>
        <w:t>Poskytované služby</w:t>
      </w:r>
    </w:p>
    <w:p w14:paraId="53E4AD62" w14:textId="1CE99698" w:rsidR="00D241CD" w:rsidRPr="00F11A07" w:rsidRDefault="00D241CD" w:rsidP="00EF6C3F">
      <w:pPr>
        <w:pStyle w:val="Clanek11"/>
        <w:rPr>
          <w:szCs w:val="22"/>
        </w:rPr>
      </w:pPr>
      <w:bookmarkStart w:id="3" w:name="_Ref166841960"/>
      <w:r w:rsidRPr="00F11A07">
        <w:rPr>
          <w:szCs w:val="22"/>
        </w:rPr>
        <w:t xml:space="preserve">Za podmínek uvedených v této Smlouvě bude Poskytovatel poskytovat Klientovi právní služby </w:t>
      </w:r>
      <w:r w:rsidR="00AE3559" w:rsidRPr="00F11A07">
        <w:rPr>
          <w:szCs w:val="22"/>
        </w:rPr>
        <w:t>spočívající zejména v posuzování, prověřování a zhodnocení právní situace Klienta ve vztahu k jeho duševnímu vlastnictví</w:t>
      </w:r>
      <w:r w:rsidR="00C15EBE" w:rsidRPr="00F11A07">
        <w:rPr>
          <w:szCs w:val="22"/>
        </w:rPr>
        <w:t xml:space="preserve"> </w:t>
      </w:r>
      <w:r w:rsidR="00D7768E">
        <w:rPr>
          <w:szCs w:val="22"/>
        </w:rPr>
        <w:t>xxx</w:t>
      </w:r>
      <w:bookmarkStart w:id="4" w:name="_GoBack"/>
      <w:bookmarkEnd w:id="4"/>
      <w:r w:rsidR="00AE3559" w:rsidRPr="00F11A07">
        <w:rPr>
          <w:szCs w:val="22"/>
        </w:rPr>
        <w:t xml:space="preserve"> jakož i v uplatňování práv, zajišťování ochrany a právním zastupování ve věcech týkajících se tohoto duševního vlastnictví </w:t>
      </w:r>
      <w:r w:rsidRPr="00F11A07">
        <w:rPr>
          <w:szCs w:val="22"/>
        </w:rPr>
        <w:t>(„</w:t>
      </w:r>
      <w:r w:rsidRPr="00F11A07">
        <w:rPr>
          <w:b/>
          <w:szCs w:val="22"/>
        </w:rPr>
        <w:t>Služby</w:t>
      </w:r>
      <w:r w:rsidRPr="00F11A07">
        <w:rPr>
          <w:szCs w:val="22"/>
        </w:rPr>
        <w:t xml:space="preserve">“). </w:t>
      </w:r>
      <w:bookmarkEnd w:id="3"/>
    </w:p>
    <w:p w14:paraId="44937A5F" w14:textId="57E847A8" w:rsidR="00D241CD" w:rsidRPr="00F11A07" w:rsidRDefault="00D241CD" w:rsidP="00E369B4">
      <w:pPr>
        <w:pStyle w:val="Clanek11"/>
        <w:rPr>
          <w:szCs w:val="22"/>
        </w:rPr>
      </w:pPr>
      <w:bookmarkStart w:id="5" w:name="_Ref166844630"/>
      <w:r w:rsidRPr="00F11A07">
        <w:rPr>
          <w:szCs w:val="22"/>
        </w:rPr>
        <w:t xml:space="preserve">Rozsah Služeb vymezený v článku </w:t>
      </w:r>
      <w:r w:rsidRPr="00F11A07">
        <w:rPr>
          <w:bCs w:val="0"/>
          <w:iCs w:val="0"/>
          <w:szCs w:val="22"/>
        </w:rPr>
        <w:fldChar w:fldCharType="begin"/>
      </w:r>
      <w:r w:rsidRPr="00F11A07">
        <w:rPr>
          <w:szCs w:val="22"/>
        </w:rPr>
        <w:instrText xml:space="preserve"> REF _Ref166841960 \r \h </w:instrText>
      </w:r>
      <w:r w:rsidR="00971993" w:rsidRPr="00F11A07">
        <w:rPr>
          <w:szCs w:val="22"/>
        </w:rPr>
        <w:instrText xml:space="preserve"> \* MERGEFORMAT </w:instrText>
      </w:r>
      <w:r w:rsidRPr="00F11A07">
        <w:rPr>
          <w:bCs w:val="0"/>
          <w:iCs w:val="0"/>
          <w:szCs w:val="22"/>
        </w:rPr>
      </w:r>
      <w:r w:rsidRPr="00F11A07">
        <w:rPr>
          <w:bCs w:val="0"/>
          <w:iCs w:val="0"/>
          <w:szCs w:val="22"/>
        </w:rPr>
        <w:fldChar w:fldCharType="separate"/>
      </w:r>
      <w:r w:rsidR="00D844DE" w:rsidRPr="00F11A07">
        <w:rPr>
          <w:szCs w:val="22"/>
        </w:rPr>
        <w:t>1.1</w:t>
      </w:r>
      <w:r w:rsidRPr="00F11A07">
        <w:rPr>
          <w:bCs w:val="0"/>
          <w:iCs w:val="0"/>
          <w:szCs w:val="22"/>
        </w:rPr>
        <w:fldChar w:fldCharType="end"/>
      </w:r>
      <w:r w:rsidRPr="00F11A07">
        <w:rPr>
          <w:szCs w:val="22"/>
        </w:rPr>
        <w:t xml:space="preserve"> může být rozšířen o další Služby na základě </w:t>
      </w:r>
      <w:r w:rsidR="00850383" w:rsidRPr="00F11A07">
        <w:rPr>
          <w:szCs w:val="22"/>
        </w:rPr>
        <w:t>písemného dodatku k této Smlouvě, podepsaného oběma smluvními stranami.</w:t>
      </w:r>
      <w:bookmarkEnd w:id="5"/>
      <w:r w:rsidRPr="00F11A07">
        <w:rPr>
          <w:szCs w:val="22"/>
        </w:rPr>
        <w:t xml:space="preserve"> </w:t>
      </w:r>
    </w:p>
    <w:p w14:paraId="68CA594A" w14:textId="77777777" w:rsidR="00D241CD" w:rsidRPr="00F11A07" w:rsidRDefault="00D241CD" w:rsidP="00D241CD">
      <w:pPr>
        <w:pStyle w:val="Nadpis1"/>
        <w:rPr>
          <w:szCs w:val="22"/>
        </w:rPr>
      </w:pPr>
      <w:r w:rsidRPr="00F11A07">
        <w:rPr>
          <w:szCs w:val="22"/>
        </w:rPr>
        <w:t>Personální obsazení</w:t>
      </w:r>
    </w:p>
    <w:p w14:paraId="35D0675E" w14:textId="77777777" w:rsidR="00D241CD" w:rsidRPr="00F11A07" w:rsidRDefault="00D241CD" w:rsidP="00D241CD">
      <w:pPr>
        <w:pStyle w:val="Clanek11"/>
        <w:widowControl/>
        <w:rPr>
          <w:szCs w:val="22"/>
        </w:rPr>
      </w:pPr>
      <w:bookmarkStart w:id="6" w:name="_Ref168147006"/>
      <w:r w:rsidRPr="00F11A07">
        <w:rPr>
          <w:rFonts w:cs="Times New Roman"/>
          <w:szCs w:val="22"/>
        </w:rPr>
        <w:t>Poskytovatel bude poskytovat Služby prostřednictvím svých společníků, advokátů, advokátních koncipientů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právní předpisy, vlastním jménem a na účet Poskytovatele. Vyžaduje-li to povaha záležitosti, popřípadě v jiných odůvodněných případech, je Poskytovatel oprávněn k poskytnutí Služby využít i externí spolupracovníky za podmínek dle této Smlouvy.</w:t>
      </w:r>
      <w:bookmarkEnd w:id="6"/>
    </w:p>
    <w:p w14:paraId="171A41D0" w14:textId="77777777" w:rsidR="00D241CD" w:rsidRPr="00F11A07" w:rsidRDefault="00D241CD" w:rsidP="00D241CD">
      <w:pPr>
        <w:pStyle w:val="Clanek11"/>
        <w:rPr>
          <w:szCs w:val="22"/>
        </w:rPr>
      </w:pPr>
      <w:bookmarkStart w:id="7" w:name="_Ref235440114"/>
      <w:r w:rsidRPr="00F11A07">
        <w:rPr>
          <w:rFonts w:cs="Times New Roman"/>
          <w:szCs w:val="22"/>
        </w:rPr>
        <w:t>Základní tým Poskytovatele určený pro poskytování Služeb na základě této Smlouvy budou tvořit:</w:t>
      </w:r>
      <w:bookmarkEnd w:id="7"/>
    </w:p>
    <w:p w14:paraId="655B9909" w14:textId="64CC853C" w:rsidR="00D241CD" w:rsidRPr="00F11A07" w:rsidRDefault="006D4548" w:rsidP="00D241CD">
      <w:pPr>
        <w:pStyle w:val="Odrazkapro1a11"/>
        <w:keepNext w:val="0"/>
        <w:rPr>
          <w:szCs w:val="22"/>
        </w:rPr>
      </w:pPr>
      <w:proofErr w:type="spellStart"/>
      <w:r>
        <w:rPr>
          <w:b/>
          <w:bCs/>
          <w:szCs w:val="22"/>
        </w:rPr>
        <w:t>xxx</w:t>
      </w:r>
      <w:proofErr w:type="spellEnd"/>
      <w:r w:rsidR="00D241CD" w:rsidRPr="00F11A07">
        <w:rPr>
          <w:szCs w:val="22"/>
        </w:rPr>
        <w:t xml:space="preserve">, </w:t>
      </w:r>
      <w:r w:rsidR="00D844DE" w:rsidRPr="00F11A07">
        <w:rPr>
          <w:szCs w:val="22"/>
        </w:rPr>
        <w:t xml:space="preserve">partner </w:t>
      </w:r>
      <w:r w:rsidR="00D241CD" w:rsidRPr="00F11A07">
        <w:rPr>
          <w:szCs w:val="22"/>
        </w:rPr>
        <w:t>a společník kanceláře,</w:t>
      </w:r>
      <w:r w:rsidR="00D844DE" w:rsidRPr="00F11A07">
        <w:rPr>
          <w:szCs w:val="22"/>
        </w:rPr>
        <w:t xml:space="preserve"> a</w:t>
      </w:r>
    </w:p>
    <w:p w14:paraId="060ACB42" w14:textId="2743082B" w:rsidR="00D241CD" w:rsidRPr="00F11A07" w:rsidRDefault="006D4548" w:rsidP="00D241CD">
      <w:pPr>
        <w:pStyle w:val="Odrazkapro1a11"/>
        <w:keepNext w:val="0"/>
        <w:rPr>
          <w:szCs w:val="22"/>
        </w:rPr>
      </w:pPr>
      <w:r>
        <w:rPr>
          <w:b/>
          <w:bCs/>
          <w:szCs w:val="22"/>
        </w:rPr>
        <w:t>xxx</w:t>
      </w:r>
      <w:r w:rsidR="00D844DE" w:rsidRPr="00F11A07">
        <w:rPr>
          <w:b/>
          <w:bCs/>
          <w:szCs w:val="22"/>
        </w:rPr>
        <w:t>, LL.M.</w:t>
      </w:r>
      <w:r w:rsidR="00D241CD" w:rsidRPr="00F11A07">
        <w:rPr>
          <w:szCs w:val="22"/>
        </w:rPr>
        <w:t xml:space="preserve">, </w:t>
      </w:r>
      <w:r w:rsidR="00D844DE" w:rsidRPr="00F11A07">
        <w:rPr>
          <w:szCs w:val="22"/>
        </w:rPr>
        <w:t xml:space="preserve">vedoucí </w:t>
      </w:r>
      <w:r w:rsidR="00D241CD" w:rsidRPr="00F11A07">
        <w:rPr>
          <w:szCs w:val="22"/>
        </w:rPr>
        <w:t>advokát</w:t>
      </w:r>
      <w:r w:rsidR="00D844DE" w:rsidRPr="00F11A07">
        <w:rPr>
          <w:szCs w:val="22"/>
        </w:rPr>
        <w:t>.</w:t>
      </w:r>
    </w:p>
    <w:p w14:paraId="7A79B643" w14:textId="77777777" w:rsidR="00D241CD" w:rsidRPr="00F11A07" w:rsidRDefault="00D241CD" w:rsidP="00D241CD">
      <w:pPr>
        <w:pStyle w:val="Clanek11"/>
        <w:rPr>
          <w:szCs w:val="22"/>
        </w:rPr>
      </w:pPr>
      <w:bookmarkStart w:id="8" w:name="_Ref375266116"/>
      <w:r w:rsidRPr="00F11A07">
        <w:rPr>
          <w:rFonts w:cs="Times New Roman"/>
          <w:szCs w:val="22"/>
        </w:rPr>
        <w:t>Personální složení určeného právního týmu může být rozšířeno nebo změněno, zejména bude-li si to vyžadovat povaha nebo rozsah práce, přičemž Poskytovatel bude dbát na zachování maximální efektivnosti poskytování Služeb a na úsporu nákladů pro Klienta.</w:t>
      </w:r>
      <w:bookmarkEnd w:id="8"/>
    </w:p>
    <w:p w14:paraId="2D884735" w14:textId="77777777" w:rsidR="00D241CD" w:rsidRPr="00F11A07" w:rsidRDefault="00D241CD" w:rsidP="00D241CD">
      <w:pPr>
        <w:pStyle w:val="Nadpis1"/>
        <w:rPr>
          <w:szCs w:val="22"/>
        </w:rPr>
      </w:pPr>
      <w:r w:rsidRPr="00F11A07">
        <w:rPr>
          <w:szCs w:val="22"/>
        </w:rPr>
        <w:t>ZADÁVÁNÍ A PŘEBÍRÁNÍ POKYNŮ</w:t>
      </w:r>
    </w:p>
    <w:p w14:paraId="602080BD" w14:textId="48F71503" w:rsidR="00D241CD" w:rsidRPr="00F11A07" w:rsidRDefault="00D241CD" w:rsidP="00D241CD">
      <w:pPr>
        <w:pStyle w:val="Clanek11"/>
        <w:widowControl/>
        <w:rPr>
          <w:szCs w:val="22"/>
        </w:rPr>
      </w:pPr>
      <w:bookmarkStart w:id="9" w:name="_Ref171747677"/>
      <w:r w:rsidRPr="00F11A07">
        <w:rPr>
          <w:rFonts w:cs="Times New Roman"/>
          <w:szCs w:val="22"/>
        </w:rPr>
        <w:t>Jménem Klienta je oprávněn udělovat Poskytovateli pokyny</w:t>
      </w:r>
      <w:r w:rsidR="003A7E8F" w:rsidRPr="00F11A07">
        <w:rPr>
          <w:rFonts w:cs="Times New Roman"/>
          <w:szCs w:val="22"/>
        </w:rPr>
        <w:t xml:space="preserve"> </w:t>
      </w:r>
      <w:r w:rsidR="003A7E8F" w:rsidRPr="00E369B4">
        <w:rPr>
          <w:rFonts w:cs="Times New Roman"/>
          <w:szCs w:val="22"/>
        </w:rPr>
        <w:t xml:space="preserve">RNDr. Petr </w:t>
      </w:r>
      <w:proofErr w:type="spellStart"/>
      <w:r w:rsidR="003A7E8F" w:rsidRPr="00E369B4">
        <w:rPr>
          <w:rFonts w:cs="Times New Roman"/>
          <w:szCs w:val="22"/>
        </w:rPr>
        <w:t>Dráber</w:t>
      </w:r>
      <w:proofErr w:type="spellEnd"/>
      <w:r w:rsidR="003A7E8F" w:rsidRPr="00E369B4">
        <w:rPr>
          <w:rFonts w:cs="Times New Roman"/>
          <w:szCs w:val="22"/>
        </w:rPr>
        <w:t>, DrSc.</w:t>
      </w:r>
      <w:r w:rsidR="00991E97" w:rsidRPr="00E369B4">
        <w:rPr>
          <w:rFonts w:cs="Times New Roman"/>
          <w:szCs w:val="22"/>
        </w:rPr>
        <w:t xml:space="preserve"> (</w:t>
      </w:r>
      <w:r w:rsidR="003A7E8F" w:rsidRPr="00E369B4">
        <w:rPr>
          <w:rFonts w:cs="Times New Roman"/>
          <w:szCs w:val="22"/>
        </w:rPr>
        <w:t>ředitel ústavu</w:t>
      </w:r>
      <w:r w:rsidR="00991E97" w:rsidRPr="00E369B4">
        <w:rPr>
          <w:rFonts w:cs="Times New Roman"/>
          <w:szCs w:val="22"/>
        </w:rPr>
        <w:t>),</w:t>
      </w:r>
      <w:r w:rsidRPr="00E369B4">
        <w:rPr>
          <w:rFonts w:cs="Times New Roman"/>
          <w:szCs w:val="22"/>
        </w:rPr>
        <w:t xml:space="preserve"> </w:t>
      </w:r>
      <w:proofErr w:type="spellStart"/>
      <w:r w:rsidR="00F94146">
        <w:rPr>
          <w:rFonts w:cs="Times New Roman"/>
          <w:szCs w:val="22"/>
        </w:rPr>
        <w:t>xxx</w:t>
      </w:r>
      <w:proofErr w:type="spellEnd"/>
      <w:r w:rsidR="00991E97" w:rsidRPr="00E369B4">
        <w:rPr>
          <w:rFonts w:cs="Times New Roman"/>
          <w:szCs w:val="22"/>
        </w:rPr>
        <w:t xml:space="preserve"> (zástupce ředitele pro administrativní záležitosti), </w:t>
      </w:r>
      <w:proofErr w:type="spellStart"/>
      <w:r w:rsidR="00F94146">
        <w:rPr>
          <w:rFonts w:cs="Times New Roman"/>
          <w:szCs w:val="22"/>
        </w:rPr>
        <w:t>xxx</w:t>
      </w:r>
      <w:proofErr w:type="spellEnd"/>
      <w:r w:rsidR="00991E97" w:rsidRPr="00F11A07">
        <w:rPr>
          <w:rFonts w:cs="Times New Roman"/>
          <w:szCs w:val="22"/>
        </w:rPr>
        <w:t xml:space="preserve"> (právnička)</w:t>
      </w:r>
      <w:r w:rsidR="003A7E8F" w:rsidRPr="00F11A07">
        <w:rPr>
          <w:rFonts w:cs="Times New Roman"/>
          <w:szCs w:val="22"/>
        </w:rPr>
        <w:t xml:space="preserve">, </w:t>
      </w:r>
      <w:r w:rsidRPr="00F11A07">
        <w:rPr>
          <w:rFonts w:cs="Times New Roman"/>
          <w:szCs w:val="22"/>
        </w:rPr>
        <w:t>popř. další osoby, jejichž jména Klient písemně oznámí Poskytovateli spolu se sdělením o jejich oprávnění k tomuto jednání za Klienta.</w:t>
      </w:r>
      <w:bookmarkEnd w:id="9"/>
    </w:p>
    <w:p w14:paraId="59F7AD3F" w14:textId="209A4E5C" w:rsidR="00D241CD" w:rsidRPr="00F11A07" w:rsidRDefault="00D241CD" w:rsidP="00D241CD">
      <w:pPr>
        <w:pStyle w:val="Clanek11"/>
        <w:widowControl/>
        <w:rPr>
          <w:szCs w:val="22"/>
        </w:rPr>
      </w:pPr>
      <w:r w:rsidRPr="00F11A07">
        <w:rPr>
          <w:rFonts w:cs="Times New Roman"/>
          <w:szCs w:val="22"/>
        </w:rPr>
        <w:t xml:space="preserve">Úkoly zadané jinou osobou, než je uvedena v článku </w:t>
      </w:r>
      <w:r w:rsidRPr="00F11A07">
        <w:rPr>
          <w:rFonts w:cs="Times New Roman"/>
          <w:szCs w:val="22"/>
        </w:rPr>
        <w:fldChar w:fldCharType="begin"/>
      </w:r>
      <w:r w:rsidRPr="00F11A07">
        <w:rPr>
          <w:rFonts w:cs="Times New Roman"/>
          <w:szCs w:val="22"/>
        </w:rPr>
        <w:instrText xml:space="preserve"> REF _Ref171747677 \r \h  \* MERGEFORMAT </w:instrText>
      </w:r>
      <w:r w:rsidRPr="00F11A07">
        <w:rPr>
          <w:rFonts w:cs="Times New Roman"/>
          <w:szCs w:val="22"/>
        </w:rPr>
      </w:r>
      <w:r w:rsidRPr="00F11A07">
        <w:rPr>
          <w:rFonts w:cs="Times New Roman"/>
          <w:szCs w:val="22"/>
        </w:rPr>
        <w:fldChar w:fldCharType="separate"/>
      </w:r>
      <w:r w:rsidR="00D844DE" w:rsidRPr="00F11A07">
        <w:rPr>
          <w:rFonts w:cs="Times New Roman"/>
          <w:szCs w:val="22"/>
        </w:rPr>
        <w:t>3.1</w:t>
      </w:r>
      <w:r w:rsidRPr="00F11A07">
        <w:rPr>
          <w:rFonts w:cs="Times New Roman"/>
          <w:szCs w:val="22"/>
        </w:rPr>
        <w:fldChar w:fldCharType="end"/>
      </w:r>
      <w:r w:rsidRPr="00F11A07">
        <w:rPr>
          <w:rFonts w:cs="Times New Roman"/>
          <w:szCs w:val="22"/>
        </w:rPr>
        <w:t>, je Poskytovatel oprávněn plnit jen, je-li zřejmé, že nelze včas opatřit souhlas oprávněné osoby a že hrozí nebezpečí z prodlení. V</w:t>
      </w:r>
      <w:r w:rsidR="00BC3527" w:rsidRPr="00F11A07">
        <w:rPr>
          <w:rFonts w:cs="Times New Roman"/>
          <w:szCs w:val="22"/>
        </w:rPr>
        <w:t> </w:t>
      </w:r>
      <w:r w:rsidRPr="00F11A07">
        <w:rPr>
          <w:rFonts w:cs="Times New Roman"/>
          <w:szCs w:val="22"/>
        </w:rPr>
        <w:t xml:space="preserve">takovém případě oznámí Poskytovatel tuto skutečnost bez zbytečného odkladu osobě uvedené v článku </w:t>
      </w:r>
      <w:r w:rsidRPr="00F11A07">
        <w:rPr>
          <w:rFonts w:cs="Times New Roman"/>
          <w:szCs w:val="22"/>
        </w:rPr>
        <w:fldChar w:fldCharType="begin"/>
      </w:r>
      <w:r w:rsidRPr="00F11A07">
        <w:rPr>
          <w:rFonts w:cs="Times New Roman"/>
          <w:szCs w:val="22"/>
        </w:rPr>
        <w:instrText xml:space="preserve"> REF _Ref171747677 \r \h  \* MERGEFORMAT </w:instrText>
      </w:r>
      <w:r w:rsidRPr="00F11A07">
        <w:rPr>
          <w:rFonts w:cs="Times New Roman"/>
          <w:szCs w:val="22"/>
        </w:rPr>
      </w:r>
      <w:r w:rsidRPr="00F11A07">
        <w:rPr>
          <w:rFonts w:cs="Times New Roman"/>
          <w:szCs w:val="22"/>
        </w:rPr>
        <w:fldChar w:fldCharType="separate"/>
      </w:r>
      <w:r w:rsidR="00D844DE" w:rsidRPr="00F11A07">
        <w:rPr>
          <w:rFonts w:cs="Times New Roman"/>
          <w:szCs w:val="22"/>
        </w:rPr>
        <w:t>3.1</w:t>
      </w:r>
      <w:r w:rsidRPr="00F11A07">
        <w:rPr>
          <w:rFonts w:cs="Times New Roman"/>
          <w:szCs w:val="22"/>
        </w:rPr>
        <w:fldChar w:fldCharType="end"/>
      </w:r>
      <w:r w:rsidRPr="00F11A07">
        <w:rPr>
          <w:rFonts w:cs="Times New Roman"/>
          <w:szCs w:val="22"/>
        </w:rPr>
        <w:t>.</w:t>
      </w:r>
    </w:p>
    <w:p w14:paraId="0DBE3AE2" w14:textId="77777777" w:rsidR="00DD7445" w:rsidRPr="00F11A07" w:rsidRDefault="00DD7445" w:rsidP="00DD7445">
      <w:pPr>
        <w:pStyle w:val="Clanek11"/>
        <w:rPr>
          <w:szCs w:val="22"/>
        </w:rPr>
      </w:pPr>
      <w:r w:rsidRPr="00F11A07">
        <w:rPr>
          <w:szCs w:val="22"/>
        </w:rPr>
        <w:t xml:space="preserve">Jednotlivé pokyny a zadání Klienta k poskytování Služeb a jejich akceptace Poskytovatelem </w:t>
      </w:r>
      <w:r w:rsidRPr="00F11A07">
        <w:rPr>
          <w:szCs w:val="22"/>
        </w:rPr>
        <w:lastRenderedPageBreak/>
        <w:t>nepředstavují samostatné smlouvy, ale realizaci této smlouvy.</w:t>
      </w:r>
    </w:p>
    <w:p w14:paraId="55E5A048" w14:textId="1FBE1674" w:rsidR="009E6F4E" w:rsidRPr="00F11A07" w:rsidRDefault="009E6F4E" w:rsidP="009E6F4E">
      <w:pPr>
        <w:pStyle w:val="Clanek11"/>
        <w:rPr>
          <w:szCs w:val="22"/>
        </w:rPr>
      </w:pPr>
      <w:bookmarkStart w:id="10" w:name="_DV_M58"/>
      <w:bookmarkEnd w:id="10"/>
      <w:r w:rsidRPr="00F11A07">
        <w:rPr>
          <w:szCs w:val="22"/>
        </w:rPr>
        <w:t>Klient je povinen včasně a přesně informovat Poskytovatele o všech skutečnostech podstatných pro účinné poskytování Služeb a odpovídá za správnost a úplnost poskytnutých podkladů a</w:t>
      </w:r>
      <w:r w:rsidR="000C50B1" w:rsidRPr="00F11A07">
        <w:rPr>
          <w:szCs w:val="22"/>
        </w:rPr>
        <w:t> </w:t>
      </w:r>
      <w:r w:rsidRPr="00F11A07">
        <w:rPr>
          <w:szCs w:val="22"/>
        </w:rPr>
        <w:t>informací. Poskytovatel není oprávněn ověřovat pravdivost ani úplnost skutkových informací poskytnutých Klientem, podklady a informace poskytnuté Klientem Poskytovatel po skutkové stránce nepřezkoumává a vychází z informací Klienta s výjimkou případů, kdy Klient o</w:t>
      </w:r>
      <w:r w:rsidR="000C50B1" w:rsidRPr="00F11A07">
        <w:rPr>
          <w:szCs w:val="22"/>
        </w:rPr>
        <w:t> </w:t>
      </w:r>
      <w:r w:rsidRPr="00F11A07">
        <w:rPr>
          <w:szCs w:val="22"/>
        </w:rPr>
        <w:t>přezkoumání Poskytovatele výslovně písemně požádá a Poskytovatel s takovým přezkoumáním písemně souhlasí. Poskytovatel v této souvislosti upozorňuje Klienta, že dle českého právního řádu je zejm. nepřípustné předložení pozměněného nebo dokonce padělaného důkazního prostředku v souvislosti s řízením před soudem, před mezinárodním soudním orgánem nebo trestním řízením („</w:t>
      </w:r>
      <w:r w:rsidRPr="00F11A07">
        <w:rPr>
          <w:b/>
          <w:szCs w:val="22"/>
        </w:rPr>
        <w:t>Řízení</w:t>
      </w:r>
      <w:r w:rsidRPr="00F11A07">
        <w:rPr>
          <w:szCs w:val="22"/>
        </w:rPr>
        <w:t>“), a Klient se proto zavazuje předem písemně sdělit Poskytovateli veškeré Klientovi známé informace či pochybnosti o možnosti, že by vůči důkazním prostředkům předkládaným v souvislosti s Řízením mohlo být namítnuto, že jsou pozměněné nebo padělané. Bez tohoto předchozího písemného sdělení Poskytovatel neodpovídá za věcnou správnost a</w:t>
      </w:r>
      <w:r w:rsidR="000C50B1" w:rsidRPr="00F11A07">
        <w:rPr>
          <w:szCs w:val="22"/>
        </w:rPr>
        <w:t> </w:t>
      </w:r>
      <w:r w:rsidRPr="00F11A07">
        <w:rPr>
          <w:szCs w:val="22"/>
        </w:rPr>
        <w:t>autentičnost důkazů, které v Řízení podle pokynu Klienta předloží.</w:t>
      </w:r>
    </w:p>
    <w:p w14:paraId="6542BC20" w14:textId="77777777" w:rsidR="00D241CD" w:rsidRPr="00F11A07" w:rsidRDefault="00D241CD" w:rsidP="00D241CD">
      <w:pPr>
        <w:pStyle w:val="Nadpis1"/>
        <w:rPr>
          <w:szCs w:val="22"/>
        </w:rPr>
      </w:pPr>
      <w:r w:rsidRPr="00F11A07">
        <w:rPr>
          <w:szCs w:val="22"/>
        </w:rPr>
        <w:t>Odměna</w:t>
      </w:r>
    </w:p>
    <w:p w14:paraId="4C380CE3" w14:textId="77777777" w:rsidR="00D241CD" w:rsidRPr="00F11A07" w:rsidRDefault="00D241CD" w:rsidP="00D241CD">
      <w:pPr>
        <w:pStyle w:val="Clanek11"/>
        <w:widowControl/>
        <w:rPr>
          <w:szCs w:val="22"/>
        </w:rPr>
      </w:pPr>
      <w:r w:rsidRPr="00F11A07">
        <w:rPr>
          <w:rFonts w:cs="Times New Roman"/>
          <w:szCs w:val="22"/>
        </w:rPr>
        <w:t>Na základě vyhlášky Ministerstva spravedlnosti č. 177/1996 Sb., o odměnách advokátů a náhradách advokátů za poskytování právních služeb (advokátní tarif), ve znění pozdějších předpisů („</w:t>
      </w:r>
      <w:r w:rsidRPr="00F11A07">
        <w:rPr>
          <w:rFonts w:cs="Times New Roman"/>
          <w:b/>
          <w:szCs w:val="22"/>
        </w:rPr>
        <w:t>Advokátní tarif</w:t>
      </w:r>
      <w:r w:rsidRPr="00F11A07">
        <w:rPr>
          <w:rFonts w:cs="Times New Roman"/>
          <w:szCs w:val="22"/>
        </w:rPr>
        <w:t>“), Strany sjednaly smluvní odměnu za Služby poskytnuté na základě této Smlouvy účtovanou za každ</w:t>
      </w:r>
      <w:r w:rsidR="005468D2" w:rsidRPr="00F11A07">
        <w:rPr>
          <w:rFonts w:cs="Times New Roman"/>
          <w:szCs w:val="22"/>
        </w:rPr>
        <w:t>ých od</w:t>
      </w:r>
      <w:r w:rsidRPr="00F11A07">
        <w:rPr>
          <w:rFonts w:cs="Times New Roman"/>
          <w:szCs w:val="22"/>
        </w:rPr>
        <w:t>pracovan</w:t>
      </w:r>
      <w:r w:rsidR="005468D2" w:rsidRPr="00F11A07">
        <w:rPr>
          <w:rFonts w:cs="Times New Roman"/>
          <w:szCs w:val="22"/>
        </w:rPr>
        <w:t>ých 15 minut</w:t>
      </w:r>
      <w:r w:rsidRPr="00F11A07">
        <w:rPr>
          <w:rFonts w:cs="Times New Roman"/>
          <w:szCs w:val="22"/>
        </w:rPr>
        <w:t xml:space="preserve"> na základě pevných hodinových sazeb.</w:t>
      </w:r>
    </w:p>
    <w:p w14:paraId="7A16A233" w14:textId="7F702E04" w:rsidR="00D844DE" w:rsidRPr="00F11A07" w:rsidRDefault="00B0306E" w:rsidP="00D844DE">
      <w:pPr>
        <w:pStyle w:val="Clanek11"/>
        <w:widowControl/>
        <w:rPr>
          <w:szCs w:val="22"/>
        </w:rPr>
      </w:pPr>
      <w:r w:rsidRPr="00F11A07">
        <w:rPr>
          <w:szCs w:val="22"/>
        </w:rPr>
        <w:t xml:space="preserve">Strany se dohodly, že </w:t>
      </w:r>
      <w:r w:rsidR="00E456F7" w:rsidRPr="00F11A07">
        <w:rPr>
          <w:szCs w:val="22"/>
        </w:rPr>
        <w:t xml:space="preserve">pro všechny poskytované </w:t>
      </w:r>
      <w:r w:rsidRPr="00F11A07">
        <w:rPr>
          <w:szCs w:val="22"/>
        </w:rPr>
        <w:t>Služ</w:t>
      </w:r>
      <w:r w:rsidR="00E456F7" w:rsidRPr="00F11A07">
        <w:rPr>
          <w:szCs w:val="22"/>
        </w:rPr>
        <w:t xml:space="preserve">by </w:t>
      </w:r>
      <w:r w:rsidRPr="00F11A07">
        <w:rPr>
          <w:szCs w:val="22"/>
        </w:rPr>
        <w:t>bude účtována p</w:t>
      </w:r>
      <w:r w:rsidR="00D844DE" w:rsidRPr="00F11A07">
        <w:rPr>
          <w:szCs w:val="22"/>
        </w:rPr>
        <w:t xml:space="preserve">evná </w:t>
      </w:r>
      <w:r w:rsidRPr="00F11A07">
        <w:rPr>
          <w:szCs w:val="22"/>
        </w:rPr>
        <w:t xml:space="preserve">a jednotná </w:t>
      </w:r>
      <w:r w:rsidR="00D844DE" w:rsidRPr="00F11A07">
        <w:rPr>
          <w:szCs w:val="22"/>
        </w:rPr>
        <w:t xml:space="preserve">hodinová sazba ve výši </w:t>
      </w:r>
      <w:r w:rsidR="002A071D" w:rsidRPr="00F11A07">
        <w:rPr>
          <w:b/>
          <w:bCs w:val="0"/>
          <w:szCs w:val="22"/>
        </w:rPr>
        <w:t>3</w:t>
      </w:r>
      <w:r w:rsidR="00420E7C" w:rsidRPr="00F11A07">
        <w:rPr>
          <w:b/>
          <w:bCs w:val="0"/>
          <w:szCs w:val="22"/>
        </w:rPr>
        <w:t>.</w:t>
      </w:r>
      <w:r w:rsidR="002A071D" w:rsidRPr="00F11A07">
        <w:rPr>
          <w:b/>
          <w:bCs w:val="0"/>
          <w:szCs w:val="22"/>
        </w:rPr>
        <w:t>500</w:t>
      </w:r>
      <w:r w:rsidR="00D844DE" w:rsidRPr="00F11A07">
        <w:rPr>
          <w:b/>
          <w:bCs w:val="0"/>
          <w:szCs w:val="22"/>
        </w:rPr>
        <w:t>,- Kč</w:t>
      </w:r>
      <w:r w:rsidR="00541C61" w:rsidRPr="00F11A07">
        <w:rPr>
          <w:rFonts w:cs="Times New Roman"/>
          <w:szCs w:val="22"/>
        </w:rPr>
        <w:t xml:space="preserve"> bez DPH</w:t>
      </w:r>
      <w:r w:rsidR="00991E97" w:rsidRPr="00F11A07">
        <w:rPr>
          <w:rFonts w:cs="Times New Roman"/>
          <w:szCs w:val="22"/>
        </w:rPr>
        <w:t>, přičemž tato částka</w:t>
      </w:r>
      <w:r w:rsidR="00541C61" w:rsidRPr="00F11A07">
        <w:rPr>
          <w:rFonts w:cs="Times New Roman"/>
          <w:szCs w:val="22"/>
        </w:rPr>
        <w:t xml:space="preserve"> nezahrnuj</w:t>
      </w:r>
      <w:r w:rsidR="00991E97" w:rsidRPr="00F11A07">
        <w:rPr>
          <w:rFonts w:cs="Times New Roman"/>
          <w:szCs w:val="22"/>
        </w:rPr>
        <w:t>e</w:t>
      </w:r>
      <w:r w:rsidR="00541C61" w:rsidRPr="00F11A07">
        <w:rPr>
          <w:rFonts w:cs="Times New Roman"/>
          <w:szCs w:val="22"/>
        </w:rPr>
        <w:t xml:space="preserve"> případné Hotové výdaje (viz definice níže) a náhradu za promeškaný čas.</w:t>
      </w:r>
      <w:r w:rsidR="00991E97" w:rsidRPr="00F11A07">
        <w:rPr>
          <w:szCs w:val="22"/>
        </w:rPr>
        <w:t xml:space="preserve"> Celková výše odměny za Služby (vč. případných Hotových výdajů a náhrad za promeškaný čas) poskytnuté Klientovi dle této Smlouvy nepřesáhne částku </w:t>
      </w:r>
      <w:r w:rsidR="00991E97" w:rsidRPr="00F11A07">
        <w:rPr>
          <w:rFonts w:cs="Times New Roman"/>
          <w:szCs w:val="22"/>
          <w:lang w:eastAsia="cs-CZ"/>
        </w:rPr>
        <w:t xml:space="preserve">500.000,- </w:t>
      </w:r>
      <w:r w:rsidR="00991E97" w:rsidRPr="00F11A07">
        <w:rPr>
          <w:szCs w:val="22"/>
        </w:rPr>
        <w:t>Kč bez DPH („</w:t>
      </w:r>
      <w:r w:rsidR="00991E97" w:rsidRPr="00F11A07">
        <w:rPr>
          <w:b/>
          <w:bCs w:val="0"/>
          <w:szCs w:val="22"/>
        </w:rPr>
        <w:t>Cenový strop</w:t>
      </w:r>
      <w:r w:rsidR="00991E97" w:rsidRPr="00F11A07">
        <w:rPr>
          <w:szCs w:val="22"/>
        </w:rPr>
        <w:t>“).</w:t>
      </w:r>
    </w:p>
    <w:p w14:paraId="4FF80566" w14:textId="77777777" w:rsidR="00D241CD" w:rsidRPr="00F11A07" w:rsidRDefault="00D241CD" w:rsidP="00D241CD">
      <w:pPr>
        <w:pStyle w:val="Nadpis1"/>
        <w:rPr>
          <w:szCs w:val="22"/>
        </w:rPr>
      </w:pPr>
      <w:bookmarkStart w:id="11" w:name="_Ref395606336"/>
      <w:r w:rsidRPr="00F11A07">
        <w:rPr>
          <w:szCs w:val="22"/>
        </w:rPr>
        <w:t>NÁHRADA hotových výdajů</w:t>
      </w:r>
      <w:bookmarkEnd w:id="11"/>
    </w:p>
    <w:p w14:paraId="67223518" w14:textId="1A496929" w:rsidR="00D241CD" w:rsidRPr="00F11A07" w:rsidRDefault="00D241CD" w:rsidP="00D844DE">
      <w:pPr>
        <w:pStyle w:val="Clanek11"/>
        <w:widowControl/>
        <w:rPr>
          <w:szCs w:val="22"/>
        </w:rPr>
      </w:pPr>
      <w:r w:rsidRPr="00F11A07">
        <w:rPr>
          <w:rFonts w:cs="Times New Roman"/>
          <w:szCs w:val="22"/>
        </w:rPr>
        <w:t>Vedle odměny má Poskytovatel vůči Klientovi rovněž nárok na úhradu veškerých hotových výdajů a nákladů spojených s poskytováním právních služeb dle této Smlouvy („</w:t>
      </w:r>
      <w:r w:rsidRPr="00F11A07">
        <w:rPr>
          <w:rFonts w:cs="Times New Roman"/>
          <w:b/>
          <w:szCs w:val="22"/>
        </w:rPr>
        <w:t>Hotové výdaje</w:t>
      </w:r>
      <w:r w:rsidRPr="00F11A07">
        <w:rPr>
          <w:rFonts w:cs="Times New Roman"/>
          <w:szCs w:val="22"/>
        </w:rPr>
        <w:t xml:space="preserve">“). Hotové výdaje zahrnují zejména cestovní náklady, náklady na tisk, kopírování, poštovní a telekomunikační služby, soudní a správní poplatky, a dále odměnu a náklady externích znalců, překladatelů a dalších odborníků, které Klient odsouhlasil a jejich odměnu a náklady </w:t>
      </w:r>
      <w:r w:rsidR="00ED315B" w:rsidRPr="00F11A07">
        <w:rPr>
          <w:rFonts w:cs="Times New Roman"/>
          <w:szCs w:val="22"/>
        </w:rPr>
        <w:t xml:space="preserve">dle dohody s Klientem </w:t>
      </w:r>
      <w:r w:rsidRPr="00F11A07">
        <w:rPr>
          <w:rFonts w:cs="Times New Roman"/>
          <w:szCs w:val="22"/>
        </w:rPr>
        <w:t>uhradil</w:t>
      </w:r>
      <w:r w:rsidRPr="00F11A07">
        <w:rPr>
          <w:rFonts w:cs="Times New Roman"/>
          <w:bCs w:val="0"/>
          <w:iCs w:val="0"/>
          <w:szCs w:val="22"/>
        </w:rPr>
        <w:t xml:space="preserve"> </w:t>
      </w:r>
      <w:r w:rsidRPr="00F11A07">
        <w:rPr>
          <w:rFonts w:cs="Times New Roman"/>
          <w:szCs w:val="22"/>
        </w:rPr>
        <w:t xml:space="preserve">či má uhradit Poskytovatel za Klienta. </w:t>
      </w:r>
    </w:p>
    <w:p w14:paraId="265BC6BE" w14:textId="77777777" w:rsidR="00D241CD" w:rsidRPr="00F11A07" w:rsidRDefault="00D241CD" w:rsidP="00D241CD">
      <w:pPr>
        <w:pStyle w:val="Nadpis1"/>
        <w:rPr>
          <w:szCs w:val="22"/>
        </w:rPr>
      </w:pPr>
      <w:bookmarkStart w:id="12" w:name="_Ref166846977"/>
      <w:r w:rsidRPr="00F11A07">
        <w:rPr>
          <w:szCs w:val="22"/>
        </w:rPr>
        <w:t>Vyúčtování a platební podmínky</w:t>
      </w:r>
      <w:bookmarkEnd w:id="12"/>
    </w:p>
    <w:p w14:paraId="29E42584" w14:textId="5D090F0D" w:rsidR="00D241CD" w:rsidRPr="00F11A07" w:rsidRDefault="00D241CD" w:rsidP="00D241CD">
      <w:pPr>
        <w:pStyle w:val="Clanek11"/>
        <w:widowControl/>
        <w:rPr>
          <w:szCs w:val="22"/>
        </w:rPr>
      </w:pPr>
      <w:r w:rsidRPr="00F11A07">
        <w:rPr>
          <w:rFonts w:cs="Times New Roman"/>
          <w:szCs w:val="22"/>
        </w:rPr>
        <w:t>Odměna za právní služby, náhrada za promeškaný čas a Hotové výdaje budou hrazeny na základě daňového dokladu vystaveného Klientovi</w:t>
      </w:r>
      <w:r w:rsidR="00850383" w:rsidRPr="00F11A07">
        <w:rPr>
          <w:rFonts w:cs="Times New Roman"/>
          <w:szCs w:val="22"/>
        </w:rPr>
        <w:t>, se splatností 30 dní ode dne jeho doručení Klientovi</w:t>
      </w:r>
      <w:r w:rsidRPr="00F11A07">
        <w:rPr>
          <w:rFonts w:cs="Times New Roman"/>
          <w:szCs w:val="22"/>
        </w:rPr>
        <w:t>. Za poskytnuté Služby je Poskytovatel oprávněn účtovat (fakturovat) měsíčně. Faktura bude vystavována ve standardním formátu Poskytovatele a bude k ní vždy připojen přehled doby odpracované jednotlivými právníky a ostatními odborníky Poskytovatele s uvedením, o jaký typ práce se jednalo a kdo práci prováděl, kolik hodin vyúčtoval a jaká je jeho hodinová sazba.</w:t>
      </w:r>
    </w:p>
    <w:p w14:paraId="396CA94D" w14:textId="77777777" w:rsidR="00D241CD" w:rsidRPr="00F11A07" w:rsidRDefault="00D241CD" w:rsidP="00D241CD">
      <w:pPr>
        <w:pStyle w:val="Clanek11"/>
        <w:widowControl/>
        <w:rPr>
          <w:rFonts w:cs="Times New Roman"/>
          <w:szCs w:val="22"/>
        </w:rPr>
      </w:pPr>
      <w:r w:rsidRPr="00F11A07">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18A7CDE9" w14:textId="0ACF7971" w:rsidR="00D241CD" w:rsidRPr="00F11A07" w:rsidRDefault="00D241CD" w:rsidP="00D241CD">
      <w:pPr>
        <w:pStyle w:val="Clanek11"/>
        <w:rPr>
          <w:szCs w:val="22"/>
        </w:rPr>
      </w:pPr>
      <w:r w:rsidRPr="00F11A07">
        <w:rPr>
          <w:rFonts w:cs="Times New Roman"/>
          <w:szCs w:val="22"/>
        </w:rPr>
        <w:t xml:space="preserve">Poskytovatel je oprávněn fakturované částky navýšit o </w:t>
      </w:r>
      <w:r w:rsidR="00F04916" w:rsidRPr="00F11A07">
        <w:rPr>
          <w:rFonts w:cs="Times New Roman"/>
          <w:szCs w:val="22"/>
        </w:rPr>
        <w:t>DPH</w:t>
      </w:r>
      <w:r w:rsidRPr="00F11A07">
        <w:rPr>
          <w:rFonts w:cs="Times New Roman"/>
          <w:szCs w:val="22"/>
        </w:rPr>
        <w:t xml:space="preserve">, a to ve výši stanovené příslušnými právními předpisy ke dni </w:t>
      </w:r>
      <w:r w:rsidRPr="00F11A07">
        <w:rPr>
          <w:szCs w:val="22"/>
        </w:rPr>
        <w:t>vzniku povinnosti přiznat daň</w:t>
      </w:r>
      <w:r w:rsidRPr="00F11A07">
        <w:rPr>
          <w:rFonts w:cs="Times New Roman"/>
          <w:szCs w:val="22"/>
        </w:rPr>
        <w:t>.</w:t>
      </w:r>
    </w:p>
    <w:p w14:paraId="78931C70" w14:textId="77777777" w:rsidR="00D241CD" w:rsidRPr="00F11A07" w:rsidRDefault="00D241CD" w:rsidP="00D241CD">
      <w:pPr>
        <w:pStyle w:val="Nadpis1"/>
        <w:rPr>
          <w:szCs w:val="22"/>
        </w:rPr>
      </w:pPr>
      <w:r w:rsidRPr="00F11A07">
        <w:rPr>
          <w:szCs w:val="22"/>
        </w:rPr>
        <w:lastRenderedPageBreak/>
        <w:t>Závěrečná ustanovení</w:t>
      </w:r>
    </w:p>
    <w:p w14:paraId="3EB6E8C0" w14:textId="30779A8C" w:rsidR="00D241CD" w:rsidRPr="00F11A07" w:rsidRDefault="00047D1B" w:rsidP="008656D7">
      <w:pPr>
        <w:pStyle w:val="Clanek11"/>
        <w:widowControl/>
        <w:rPr>
          <w:szCs w:val="22"/>
        </w:rPr>
      </w:pPr>
      <w:r w:rsidRPr="00F11A07">
        <w:rPr>
          <w:rFonts w:cs="Times New Roman"/>
          <w:szCs w:val="22"/>
        </w:rPr>
        <w:t>Tato Smlouva a právní vztahy založené touto Smlouvou se řídí českým právem.</w:t>
      </w:r>
      <w:r w:rsidR="00583EBB" w:rsidRPr="00F11A07">
        <w:rPr>
          <w:rFonts w:cs="Times New Roman"/>
          <w:szCs w:val="22"/>
        </w:rPr>
        <w:t xml:space="preserve"> </w:t>
      </w:r>
      <w:r w:rsidR="00D241CD" w:rsidRPr="00F11A07">
        <w:rPr>
          <w:rFonts w:cs="Times New Roman"/>
          <w:szCs w:val="22"/>
        </w:rPr>
        <w:t xml:space="preserve">Ustanovení obchodních zvyklostí se pro výklad této Smlouvy použijí až po ustanoveních Občanského zákoníku, či jiných právních předpisů a dále ustanoveních </w:t>
      </w:r>
      <w:r w:rsidR="008656D7" w:rsidRPr="00F11A07">
        <w:rPr>
          <w:rFonts w:cs="Times New Roman"/>
          <w:szCs w:val="22"/>
        </w:rPr>
        <w:t>s</w:t>
      </w:r>
      <w:r w:rsidR="00D241CD" w:rsidRPr="00F11A07">
        <w:rPr>
          <w:rFonts w:cs="Times New Roman"/>
          <w:szCs w:val="22"/>
        </w:rPr>
        <w:t xml:space="preserve">tavovských předpisů </w:t>
      </w:r>
      <w:r w:rsidR="008656D7" w:rsidRPr="00F11A07">
        <w:rPr>
          <w:rFonts w:cs="Times New Roman"/>
          <w:szCs w:val="22"/>
        </w:rPr>
        <w:t xml:space="preserve">České advokátní komory </w:t>
      </w:r>
      <w:r w:rsidR="00D241CD" w:rsidRPr="00F11A07">
        <w:rPr>
          <w:rFonts w:cs="Times New Roman"/>
          <w:szCs w:val="22"/>
        </w:rPr>
        <w:t xml:space="preserve">jako celku (přednost před obchodními zvyklostmi tedy mají i ta ustanovení těchto předpisů, která nemají donucující charakter). </w:t>
      </w:r>
    </w:p>
    <w:p w14:paraId="0A0BF588" w14:textId="051271FA" w:rsidR="00D241CD" w:rsidRPr="00F11A07" w:rsidRDefault="00D844DE" w:rsidP="008656D7">
      <w:pPr>
        <w:pStyle w:val="Clanek11"/>
        <w:widowControl/>
        <w:rPr>
          <w:szCs w:val="22"/>
        </w:rPr>
      </w:pPr>
      <w:r w:rsidRPr="00F11A07">
        <w:rPr>
          <w:rFonts w:cs="Times New Roman"/>
          <w:szCs w:val="22"/>
        </w:rPr>
        <w:t>Služby</w:t>
      </w:r>
      <w:r w:rsidR="00D241CD" w:rsidRPr="00F11A07">
        <w:rPr>
          <w:rFonts w:cs="Times New Roman"/>
          <w:szCs w:val="22"/>
        </w:rPr>
        <w:t xml:space="preserve"> poskytované na základě této Smlouvy jsou určeny výlučně pro potřeby a využití Klient</w:t>
      </w:r>
      <w:r w:rsidR="008656D7" w:rsidRPr="00F11A07">
        <w:rPr>
          <w:rFonts w:cs="Times New Roman"/>
          <w:szCs w:val="22"/>
        </w:rPr>
        <w:t>em</w:t>
      </w:r>
      <w:r w:rsidR="00D241CD" w:rsidRPr="00F11A07">
        <w:rPr>
          <w:rFonts w:cs="Times New Roman"/>
          <w:szCs w:val="22"/>
        </w:rPr>
        <w:t xml:space="preserve">. Klient se zavazuje, že bude zachovávat mlčenlivost ohledně výsledků Služeb a neposkytne bez předchozího souhlasu Poskytovatele výsledky Služeb třetím osobám, s výjimkou </w:t>
      </w:r>
      <w:r w:rsidR="00991E97" w:rsidRPr="00F11A07">
        <w:rPr>
          <w:rFonts w:cs="Times New Roman"/>
          <w:szCs w:val="22"/>
        </w:rPr>
        <w:t xml:space="preserve">zřizovatele Klienta, </w:t>
      </w:r>
      <w:r w:rsidR="00D241CD" w:rsidRPr="00F11A07">
        <w:rPr>
          <w:rFonts w:cs="Times New Roman"/>
          <w:szCs w:val="22"/>
        </w:rPr>
        <w:t>osob propojených s</w:t>
      </w:r>
      <w:r w:rsidR="00991E97" w:rsidRPr="00F11A07">
        <w:rPr>
          <w:rFonts w:cs="Times New Roman"/>
          <w:szCs w:val="22"/>
        </w:rPr>
        <w:t> </w:t>
      </w:r>
      <w:r w:rsidR="00D241CD" w:rsidRPr="00F11A07">
        <w:rPr>
          <w:rFonts w:cs="Times New Roman"/>
          <w:szCs w:val="22"/>
        </w:rPr>
        <w:t>Klientem a poradců Klienta, jež jsou vázáni ve vztahu k výsledkům Služeb povinností mlčenlivosti.</w:t>
      </w:r>
    </w:p>
    <w:p w14:paraId="07D7057A" w14:textId="5187361A" w:rsidR="00D241CD" w:rsidRPr="00F11A07" w:rsidRDefault="00D241CD" w:rsidP="00D241CD">
      <w:pPr>
        <w:pStyle w:val="Clanek11"/>
        <w:widowControl/>
        <w:rPr>
          <w:szCs w:val="22"/>
        </w:rPr>
      </w:pPr>
      <w:r w:rsidRPr="00F11A07">
        <w:rPr>
          <w:rFonts w:cs="Times New Roman"/>
          <w:szCs w:val="22"/>
        </w:rPr>
        <w:t>Smluvní 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55769C9B" w14:textId="77777777" w:rsidR="00D241CD" w:rsidRPr="00F11A07" w:rsidRDefault="00D241CD" w:rsidP="00D241CD">
      <w:pPr>
        <w:pStyle w:val="Clanek11"/>
        <w:widowControl/>
        <w:rPr>
          <w:szCs w:val="22"/>
        </w:rPr>
      </w:pPr>
      <w:r w:rsidRPr="00F11A07">
        <w:rPr>
          <w:rFonts w:cs="Times New Roman"/>
          <w:szCs w:val="22"/>
        </w:rPr>
        <w:t xml:space="preserve">Klient může kdykoli ukončit tuto Smlouvu písemnou výpovědí doručenou Poskytovateli. Není-li ve výpovědi stanoveno jinak, výpověď nabude účinnosti dnem jejího doručení Poskytovateli. </w:t>
      </w:r>
    </w:p>
    <w:p w14:paraId="65ADF2B8" w14:textId="038EE5B1" w:rsidR="00D241CD" w:rsidRPr="00F11A07" w:rsidRDefault="001D4FA1" w:rsidP="00D241CD">
      <w:pPr>
        <w:pStyle w:val="Clanek11"/>
        <w:widowControl/>
        <w:rPr>
          <w:szCs w:val="22"/>
        </w:rPr>
      </w:pPr>
      <w:r w:rsidRPr="00F11A07">
        <w:rPr>
          <w:rFonts w:cs="Times New Roman"/>
          <w:szCs w:val="22"/>
        </w:rPr>
        <w:t xml:space="preserve">Poskytovatel je oprávněn ukončit tuto Smlouvu v případech a za podmínek stanovených obecně závaznými právními předpisy </w:t>
      </w:r>
      <w:r w:rsidR="00D241CD" w:rsidRPr="00F11A07">
        <w:rPr>
          <w:rFonts w:cs="Times New Roman"/>
          <w:szCs w:val="22"/>
        </w:rPr>
        <w:t xml:space="preserve">(zejména ustanovení § 20 </w:t>
      </w:r>
      <w:r w:rsidR="00252608" w:rsidRPr="00F11A07">
        <w:rPr>
          <w:rFonts w:cs="Times New Roman"/>
          <w:szCs w:val="22"/>
        </w:rPr>
        <w:t>zákona č. 85/1996 Sb., o advokacii, ve znění pozdějších předpisů („</w:t>
      </w:r>
      <w:r w:rsidR="00252608" w:rsidRPr="00F11A07">
        <w:rPr>
          <w:rFonts w:cs="Times New Roman"/>
          <w:b/>
          <w:szCs w:val="22"/>
        </w:rPr>
        <w:t>Zákon o advokacii</w:t>
      </w:r>
      <w:r w:rsidR="00252608" w:rsidRPr="00F11A07">
        <w:rPr>
          <w:rFonts w:cs="Times New Roman"/>
          <w:szCs w:val="22"/>
        </w:rPr>
        <w:t>“)</w:t>
      </w:r>
      <w:r w:rsidR="00D241CD" w:rsidRPr="00F11A07">
        <w:rPr>
          <w:rFonts w:cs="Times New Roman"/>
          <w:szCs w:val="22"/>
        </w:rPr>
        <w:t>).</w:t>
      </w:r>
      <w:r w:rsidR="00DC5F74" w:rsidRPr="00F11A07">
        <w:rPr>
          <w:rFonts w:cs="Times New Roman"/>
          <w:szCs w:val="22"/>
        </w:rPr>
        <w:t xml:space="preserve"> </w:t>
      </w:r>
      <w:r w:rsidR="00D241CD" w:rsidRPr="00F11A07">
        <w:rPr>
          <w:rFonts w:cs="Times New Roman"/>
          <w:szCs w:val="22"/>
        </w:rPr>
        <w:t>V případě výpovědi této Smlouvy Poskytovatelem dle ustanovení § 20 Zákona o advokacii nebude Poskytovatel povinen hradit Klientovi škodu z toho vzešlou</w:t>
      </w:r>
      <w:r w:rsidR="007F52FC" w:rsidRPr="00F11A07">
        <w:rPr>
          <w:rFonts w:cs="Times New Roman"/>
          <w:szCs w:val="22"/>
        </w:rPr>
        <w:t>.</w:t>
      </w:r>
    </w:p>
    <w:p w14:paraId="5D45697D" w14:textId="77777777" w:rsidR="00D241CD" w:rsidRPr="00F11A07" w:rsidRDefault="00D241CD" w:rsidP="00D241CD">
      <w:pPr>
        <w:pStyle w:val="Clanek11"/>
        <w:widowControl/>
        <w:rPr>
          <w:szCs w:val="22"/>
        </w:rPr>
      </w:pPr>
      <w:r w:rsidRPr="00F11A07">
        <w:rPr>
          <w:rFonts w:cs="Times New Roman"/>
          <w:szCs w:val="22"/>
        </w:rPr>
        <w:t>Ukončením Smlouvy nejsou dotčeny nároky Stran vzniklé před ukončením Smlouvy, zejména nárok Poskytovatele na úhradu odměny, Hotové výdaje a náhrady za promeškaný čas.</w:t>
      </w:r>
    </w:p>
    <w:p w14:paraId="4AECC8C9" w14:textId="77777777" w:rsidR="00D241CD" w:rsidRPr="00F11A07" w:rsidRDefault="00D241CD" w:rsidP="00D241CD">
      <w:pPr>
        <w:pStyle w:val="Clanek11"/>
        <w:widowControl/>
        <w:rPr>
          <w:szCs w:val="22"/>
        </w:rPr>
      </w:pPr>
      <w:r w:rsidRPr="00F11A07">
        <w:rPr>
          <w:rFonts w:cs="Times New Roman"/>
          <w:szCs w:val="22"/>
        </w:rPr>
        <w:t xml:space="preserve">Klient tímto souhlasí s tím, aby Poskytovatel přijal plnění odměny za právní služby, náhrady za promeškaný čas nebo Hotových výdajů, které za Klienta poskytne Poskytovateli třetí osoba, přičemž Poskytovatel není povinen takové plnění třetí osoby za Klienta přijmout. </w:t>
      </w:r>
    </w:p>
    <w:p w14:paraId="78DFA1D4" w14:textId="631DA00E" w:rsidR="0089165A" w:rsidRPr="00F11A07" w:rsidRDefault="0089165A" w:rsidP="00D241CD">
      <w:pPr>
        <w:pStyle w:val="Clanek11"/>
        <w:widowControl/>
        <w:rPr>
          <w:szCs w:val="22"/>
        </w:rPr>
      </w:pPr>
      <w:r w:rsidRPr="00F11A07">
        <w:rPr>
          <w:rFonts w:ascii="Times" w:hAnsi="Times"/>
          <w:szCs w:val="22"/>
        </w:rPr>
        <w:t xml:space="preserve">Klient souhlasí s tím, že Poskytovatel může použít odkaz na jméno, název či obchodní firmu Klienta a typ poskytnuté Služby jako referenci pro účely nabízení či propagace služeb Poskytovatele. Klient dále souhlasí s tím, že v případě řádného poskytnutí Služeb poskytne Poskytovateli na jeho žádost učiněnou nejpozději do tří </w:t>
      </w:r>
      <w:r w:rsidR="0048204C" w:rsidRPr="00F11A07">
        <w:rPr>
          <w:rFonts w:ascii="Times" w:hAnsi="Times"/>
          <w:szCs w:val="22"/>
        </w:rPr>
        <w:t xml:space="preserve">(3.) </w:t>
      </w:r>
      <w:r w:rsidRPr="00F11A07">
        <w:rPr>
          <w:rFonts w:ascii="Times" w:hAnsi="Times"/>
          <w:szCs w:val="22"/>
        </w:rPr>
        <w:t>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či obchodních soutěžích.</w:t>
      </w:r>
    </w:p>
    <w:p w14:paraId="365047EA" w14:textId="77777777" w:rsidR="00D241CD" w:rsidRPr="00F11A07" w:rsidRDefault="00D241CD" w:rsidP="00D241CD">
      <w:pPr>
        <w:pStyle w:val="Clanek11"/>
        <w:widowControl/>
        <w:rPr>
          <w:szCs w:val="22"/>
        </w:rPr>
      </w:pPr>
      <w:r w:rsidRPr="00F11A07">
        <w:rPr>
          <w:rFonts w:cs="Times New Roman"/>
          <w:szCs w:val="22"/>
        </w:rPr>
        <w:t xml:space="preserve">Pro účely této Smlouvy se vylučuje uzavření této smlouvy/uzavření dodatku k této Smlouvě v důsledku přijetí nabídky jedné Strany druhou Stranou s jakýmikoliv (i nepodstatnými) odchylkami či dodatky. </w:t>
      </w:r>
    </w:p>
    <w:p w14:paraId="786E3267" w14:textId="77777777" w:rsidR="00D241CD" w:rsidRPr="00F11A07" w:rsidRDefault="00D241CD" w:rsidP="00D241CD">
      <w:pPr>
        <w:pStyle w:val="Clanek11"/>
        <w:rPr>
          <w:szCs w:val="22"/>
        </w:rPr>
      </w:pPr>
      <w:r w:rsidRPr="00F11A07">
        <w:rPr>
          <w:szCs w:val="22"/>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a to pro:</w:t>
      </w:r>
    </w:p>
    <w:p w14:paraId="36907FFF" w14:textId="3EF508DE" w:rsidR="00D241CD" w:rsidRPr="00F11A07" w:rsidRDefault="00D241CD" w:rsidP="00D241CD">
      <w:pPr>
        <w:pStyle w:val="Claneka"/>
        <w:rPr>
          <w:szCs w:val="22"/>
        </w:rPr>
      </w:pPr>
      <w:r w:rsidRPr="00F11A07">
        <w:rPr>
          <w:szCs w:val="22"/>
        </w:rPr>
        <w:t xml:space="preserve">Poskytovatele: z emailové adresy osob uvedených v článku </w:t>
      </w:r>
      <w:r w:rsidRPr="00F11A07">
        <w:rPr>
          <w:szCs w:val="22"/>
        </w:rPr>
        <w:fldChar w:fldCharType="begin"/>
      </w:r>
      <w:r w:rsidRPr="00F11A07">
        <w:rPr>
          <w:szCs w:val="22"/>
        </w:rPr>
        <w:instrText xml:space="preserve"> REF _Ref235440114 \r \h  \* MERGEFORMAT </w:instrText>
      </w:r>
      <w:r w:rsidRPr="00F11A07">
        <w:rPr>
          <w:szCs w:val="22"/>
        </w:rPr>
      </w:r>
      <w:r w:rsidRPr="00F11A07">
        <w:rPr>
          <w:szCs w:val="22"/>
        </w:rPr>
        <w:fldChar w:fldCharType="separate"/>
      </w:r>
      <w:r w:rsidR="002079A6" w:rsidRPr="00F11A07">
        <w:rPr>
          <w:szCs w:val="22"/>
        </w:rPr>
        <w:t>2.2</w:t>
      </w:r>
      <w:r w:rsidRPr="00F11A07">
        <w:rPr>
          <w:szCs w:val="22"/>
        </w:rPr>
        <w:fldChar w:fldCharType="end"/>
      </w:r>
      <w:r w:rsidRPr="00F11A07">
        <w:rPr>
          <w:szCs w:val="22"/>
        </w:rPr>
        <w:t xml:space="preserve">, respektive dalších osob, které Poskytovatel v souladu s článkem </w:t>
      </w:r>
      <w:r w:rsidRPr="00F11A07">
        <w:rPr>
          <w:szCs w:val="22"/>
        </w:rPr>
        <w:fldChar w:fldCharType="begin"/>
      </w:r>
      <w:r w:rsidRPr="00F11A07">
        <w:rPr>
          <w:szCs w:val="22"/>
        </w:rPr>
        <w:instrText xml:space="preserve"> REF _Ref375266116 \r \h  \* MERGEFORMAT </w:instrText>
      </w:r>
      <w:r w:rsidRPr="00F11A07">
        <w:rPr>
          <w:szCs w:val="22"/>
        </w:rPr>
      </w:r>
      <w:r w:rsidRPr="00F11A07">
        <w:rPr>
          <w:szCs w:val="22"/>
        </w:rPr>
        <w:fldChar w:fldCharType="separate"/>
      </w:r>
      <w:r w:rsidR="002079A6" w:rsidRPr="00F11A07">
        <w:rPr>
          <w:szCs w:val="22"/>
        </w:rPr>
        <w:t>2.3</w:t>
      </w:r>
      <w:r w:rsidRPr="00F11A07">
        <w:rPr>
          <w:szCs w:val="22"/>
        </w:rPr>
        <w:fldChar w:fldCharType="end"/>
      </w:r>
      <w:r w:rsidRPr="00F11A07">
        <w:rPr>
          <w:szCs w:val="22"/>
        </w:rPr>
        <w:t xml:space="preserve"> Klientovi sdělí, a to z emailové adresy těchto osob v doméně havel</w:t>
      </w:r>
      <w:r w:rsidR="00360DFC" w:rsidRPr="00F11A07">
        <w:rPr>
          <w:szCs w:val="22"/>
        </w:rPr>
        <w:t>partners</w:t>
      </w:r>
      <w:r w:rsidRPr="00F11A07">
        <w:rPr>
          <w:szCs w:val="22"/>
        </w:rPr>
        <w:t xml:space="preserve">.cz. Na konci textu emailu musí být uvedeno jméno a příjmení osoby, která email odesílá. </w:t>
      </w:r>
    </w:p>
    <w:p w14:paraId="5559F6FA" w14:textId="740EF722" w:rsidR="00D241CD" w:rsidRPr="00F11A07" w:rsidRDefault="00D241CD" w:rsidP="009D4CB4">
      <w:pPr>
        <w:pStyle w:val="Claneka"/>
        <w:rPr>
          <w:szCs w:val="22"/>
        </w:rPr>
      </w:pPr>
      <w:r w:rsidRPr="00F11A07">
        <w:rPr>
          <w:szCs w:val="22"/>
        </w:rPr>
        <w:t xml:space="preserve">Klienta: z emailové adresy osob uvedených v článku </w:t>
      </w:r>
      <w:r w:rsidRPr="00F11A07">
        <w:rPr>
          <w:szCs w:val="22"/>
        </w:rPr>
        <w:fldChar w:fldCharType="begin"/>
      </w:r>
      <w:r w:rsidRPr="00F11A07">
        <w:rPr>
          <w:szCs w:val="22"/>
        </w:rPr>
        <w:instrText xml:space="preserve"> REF _Ref171747677 \r \h  \* MERGEFORMAT </w:instrText>
      </w:r>
      <w:r w:rsidRPr="00F11A07">
        <w:rPr>
          <w:szCs w:val="22"/>
        </w:rPr>
      </w:r>
      <w:r w:rsidRPr="00F11A07">
        <w:rPr>
          <w:szCs w:val="22"/>
        </w:rPr>
        <w:fldChar w:fldCharType="separate"/>
      </w:r>
      <w:r w:rsidR="002079A6" w:rsidRPr="00F11A07">
        <w:rPr>
          <w:szCs w:val="22"/>
        </w:rPr>
        <w:t>3.1</w:t>
      </w:r>
      <w:r w:rsidRPr="00F11A07">
        <w:rPr>
          <w:szCs w:val="22"/>
        </w:rPr>
        <w:fldChar w:fldCharType="end"/>
      </w:r>
      <w:r w:rsidRPr="00F11A07">
        <w:rPr>
          <w:szCs w:val="22"/>
        </w:rPr>
        <w:t xml:space="preserve">, respektive dalších osob, které </w:t>
      </w:r>
      <w:r w:rsidRPr="00F11A07">
        <w:rPr>
          <w:szCs w:val="22"/>
        </w:rPr>
        <w:lastRenderedPageBreak/>
        <w:t xml:space="preserve">Klient v souladu s článkem </w:t>
      </w:r>
      <w:r w:rsidRPr="00F11A07">
        <w:rPr>
          <w:szCs w:val="22"/>
        </w:rPr>
        <w:fldChar w:fldCharType="begin"/>
      </w:r>
      <w:r w:rsidRPr="00F11A07">
        <w:rPr>
          <w:szCs w:val="22"/>
        </w:rPr>
        <w:instrText xml:space="preserve"> REF _Ref171747677 \r \h  \* MERGEFORMAT </w:instrText>
      </w:r>
      <w:r w:rsidRPr="00F11A07">
        <w:rPr>
          <w:szCs w:val="22"/>
        </w:rPr>
      </w:r>
      <w:r w:rsidRPr="00F11A07">
        <w:rPr>
          <w:szCs w:val="22"/>
        </w:rPr>
        <w:fldChar w:fldCharType="separate"/>
      </w:r>
      <w:r w:rsidR="002079A6" w:rsidRPr="00F11A07">
        <w:rPr>
          <w:szCs w:val="22"/>
        </w:rPr>
        <w:t>3.1</w:t>
      </w:r>
      <w:r w:rsidRPr="00F11A07">
        <w:rPr>
          <w:szCs w:val="22"/>
        </w:rPr>
        <w:fldChar w:fldCharType="end"/>
      </w:r>
      <w:r w:rsidRPr="00F11A07">
        <w:rPr>
          <w:szCs w:val="22"/>
        </w:rPr>
        <w:t xml:space="preserve">. Poskytovateli sdělí, a to z emailové adresy těchto osob v doméně </w:t>
      </w:r>
      <w:r w:rsidR="00D662EC" w:rsidRPr="00E369B4">
        <w:rPr>
          <w:szCs w:val="22"/>
        </w:rPr>
        <w:t>img.cas.cz</w:t>
      </w:r>
      <w:r w:rsidRPr="00F11A07">
        <w:rPr>
          <w:szCs w:val="22"/>
        </w:rPr>
        <w:t>. Na konci textu emailu musí být uvedeno jméno a příjmení osoby, která email odesílá.</w:t>
      </w:r>
    </w:p>
    <w:p w14:paraId="7764B83F" w14:textId="286F3578" w:rsidR="00D241CD" w:rsidRPr="00F11A07" w:rsidRDefault="00D241CD" w:rsidP="00D241CD">
      <w:pPr>
        <w:pStyle w:val="Clanek11"/>
        <w:widowControl/>
        <w:rPr>
          <w:szCs w:val="22"/>
        </w:rPr>
      </w:pPr>
      <w:r w:rsidRPr="00F11A07">
        <w:rPr>
          <w:rFonts w:cs="Times New Roman"/>
          <w:szCs w:val="22"/>
        </w:rPr>
        <w:t>Klient tímto potvrzuje, že Poskytovatel je oprávněn při poskytování Služeb dle této Smlouvy používat pro komunikaci s Klientem, včetně zasílání návrhů smluv, právních analýz a jiných výstupů poskytování Služeb, emaily odeslané z emailových adres v doméně havel</w:t>
      </w:r>
      <w:r w:rsidR="00360DFC" w:rsidRPr="00F11A07">
        <w:rPr>
          <w:rFonts w:cs="Times New Roman"/>
          <w:szCs w:val="22"/>
        </w:rPr>
        <w:t>partners</w:t>
      </w:r>
      <w:r w:rsidRPr="00F11A07">
        <w:rPr>
          <w:rFonts w:cs="Times New Roman"/>
          <w:szCs w:val="22"/>
        </w:rPr>
        <w:t>.cz. V</w:t>
      </w:r>
      <w:r w:rsidR="006666F4" w:rsidRPr="00F11A07">
        <w:rPr>
          <w:rFonts w:cs="Times New Roman"/>
          <w:szCs w:val="22"/>
        </w:rPr>
        <w:t> </w:t>
      </w:r>
      <w:r w:rsidRPr="00F11A07">
        <w:rPr>
          <w:rFonts w:cs="Times New Roman"/>
          <w:szCs w:val="22"/>
        </w:rPr>
        <w:t xml:space="preserve">případě, že si Klient přeje pro konkrétní případ použití emailu vyloučit, respektive si přeje použít určitý způsob zabezpečení emailové komunikace, je povinen na to Poskytovatele předem písemně upozornit. </w:t>
      </w:r>
    </w:p>
    <w:p w14:paraId="292066B9" w14:textId="2FAB3A72" w:rsidR="00D241CD" w:rsidRPr="00F11A07" w:rsidRDefault="00D241CD" w:rsidP="00D241CD">
      <w:pPr>
        <w:pStyle w:val="Clanek11"/>
        <w:widowControl/>
        <w:rPr>
          <w:szCs w:val="22"/>
        </w:rPr>
      </w:pPr>
      <w:r w:rsidRPr="00F11A07">
        <w:rPr>
          <w:rFonts w:cs="Times New Roman"/>
          <w:szCs w:val="22"/>
        </w:rPr>
        <w:t xml:space="preserve">Tato Smlouva je vyhotovena </w:t>
      </w:r>
      <w:r w:rsidR="00942873" w:rsidRPr="00F11A07">
        <w:rPr>
          <w:rFonts w:cs="Times New Roman"/>
          <w:szCs w:val="22"/>
        </w:rPr>
        <w:t xml:space="preserve">buď </w:t>
      </w:r>
      <w:r w:rsidRPr="00F11A07">
        <w:rPr>
          <w:rFonts w:cs="Times New Roman"/>
          <w:szCs w:val="22"/>
        </w:rPr>
        <w:t>ve dvou</w:t>
      </w:r>
      <w:r w:rsidR="00B822CB" w:rsidRPr="00F11A07">
        <w:rPr>
          <w:rFonts w:cs="Times New Roman"/>
          <w:szCs w:val="22"/>
        </w:rPr>
        <w:t xml:space="preserve"> (2)</w:t>
      </w:r>
      <w:r w:rsidRPr="00F11A07">
        <w:rPr>
          <w:rFonts w:cs="Times New Roman"/>
          <w:szCs w:val="22"/>
        </w:rPr>
        <w:t xml:space="preserve"> stejnopisech v českém jazyce</w:t>
      </w:r>
      <w:r w:rsidR="00942873" w:rsidRPr="00F11A07">
        <w:rPr>
          <w:rFonts w:cs="Times New Roman"/>
          <w:szCs w:val="22"/>
        </w:rPr>
        <w:t>, po jednom pro každou Stranu, nebo je vyhotovena v jednom elektronickém originálu opatřeném kvalifikovanými elektronickými podpisy oprávněných zástupců obou smluvních stran</w:t>
      </w:r>
      <w:r w:rsidRPr="00F11A07">
        <w:rPr>
          <w:rFonts w:cs="Times New Roman"/>
          <w:szCs w:val="22"/>
        </w:rPr>
        <w:t xml:space="preserve">. </w:t>
      </w:r>
    </w:p>
    <w:p w14:paraId="5B1186AC" w14:textId="1A2C661E" w:rsidR="00D241CD" w:rsidRPr="00D3199E" w:rsidRDefault="00DD7445" w:rsidP="00DD7445">
      <w:pPr>
        <w:pStyle w:val="Clanek11"/>
        <w:rPr>
          <w:szCs w:val="22"/>
        </w:rPr>
      </w:pPr>
      <w:r w:rsidRPr="00F11A07">
        <w:rPr>
          <w:rFonts w:cs="Times New Roman"/>
          <w:szCs w:val="22"/>
        </w:rPr>
        <w:t>Tato Smlouva nabývá</w:t>
      </w:r>
      <w:r w:rsidR="00942873" w:rsidRPr="00F11A07">
        <w:rPr>
          <w:rFonts w:cs="Times New Roman"/>
          <w:szCs w:val="22"/>
        </w:rPr>
        <w:t xml:space="preserve"> platnosti dnem jejího podpisu druhou ze smluvních strana a</w:t>
      </w:r>
      <w:r w:rsidRPr="00F11A07">
        <w:rPr>
          <w:rFonts w:cs="Times New Roman"/>
          <w:szCs w:val="22"/>
        </w:rPr>
        <w:t xml:space="preserve"> účinnosti uveřejněním v registru smluv. Strany s uveřejněním Smlouvy v registru smluv souhlasí. Uveřejnění Smlouvy v registru smluv v souladu s podmínkami stanovenými zákonem č. 340/2015 Sb., o zvláštních podmínkách účinnosti některých smluv, uveřejňování těchto smluv a o registru smluv (zákon o registru smluv), ve znění pozdějších předpisů, provede Klient do patnácti (15) dnů od podpisu Smlouvy.</w:t>
      </w:r>
    </w:p>
    <w:p w14:paraId="5676349D" w14:textId="5ED60C78" w:rsidR="00D3199E" w:rsidRPr="00F11A07" w:rsidRDefault="00D3199E" w:rsidP="00DD7445">
      <w:pPr>
        <w:pStyle w:val="Clanek11"/>
        <w:rPr>
          <w:szCs w:val="22"/>
        </w:rPr>
      </w:pPr>
      <w:r>
        <w:rPr>
          <w:rFonts w:cs="Times New Roman"/>
          <w:szCs w:val="22"/>
        </w:rPr>
        <w:t xml:space="preserve">Tato smlouva se uzavírá na dobu </w:t>
      </w:r>
      <w:r w:rsidR="00FD5DA9">
        <w:rPr>
          <w:rFonts w:cs="Times New Roman"/>
          <w:szCs w:val="22"/>
        </w:rPr>
        <w:t xml:space="preserve">neurčitou, nejdéle však </w:t>
      </w:r>
      <w:r>
        <w:rPr>
          <w:rFonts w:cs="Times New Roman"/>
          <w:szCs w:val="22"/>
        </w:rPr>
        <w:t xml:space="preserve">na dobu do vyčerpání </w:t>
      </w:r>
      <w:r w:rsidR="00FD5DA9">
        <w:rPr>
          <w:rFonts w:cs="Times New Roman"/>
          <w:szCs w:val="22"/>
        </w:rPr>
        <w:t xml:space="preserve">částky </w:t>
      </w:r>
      <w:r>
        <w:rPr>
          <w:rFonts w:cs="Times New Roman"/>
          <w:szCs w:val="22"/>
        </w:rPr>
        <w:t xml:space="preserve">Cenového stropu. </w:t>
      </w:r>
    </w:p>
    <w:p w14:paraId="6ED79B01" w14:textId="0B2DFF70" w:rsidR="00942873" w:rsidRPr="00F11A07" w:rsidRDefault="00942873" w:rsidP="00942873">
      <w:pPr>
        <w:pStyle w:val="Clanek11"/>
      </w:pPr>
      <w:r w:rsidRPr="00F11A07">
        <w:t xml:space="preserve">Pro zamezení pochybností Strany sjednávají, že pokud byly jakékoliv Služby poskytnuty před uveřejněním této Smlouvy v registru smluv (tj. zejména v rámci žádosti Klienta o převzetí věci), Klient uhradí Poskytovateli náklady vynaložené na takové právní služby (tj. fakticky nahradí bezdůvodné obohacení vzniklé v důsledku plnění před nabytím účinnosti smlouvy o poskytování právních služeb), jako by se jednalo o právní služby dle této Smlouvy. </w:t>
      </w:r>
    </w:p>
    <w:p w14:paraId="1DB441C9" w14:textId="35E1D89A" w:rsidR="00D241CD" w:rsidRPr="00F11A07" w:rsidRDefault="00D241CD" w:rsidP="00E369B4">
      <w:pPr>
        <w:pStyle w:val="Clanek11"/>
        <w:numPr>
          <w:ilvl w:val="0"/>
          <w:numId w:val="0"/>
        </w:numPr>
        <w:ind w:left="567"/>
      </w:pPr>
    </w:p>
    <w:tbl>
      <w:tblPr>
        <w:tblW w:w="5000" w:type="pct"/>
        <w:jc w:val="center"/>
        <w:tblLook w:val="0000" w:firstRow="0" w:lastRow="0" w:firstColumn="0" w:lastColumn="0" w:noHBand="0" w:noVBand="0"/>
      </w:tblPr>
      <w:tblGrid>
        <w:gridCol w:w="4535"/>
        <w:gridCol w:w="4536"/>
      </w:tblGrid>
      <w:tr w:rsidR="00A91555" w:rsidRPr="00F11A07" w14:paraId="7F875274" w14:textId="77777777" w:rsidTr="00392EC2">
        <w:trPr>
          <w:trHeight w:val="715"/>
          <w:jc w:val="center"/>
        </w:trPr>
        <w:tc>
          <w:tcPr>
            <w:tcW w:w="2500" w:type="pct"/>
          </w:tcPr>
          <w:p w14:paraId="147EDE0D" w14:textId="343F5D3F" w:rsidR="00A91555" w:rsidRPr="00E369B4" w:rsidRDefault="00325CC2" w:rsidP="00CF0F57">
            <w:pPr>
              <w:keepNext/>
              <w:jc w:val="left"/>
              <w:rPr>
                <w:b/>
                <w:szCs w:val="22"/>
              </w:rPr>
            </w:pPr>
            <w:r w:rsidRPr="00F11A07">
              <w:rPr>
                <w:b/>
                <w:szCs w:val="22"/>
              </w:rPr>
              <w:t>Ústav molekulární genetiky AV ČR, v. v. i.</w:t>
            </w:r>
          </w:p>
        </w:tc>
        <w:tc>
          <w:tcPr>
            <w:tcW w:w="2500" w:type="pct"/>
          </w:tcPr>
          <w:p w14:paraId="62194C0C" w14:textId="57D36168" w:rsidR="00A91555" w:rsidRPr="00F11A07" w:rsidRDefault="00360DFC" w:rsidP="00CF0F57">
            <w:pPr>
              <w:keepNext/>
              <w:jc w:val="left"/>
              <w:rPr>
                <w:b/>
                <w:szCs w:val="22"/>
              </w:rPr>
            </w:pPr>
            <w:r w:rsidRPr="00F11A07">
              <w:rPr>
                <w:b/>
                <w:bCs/>
                <w:szCs w:val="22"/>
              </w:rPr>
              <w:t>HAVEL &amp; PARTNERS</w:t>
            </w:r>
            <w:r w:rsidR="00A91555" w:rsidRPr="00F11A07">
              <w:rPr>
                <w:b/>
                <w:bCs/>
                <w:szCs w:val="22"/>
              </w:rPr>
              <w:t xml:space="preserve"> s.r.o.</w:t>
            </w:r>
            <w:r w:rsidR="00A91555" w:rsidRPr="00F11A07">
              <w:rPr>
                <w:b/>
                <w:szCs w:val="22"/>
              </w:rPr>
              <w:t>, advokátní kancelář</w:t>
            </w:r>
          </w:p>
        </w:tc>
      </w:tr>
      <w:tr w:rsidR="00A91555" w:rsidRPr="00F11A07" w14:paraId="15D6B91F" w14:textId="77777777" w:rsidTr="00392EC2">
        <w:trPr>
          <w:trHeight w:val="832"/>
          <w:jc w:val="center"/>
        </w:trPr>
        <w:tc>
          <w:tcPr>
            <w:tcW w:w="2500" w:type="pct"/>
          </w:tcPr>
          <w:p w14:paraId="05733424" w14:textId="23575D1D" w:rsidR="00A91555" w:rsidRPr="00F11A07" w:rsidRDefault="00A91555" w:rsidP="00CF0F57">
            <w:pPr>
              <w:keepNext/>
              <w:jc w:val="left"/>
              <w:rPr>
                <w:szCs w:val="22"/>
              </w:rPr>
            </w:pPr>
            <w:r w:rsidRPr="00F11A07">
              <w:rPr>
                <w:szCs w:val="22"/>
              </w:rPr>
              <w:t xml:space="preserve">Místo: </w:t>
            </w:r>
            <w:r w:rsidR="00976ADF" w:rsidRPr="00F11A07">
              <w:rPr>
                <w:szCs w:val="22"/>
              </w:rPr>
              <w:t>_______________</w:t>
            </w:r>
          </w:p>
          <w:p w14:paraId="2FA3F044" w14:textId="0CCB6BB9" w:rsidR="00A91555" w:rsidRPr="00F11A07" w:rsidRDefault="00A91555" w:rsidP="00CF0F57">
            <w:pPr>
              <w:keepNext/>
              <w:jc w:val="left"/>
              <w:rPr>
                <w:szCs w:val="22"/>
              </w:rPr>
            </w:pPr>
            <w:r w:rsidRPr="00F11A07">
              <w:rPr>
                <w:szCs w:val="22"/>
              </w:rPr>
              <w:t xml:space="preserve">Datum: </w:t>
            </w:r>
            <w:r w:rsidR="00976ADF" w:rsidRPr="00F11A07">
              <w:rPr>
                <w:szCs w:val="22"/>
              </w:rPr>
              <w:t>______________</w:t>
            </w:r>
          </w:p>
        </w:tc>
        <w:tc>
          <w:tcPr>
            <w:tcW w:w="2500" w:type="pct"/>
          </w:tcPr>
          <w:p w14:paraId="3F453A78" w14:textId="09E58810" w:rsidR="00A91555" w:rsidRPr="00F11A07" w:rsidRDefault="00A91555" w:rsidP="00CF0F57">
            <w:pPr>
              <w:keepNext/>
              <w:jc w:val="left"/>
              <w:rPr>
                <w:szCs w:val="22"/>
              </w:rPr>
            </w:pPr>
            <w:r w:rsidRPr="00F11A07">
              <w:rPr>
                <w:szCs w:val="22"/>
              </w:rPr>
              <w:t xml:space="preserve">Místo: </w:t>
            </w:r>
            <w:r w:rsidR="00976ADF" w:rsidRPr="00F11A07">
              <w:rPr>
                <w:szCs w:val="22"/>
              </w:rPr>
              <w:t>_______________</w:t>
            </w:r>
          </w:p>
          <w:p w14:paraId="5DE0D84C" w14:textId="053C2BDE" w:rsidR="00A91555" w:rsidRPr="00F11A07" w:rsidRDefault="00A91555" w:rsidP="00CF0F57">
            <w:pPr>
              <w:keepNext/>
              <w:jc w:val="left"/>
              <w:rPr>
                <w:b/>
                <w:szCs w:val="22"/>
              </w:rPr>
            </w:pPr>
            <w:r w:rsidRPr="00F11A07">
              <w:rPr>
                <w:szCs w:val="22"/>
              </w:rPr>
              <w:t xml:space="preserve">Datum: </w:t>
            </w:r>
            <w:r w:rsidR="00976ADF" w:rsidRPr="00F11A07">
              <w:rPr>
                <w:szCs w:val="22"/>
              </w:rPr>
              <w:t>______________</w:t>
            </w:r>
          </w:p>
        </w:tc>
      </w:tr>
      <w:tr w:rsidR="00A91555" w:rsidRPr="00F11A07" w14:paraId="251F32E3" w14:textId="77777777" w:rsidTr="00392EC2">
        <w:trPr>
          <w:trHeight w:val="819"/>
          <w:jc w:val="center"/>
        </w:trPr>
        <w:tc>
          <w:tcPr>
            <w:tcW w:w="2500" w:type="pct"/>
          </w:tcPr>
          <w:p w14:paraId="6988A81C" w14:textId="77777777" w:rsidR="00A91555" w:rsidRPr="00F11A07" w:rsidRDefault="00A91555" w:rsidP="00CF0F57">
            <w:pPr>
              <w:keepNext/>
              <w:jc w:val="left"/>
              <w:rPr>
                <w:szCs w:val="22"/>
              </w:rPr>
            </w:pPr>
          </w:p>
          <w:p w14:paraId="3AA62FCF" w14:textId="77777777" w:rsidR="00A91555" w:rsidRPr="00F11A07" w:rsidRDefault="00A91555" w:rsidP="00CF0F57">
            <w:pPr>
              <w:keepNext/>
              <w:jc w:val="left"/>
              <w:rPr>
                <w:szCs w:val="22"/>
              </w:rPr>
            </w:pPr>
            <w:r w:rsidRPr="00F11A07">
              <w:rPr>
                <w:szCs w:val="22"/>
              </w:rPr>
              <w:t>_______</w:t>
            </w:r>
            <w:r w:rsidR="00517A73" w:rsidRPr="00F11A07">
              <w:rPr>
                <w:szCs w:val="22"/>
              </w:rPr>
              <w:t>_____________________________</w:t>
            </w:r>
          </w:p>
        </w:tc>
        <w:tc>
          <w:tcPr>
            <w:tcW w:w="2500" w:type="pct"/>
          </w:tcPr>
          <w:p w14:paraId="1484F8C9" w14:textId="77777777" w:rsidR="00A91555" w:rsidRPr="00F11A07" w:rsidRDefault="00A91555" w:rsidP="00CF0F57">
            <w:pPr>
              <w:keepNext/>
              <w:jc w:val="left"/>
              <w:rPr>
                <w:szCs w:val="22"/>
              </w:rPr>
            </w:pPr>
          </w:p>
          <w:p w14:paraId="4C48EFAA" w14:textId="77777777" w:rsidR="00A91555" w:rsidRPr="00F11A07" w:rsidRDefault="00A91555" w:rsidP="00CF0F57">
            <w:pPr>
              <w:keepNext/>
              <w:jc w:val="left"/>
              <w:rPr>
                <w:szCs w:val="22"/>
              </w:rPr>
            </w:pPr>
            <w:r w:rsidRPr="00F11A07">
              <w:rPr>
                <w:szCs w:val="22"/>
              </w:rPr>
              <w:t>_______</w:t>
            </w:r>
            <w:r w:rsidR="00517A73" w:rsidRPr="00F11A07">
              <w:rPr>
                <w:szCs w:val="22"/>
              </w:rPr>
              <w:t>___________________________</w:t>
            </w:r>
          </w:p>
        </w:tc>
      </w:tr>
      <w:tr w:rsidR="00A91555" w:rsidRPr="00252608" w14:paraId="120BE962" w14:textId="77777777" w:rsidTr="00392EC2">
        <w:trPr>
          <w:trHeight w:val="832"/>
          <w:jc w:val="center"/>
        </w:trPr>
        <w:tc>
          <w:tcPr>
            <w:tcW w:w="2500" w:type="pct"/>
          </w:tcPr>
          <w:p w14:paraId="38EFF80C" w14:textId="64FB2473" w:rsidR="00A91555" w:rsidRPr="00F11A07" w:rsidRDefault="00A91555" w:rsidP="00CF0F57">
            <w:pPr>
              <w:keepNext/>
              <w:jc w:val="left"/>
              <w:rPr>
                <w:szCs w:val="22"/>
              </w:rPr>
            </w:pPr>
            <w:r w:rsidRPr="00F11A07">
              <w:rPr>
                <w:szCs w:val="22"/>
              </w:rPr>
              <w:t xml:space="preserve">Jméno: </w:t>
            </w:r>
            <w:r w:rsidR="00436AD8" w:rsidRPr="00F11A07">
              <w:rPr>
                <w:bCs/>
                <w:szCs w:val="22"/>
              </w:rPr>
              <w:t xml:space="preserve">RNDr. Petr </w:t>
            </w:r>
            <w:proofErr w:type="spellStart"/>
            <w:r w:rsidR="00436AD8" w:rsidRPr="00F11A07">
              <w:rPr>
                <w:bCs/>
                <w:szCs w:val="22"/>
              </w:rPr>
              <w:t>Dráber</w:t>
            </w:r>
            <w:proofErr w:type="spellEnd"/>
            <w:r w:rsidR="00436AD8" w:rsidRPr="00F11A07">
              <w:rPr>
                <w:bCs/>
                <w:szCs w:val="22"/>
              </w:rPr>
              <w:t>, DrSc.</w:t>
            </w:r>
          </w:p>
          <w:p w14:paraId="690BA612" w14:textId="30764F99" w:rsidR="00A91555" w:rsidRPr="00F11A07" w:rsidRDefault="00A91555" w:rsidP="00CF0F57">
            <w:pPr>
              <w:keepNext/>
              <w:jc w:val="left"/>
              <w:rPr>
                <w:szCs w:val="22"/>
              </w:rPr>
            </w:pPr>
            <w:r w:rsidRPr="00F11A07">
              <w:rPr>
                <w:szCs w:val="22"/>
              </w:rPr>
              <w:t xml:space="preserve">Funkce: </w:t>
            </w:r>
            <w:r w:rsidR="00436AD8" w:rsidRPr="00F11A07">
              <w:rPr>
                <w:bCs/>
                <w:szCs w:val="22"/>
              </w:rPr>
              <w:t>ředitel ústavu</w:t>
            </w:r>
          </w:p>
        </w:tc>
        <w:tc>
          <w:tcPr>
            <w:tcW w:w="2500" w:type="pct"/>
          </w:tcPr>
          <w:p w14:paraId="7EEEE5D7" w14:textId="3EDDA713" w:rsidR="00A91555" w:rsidRPr="00F11A07" w:rsidRDefault="00A91555" w:rsidP="00CF0F57">
            <w:pPr>
              <w:keepNext/>
              <w:jc w:val="left"/>
              <w:rPr>
                <w:szCs w:val="22"/>
              </w:rPr>
            </w:pPr>
            <w:r w:rsidRPr="00F11A07">
              <w:rPr>
                <w:szCs w:val="22"/>
              </w:rPr>
              <w:t xml:space="preserve">Jméno: </w:t>
            </w:r>
            <w:r w:rsidR="00F94146">
              <w:rPr>
                <w:bCs/>
                <w:szCs w:val="22"/>
              </w:rPr>
              <w:t>xxx</w:t>
            </w:r>
          </w:p>
          <w:p w14:paraId="2DF45920" w14:textId="77777777" w:rsidR="00A91555" w:rsidRPr="00252608" w:rsidRDefault="00A91555" w:rsidP="00CF0F57">
            <w:pPr>
              <w:keepNext/>
              <w:jc w:val="left"/>
              <w:rPr>
                <w:szCs w:val="22"/>
              </w:rPr>
            </w:pPr>
            <w:r w:rsidRPr="00F11A07">
              <w:rPr>
                <w:szCs w:val="22"/>
              </w:rPr>
              <w:t xml:space="preserve">Funkce: </w:t>
            </w:r>
            <w:r w:rsidRPr="00F11A07">
              <w:rPr>
                <w:bCs/>
                <w:szCs w:val="22"/>
              </w:rPr>
              <w:t>jednatel</w:t>
            </w:r>
          </w:p>
        </w:tc>
      </w:tr>
    </w:tbl>
    <w:p w14:paraId="5E23E569" w14:textId="77777777" w:rsidR="00121B4D" w:rsidRPr="00252608" w:rsidRDefault="00121B4D" w:rsidP="00B822CB">
      <w:pPr>
        <w:rPr>
          <w:szCs w:val="22"/>
        </w:rPr>
      </w:pPr>
    </w:p>
    <w:sectPr w:rsidR="00121B4D" w:rsidRPr="00252608" w:rsidSect="000D6F14">
      <w:footerReference w:type="default" r:id="rId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B3480" w14:textId="77777777" w:rsidR="009B0069" w:rsidRDefault="009B0069">
      <w:r>
        <w:separator/>
      </w:r>
    </w:p>
  </w:endnote>
  <w:endnote w:type="continuationSeparator" w:id="0">
    <w:p w14:paraId="445271FA" w14:textId="77777777" w:rsidR="009B0069" w:rsidRDefault="009B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6C10" w14:textId="77777777" w:rsidR="00871FC3" w:rsidRPr="007D2A95" w:rsidRDefault="00871FC3"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9CD7" w14:textId="77777777" w:rsidR="009B0069" w:rsidRDefault="009B0069">
      <w:r>
        <w:separator/>
      </w:r>
    </w:p>
  </w:footnote>
  <w:footnote w:type="continuationSeparator" w:id="0">
    <w:p w14:paraId="1F950927" w14:textId="77777777" w:rsidR="009B0069" w:rsidRDefault="009B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7014"/>
    <w:multiLevelType w:val="hybridMultilevel"/>
    <w:tmpl w:val="02945282"/>
    <w:lvl w:ilvl="0" w:tplc="926810E6">
      <w:start w:val="1"/>
      <w:numFmt w:val="lowerLetter"/>
      <w:lvlText w:val="(%1)"/>
      <w:lvlJc w:val="left"/>
      <w:pPr>
        <w:tabs>
          <w:tab w:val="num" w:pos="709"/>
        </w:tabs>
        <w:ind w:left="1134" w:hanging="567"/>
      </w:pPr>
      <w:rPr>
        <w:rFonts w:hint="default"/>
      </w:rPr>
    </w:lvl>
    <w:lvl w:ilvl="1" w:tplc="C6822722" w:tentative="1">
      <w:start w:val="1"/>
      <w:numFmt w:val="lowerLetter"/>
      <w:lvlText w:val="%2."/>
      <w:lvlJc w:val="left"/>
      <w:pPr>
        <w:tabs>
          <w:tab w:val="num" w:pos="1440"/>
        </w:tabs>
        <w:ind w:left="1440" w:hanging="360"/>
      </w:pPr>
    </w:lvl>
    <w:lvl w:ilvl="2" w:tplc="8EAA8B98" w:tentative="1">
      <w:start w:val="1"/>
      <w:numFmt w:val="lowerRoman"/>
      <w:lvlText w:val="%3."/>
      <w:lvlJc w:val="right"/>
      <w:pPr>
        <w:tabs>
          <w:tab w:val="num" w:pos="2160"/>
        </w:tabs>
        <w:ind w:left="2160" w:hanging="180"/>
      </w:pPr>
    </w:lvl>
    <w:lvl w:ilvl="3" w:tplc="E340BC44" w:tentative="1">
      <w:start w:val="1"/>
      <w:numFmt w:val="decimal"/>
      <w:lvlText w:val="%4."/>
      <w:lvlJc w:val="left"/>
      <w:pPr>
        <w:tabs>
          <w:tab w:val="num" w:pos="2880"/>
        </w:tabs>
        <w:ind w:left="2880" w:hanging="360"/>
      </w:pPr>
    </w:lvl>
    <w:lvl w:ilvl="4" w:tplc="03820186" w:tentative="1">
      <w:start w:val="1"/>
      <w:numFmt w:val="lowerLetter"/>
      <w:lvlText w:val="%5."/>
      <w:lvlJc w:val="left"/>
      <w:pPr>
        <w:tabs>
          <w:tab w:val="num" w:pos="3600"/>
        </w:tabs>
        <w:ind w:left="3600" w:hanging="360"/>
      </w:pPr>
    </w:lvl>
    <w:lvl w:ilvl="5" w:tplc="D18EBA30" w:tentative="1">
      <w:start w:val="1"/>
      <w:numFmt w:val="lowerRoman"/>
      <w:lvlText w:val="%6."/>
      <w:lvlJc w:val="right"/>
      <w:pPr>
        <w:tabs>
          <w:tab w:val="num" w:pos="4320"/>
        </w:tabs>
        <w:ind w:left="4320" w:hanging="180"/>
      </w:pPr>
    </w:lvl>
    <w:lvl w:ilvl="6" w:tplc="6DF00302" w:tentative="1">
      <w:start w:val="1"/>
      <w:numFmt w:val="decimal"/>
      <w:lvlText w:val="%7."/>
      <w:lvlJc w:val="left"/>
      <w:pPr>
        <w:tabs>
          <w:tab w:val="num" w:pos="5040"/>
        </w:tabs>
        <w:ind w:left="5040" w:hanging="360"/>
      </w:pPr>
    </w:lvl>
    <w:lvl w:ilvl="7" w:tplc="DE4E006A" w:tentative="1">
      <w:start w:val="1"/>
      <w:numFmt w:val="lowerLetter"/>
      <w:lvlText w:val="%8."/>
      <w:lvlJc w:val="left"/>
      <w:pPr>
        <w:tabs>
          <w:tab w:val="num" w:pos="5760"/>
        </w:tabs>
        <w:ind w:left="5760" w:hanging="360"/>
      </w:pPr>
    </w:lvl>
    <w:lvl w:ilvl="8" w:tplc="4ADAFCFE" w:tentative="1">
      <w:start w:val="1"/>
      <w:numFmt w:val="lowerRoman"/>
      <w:lvlText w:val="%9."/>
      <w:lvlJc w:val="right"/>
      <w:pPr>
        <w:tabs>
          <w:tab w:val="num" w:pos="6480"/>
        </w:tabs>
        <w:ind w:left="6480" w:hanging="180"/>
      </w:pPr>
    </w:lvl>
  </w:abstractNum>
  <w:abstractNum w:abstractNumId="1" w15:restartNumberingAfterBreak="0">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3" w15:restartNumberingAfterBreak="0">
    <w:nsid w:val="0DB76229"/>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155C0D22"/>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524F4E"/>
    <w:multiLevelType w:val="multilevel"/>
    <w:tmpl w:val="E26CED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2."/>
      <w:lvlJc w:val="left"/>
      <w:pPr>
        <w:tabs>
          <w:tab w:val="num" w:pos="4395"/>
        </w:tabs>
        <w:ind w:left="4395" w:hanging="567"/>
      </w:pPr>
      <w:rPr>
        <w:rFonts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19E3C53"/>
    <w:multiLevelType w:val="multilevel"/>
    <w:tmpl w:val="A3C8C5CA"/>
    <w:lvl w:ilvl="0">
      <w:start w:val="1"/>
      <w:numFmt w:val="decimal"/>
      <w:pStyle w:val="Styl1"/>
      <w:lvlText w:val="%1"/>
      <w:lvlJc w:val="left"/>
      <w:pPr>
        <w:ind w:left="567" w:hanging="567"/>
      </w:pPr>
      <w:rPr>
        <w:rFonts w:hint="default"/>
        <w:b/>
      </w:rPr>
    </w:lvl>
    <w:lvl w:ilvl="1">
      <w:start w:val="1"/>
      <w:numFmt w:val="decimal"/>
      <w:pStyle w:val="Styl2"/>
      <w:lvlText w:val="%1.%2"/>
      <w:lvlJc w:val="left"/>
      <w:pPr>
        <w:tabs>
          <w:tab w:val="num"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EC35E3"/>
    <w:multiLevelType w:val="hybridMultilevel"/>
    <w:tmpl w:val="9D4C057A"/>
    <w:lvl w:ilvl="0" w:tplc="4CA84E98">
      <w:start w:val="1"/>
      <w:numFmt w:val="lowerRoman"/>
      <w:lvlText w:val="(%1)"/>
      <w:lvlJc w:val="left"/>
      <w:pPr>
        <w:tabs>
          <w:tab w:val="num" w:pos="720"/>
        </w:tabs>
        <w:ind w:left="1559" w:hanging="425"/>
      </w:pPr>
      <w:rPr>
        <w:rFonts w:ascii="Times New Roman" w:hAnsi="Times New Roman" w:hint="default"/>
        <w:sz w:val="22"/>
      </w:rPr>
    </w:lvl>
    <w:lvl w:ilvl="1" w:tplc="94C49614" w:tentative="1">
      <w:start w:val="1"/>
      <w:numFmt w:val="lowerLetter"/>
      <w:lvlText w:val="%2."/>
      <w:lvlJc w:val="left"/>
      <w:pPr>
        <w:tabs>
          <w:tab w:val="num" w:pos="1440"/>
        </w:tabs>
        <w:ind w:left="1440" w:hanging="360"/>
      </w:pPr>
    </w:lvl>
    <w:lvl w:ilvl="2" w:tplc="FCD8B592" w:tentative="1">
      <w:start w:val="1"/>
      <w:numFmt w:val="lowerRoman"/>
      <w:lvlText w:val="%3."/>
      <w:lvlJc w:val="right"/>
      <w:pPr>
        <w:tabs>
          <w:tab w:val="num" w:pos="2160"/>
        </w:tabs>
        <w:ind w:left="2160" w:hanging="180"/>
      </w:pPr>
    </w:lvl>
    <w:lvl w:ilvl="3" w:tplc="438C9C3C" w:tentative="1">
      <w:start w:val="1"/>
      <w:numFmt w:val="decimal"/>
      <w:lvlText w:val="%4."/>
      <w:lvlJc w:val="left"/>
      <w:pPr>
        <w:tabs>
          <w:tab w:val="num" w:pos="2880"/>
        </w:tabs>
        <w:ind w:left="2880" w:hanging="360"/>
      </w:pPr>
    </w:lvl>
    <w:lvl w:ilvl="4" w:tplc="26B8B874" w:tentative="1">
      <w:start w:val="1"/>
      <w:numFmt w:val="lowerLetter"/>
      <w:lvlText w:val="%5."/>
      <w:lvlJc w:val="left"/>
      <w:pPr>
        <w:tabs>
          <w:tab w:val="num" w:pos="3600"/>
        </w:tabs>
        <w:ind w:left="3600" w:hanging="360"/>
      </w:pPr>
    </w:lvl>
    <w:lvl w:ilvl="5" w:tplc="CD2ED544" w:tentative="1">
      <w:start w:val="1"/>
      <w:numFmt w:val="lowerRoman"/>
      <w:lvlText w:val="%6."/>
      <w:lvlJc w:val="right"/>
      <w:pPr>
        <w:tabs>
          <w:tab w:val="num" w:pos="4320"/>
        </w:tabs>
        <w:ind w:left="4320" w:hanging="180"/>
      </w:pPr>
    </w:lvl>
    <w:lvl w:ilvl="6" w:tplc="10B2D600" w:tentative="1">
      <w:start w:val="1"/>
      <w:numFmt w:val="decimal"/>
      <w:lvlText w:val="%7."/>
      <w:lvlJc w:val="left"/>
      <w:pPr>
        <w:tabs>
          <w:tab w:val="num" w:pos="5040"/>
        </w:tabs>
        <w:ind w:left="5040" w:hanging="360"/>
      </w:pPr>
    </w:lvl>
    <w:lvl w:ilvl="7" w:tplc="56987768" w:tentative="1">
      <w:start w:val="1"/>
      <w:numFmt w:val="lowerLetter"/>
      <w:lvlText w:val="%8."/>
      <w:lvlJc w:val="left"/>
      <w:pPr>
        <w:tabs>
          <w:tab w:val="num" w:pos="5760"/>
        </w:tabs>
        <w:ind w:left="5760" w:hanging="360"/>
      </w:pPr>
    </w:lvl>
    <w:lvl w:ilvl="8" w:tplc="7166CC58" w:tentative="1">
      <w:start w:val="1"/>
      <w:numFmt w:val="lowerRoman"/>
      <w:lvlText w:val="%9."/>
      <w:lvlJc w:val="right"/>
      <w:pPr>
        <w:tabs>
          <w:tab w:val="num" w:pos="6480"/>
        </w:tabs>
        <w:ind w:left="6480" w:hanging="180"/>
      </w:pPr>
    </w:lvl>
  </w:abstractNum>
  <w:abstractNum w:abstractNumId="15"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8"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4"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2367A3"/>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1135"/>
        </w:tabs>
        <w:ind w:left="1135"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20"/>
  </w:num>
  <w:num w:numId="4">
    <w:abstractNumId w:val="28"/>
  </w:num>
  <w:num w:numId="5">
    <w:abstractNumId w:val="0"/>
  </w:num>
  <w:num w:numId="6">
    <w:abstractNumId w:val="12"/>
  </w:num>
  <w:num w:numId="7">
    <w:abstractNumId w:val="31"/>
  </w:num>
  <w:num w:numId="8">
    <w:abstractNumId w:val="26"/>
  </w:num>
  <w:num w:numId="9">
    <w:abstractNumId w:val="33"/>
  </w:num>
  <w:num w:numId="10">
    <w:abstractNumId w:val="14"/>
  </w:num>
  <w:num w:numId="11">
    <w:abstractNumId w:val="7"/>
  </w:num>
  <w:num w:numId="12">
    <w:abstractNumId w:val="36"/>
  </w:num>
  <w:num w:numId="13">
    <w:abstractNumId w:val="30"/>
  </w:num>
  <w:num w:numId="14">
    <w:abstractNumId w:val="21"/>
  </w:num>
  <w:num w:numId="15">
    <w:abstractNumId w:val="24"/>
  </w:num>
  <w:num w:numId="16">
    <w:abstractNumId w:val="8"/>
  </w:num>
  <w:num w:numId="17">
    <w:abstractNumId w:val="32"/>
  </w:num>
  <w:num w:numId="18">
    <w:abstractNumId w:val="5"/>
  </w:num>
  <w:num w:numId="19">
    <w:abstractNumId w:val="34"/>
  </w:num>
  <w:num w:numId="20">
    <w:abstractNumId w:val="10"/>
  </w:num>
  <w:num w:numId="21">
    <w:abstractNumId w:val="15"/>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2"/>
  </w:num>
  <w:num w:numId="25">
    <w:abstractNumId w:val="19"/>
  </w:num>
  <w:num w:numId="26">
    <w:abstractNumId w:val="2"/>
  </w:num>
  <w:num w:numId="27">
    <w:abstractNumId w:val="18"/>
  </w:num>
  <w:num w:numId="28">
    <w:abstractNumId w:val="1"/>
  </w:num>
  <w:num w:numId="29">
    <w:abstractNumId w:val="32"/>
  </w:num>
  <w:num w:numId="30">
    <w:abstractNumId w:val="11"/>
  </w:num>
  <w:num w:numId="31">
    <w:abstractNumId w:val="22"/>
  </w:num>
  <w:num w:numId="32">
    <w:abstractNumId w:val="3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7"/>
  </w:num>
  <w:num w:numId="36">
    <w:abstractNumId w:val="27"/>
  </w:num>
  <w:num w:numId="37">
    <w:abstractNumId w:val="4"/>
  </w:num>
  <w:num w:numId="38">
    <w:abstractNumId w:val="6"/>
  </w:num>
  <w:num w:numId="39">
    <w:abstractNumId w:val="9"/>
  </w:num>
  <w:num w:numId="40">
    <w:abstractNumId w:val="32"/>
  </w:num>
  <w:num w:numId="41">
    <w:abstractNumId w:val="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DE"/>
    <w:rsid w:val="000005BD"/>
    <w:rsid w:val="000049D8"/>
    <w:rsid w:val="0000715D"/>
    <w:rsid w:val="000100EE"/>
    <w:rsid w:val="0001501E"/>
    <w:rsid w:val="0002172C"/>
    <w:rsid w:val="00045B0C"/>
    <w:rsid w:val="00047D1B"/>
    <w:rsid w:val="00051D3E"/>
    <w:rsid w:val="000731E4"/>
    <w:rsid w:val="00084858"/>
    <w:rsid w:val="00090383"/>
    <w:rsid w:val="000A38EF"/>
    <w:rsid w:val="000A3CEE"/>
    <w:rsid w:val="000B78C8"/>
    <w:rsid w:val="000C136F"/>
    <w:rsid w:val="000C50B1"/>
    <w:rsid w:val="000C52D4"/>
    <w:rsid w:val="000D3DD4"/>
    <w:rsid w:val="000D6F14"/>
    <w:rsid w:val="000D7CC9"/>
    <w:rsid w:val="000E1A47"/>
    <w:rsid w:val="000F0222"/>
    <w:rsid w:val="00105E12"/>
    <w:rsid w:val="001117D5"/>
    <w:rsid w:val="0011311A"/>
    <w:rsid w:val="00121B4D"/>
    <w:rsid w:val="001352DF"/>
    <w:rsid w:val="00136447"/>
    <w:rsid w:val="001373D0"/>
    <w:rsid w:val="00147010"/>
    <w:rsid w:val="0014716A"/>
    <w:rsid w:val="001550F2"/>
    <w:rsid w:val="001552C3"/>
    <w:rsid w:val="00167129"/>
    <w:rsid w:val="0019329C"/>
    <w:rsid w:val="001A36E0"/>
    <w:rsid w:val="001C2AEE"/>
    <w:rsid w:val="001D0C8F"/>
    <w:rsid w:val="001D4FA1"/>
    <w:rsid w:val="001D7F61"/>
    <w:rsid w:val="001F4E82"/>
    <w:rsid w:val="00204189"/>
    <w:rsid w:val="002067F0"/>
    <w:rsid w:val="002079A6"/>
    <w:rsid w:val="00214F33"/>
    <w:rsid w:val="00215FCB"/>
    <w:rsid w:val="002224E5"/>
    <w:rsid w:val="00234017"/>
    <w:rsid w:val="00234A53"/>
    <w:rsid w:val="00241EB5"/>
    <w:rsid w:val="002453CC"/>
    <w:rsid w:val="002476C4"/>
    <w:rsid w:val="00251D3B"/>
    <w:rsid w:val="00252038"/>
    <w:rsid w:val="00252608"/>
    <w:rsid w:val="00261137"/>
    <w:rsid w:val="00280D90"/>
    <w:rsid w:val="00281164"/>
    <w:rsid w:val="002A071D"/>
    <w:rsid w:val="002A479A"/>
    <w:rsid w:val="002B6347"/>
    <w:rsid w:val="002C084C"/>
    <w:rsid w:val="002C7060"/>
    <w:rsid w:val="002D4A41"/>
    <w:rsid w:val="002E107B"/>
    <w:rsid w:val="002E1679"/>
    <w:rsid w:val="002F56E8"/>
    <w:rsid w:val="002F7947"/>
    <w:rsid w:val="0030539C"/>
    <w:rsid w:val="00306CD2"/>
    <w:rsid w:val="00306F1C"/>
    <w:rsid w:val="00316AB9"/>
    <w:rsid w:val="0032250A"/>
    <w:rsid w:val="00325CC2"/>
    <w:rsid w:val="00326A98"/>
    <w:rsid w:val="00355859"/>
    <w:rsid w:val="00355FBC"/>
    <w:rsid w:val="00360DFC"/>
    <w:rsid w:val="00373C39"/>
    <w:rsid w:val="003901A1"/>
    <w:rsid w:val="00392EC2"/>
    <w:rsid w:val="00393492"/>
    <w:rsid w:val="00396B72"/>
    <w:rsid w:val="003A26B7"/>
    <w:rsid w:val="003A5DF0"/>
    <w:rsid w:val="003A7E8F"/>
    <w:rsid w:val="003C0F2E"/>
    <w:rsid w:val="003D6F88"/>
    <w:rsid w:val="003F6388"/>
    <w:rsid w:val="00403361"/>
    <w:rsid w:val="00403B47"/>
    <w:rsid w:val="00406F13"/>
    <w:rsid w:val="00414ECB"/>
    <w:rsid w:val="00420E7C"/>
    <w:rsid w:val="004236F6"/>
    <w:rsid w:val="0042493E"/>
    <w:rsid w:val="00432234"/>
    <w:rsid w:val="00436AD8"/>
    <w:rsid w:val="00446353"/>
    <w:rsid w:val="00450501"/>
    <w:rsid w:val="00452864"/>
    <w:rsid w:val="004607F9"/>
    <w:rsid w:val="00474A5B"/>
    <w:rsid w:val="004757E5"/>
    <w:rsid w:val="0048204C"/>
    <w:rsid w:val="00485448"/>
    <w:rsid w:val="00485FE8"/>
    <w:rsid w:val="004A43B7"/>
    <w:rsid w:val="004C07ED"/>
    <w:rsid w:val="004C3F3A"/>
    <w:rsid w:val="004C65B7"/>
    <w:rsid w:val="004D0A5A"/>
    <w:rsid w:val="004D202A"/>
    <w:rsid w:val="004D2928"/>
    <w:rsid w:val="004D4B11"/>
    <w:rsid w:val="004E49CA"/>
    <w:rsid w:val="0050788B"/>
    <w:rsid w:val="00517A06"/>
    <w:rsid w:val="00517A73"/>
    <w:rsid w:val="00541C61"/>
    <w:rsid w:val="005438C2"/>
    <w:rsid w:val="005468D2"/>
    <w:rsid w:val="00561996"/>
    <w:rsid w:val="00563C5C"/>
    <w:rsid w:val="00571653"/>
    <w:rsid w:val="00572A5D"/>
    <w:rsid w:val="00576C25"/>
    <w:rsid w:val="00583EBB"/>
    <w:rsid w:val="00590A38"/>
    <w:rsid w:val="00590A88"/>
    <w:rsid w:val="005A1D40"/>
    <w:rsid w:val="005B1CB1"/>
    <w:rsid w:val="005B427B"/>
    <w:rsid w:val="005B4B12"/>
    <w:rsid w:val="005C295E"/>
    <w:rsid w:val="005C5257"/>
    <w:rsid w:val="005D7E0A"/>
    <w:rsid w:val="006044DC"/>
    <w:rsid w:val="00613617"/>
    <w:rsid w:val="00620684"/>
    <w:rsid w:val="00625107"/>
    <w:rsid w:val="00626F68"/>
    <w:rsid w:val="00637592"/>
    <w:rsid w:val="006445BB"/>
    <w:rsid w:val="00645977"/>
    <w:rsid w:val="006511C0"/>
    <w:rsid w:val="00651315"/>
    <w:rsid w:val="006575D5"/>
    <w:rsid w:val="00661168"/>
    <w:rsid w:val="006666F4"/>
    <w:rsid w:val="00670F77"/>
    <w:rsid w:val="00681752"/>
    <w:rsid w:val="00687000"/>
    <w:rsid w:val="006913F0"/>
    <w:rsid w:val="00694320"/>
    <w:rsid w:val="006B2794"/>
    <w:rsid w:val="006C353A"/>
    <w:rsid w:val="006C7E90"/>
    <w:rsid w:val="006D20F6"/>
    <w:rsid w:val="006D4548"/>
    <w:rsid w:val="006F03B3"/>
    <w:rsid w:val="006F2FC6"/>
    <w:rsid w:val="006F7E96"/>
    <w:rsid w:val="00713536"/>
    <w:rsid w:val="007236C9"/>
    <w:rsid w:val="00736548"/>
    <w:rsid w:val="00740712"/>
    <w:rsid w:val="00747FB8"/>
    <w:rsid w:val="0075105B"/>
    <w:rsid w:val="0076095D"/>
    <w:rsid w:val="007628DD"/>
    <w:rsid w:val="0077430E"/>
    <w:rsid w:val="00774E02"/>
    <w:rsid w:val="007812A1"/>
    <w:rsid w:val="007A0DFD"/>
    <w:rsid w:val="007A5AC7"/>
    <w:rsid w:val="007B5888"/>
    <w:rsid w:val="007C34A9"/>
    <w:rsid w:val="007C4EC5"/>
    <w:rsid w:val="007D0D5A"/>
    <w:rsid w:val="007D2A95"/>
    <w:rsid w:val="007D6A1D"/>
    <w:rsid w:val="007D789D"/>
    <w:rsid w:val="007E1044"/>
    <w:rsid w:val="007E6B34"/>
    <w:rsid w:val="007F2154"/>
    <w:rsid w:val="007F52FC"/>
    <w:rsid w:val="007F6B1D"/>
    <w:rsid w:val="007F6B88"/>
    <w:rsid w:val="0083191F"/>
    <w:rsid w:val="00831C38"/>
    <w:rsid w:val="00841743"/>
    <w:rsid w:val="0084319C"/>
    <w:rsid w:val="00850383"/>
    <w:rsid w:val="008656D7"/>
    <w:rsid w:val="00870739"/>
    <w:rsid w:val="00871FC3"/>
    <w:rsid w:val="00875AC5"/>
    <w:rsid w:val="008834B5"/>
    <w:rsid w:val="00887DE4"/>
    <w:rsid w:val="0089165A"/>
    <w:rsid w:val="00892C02"/>
    <w:rsid w:val="0089362B"/>
    <w:rsid w:val="0089690F"/>
    <w:rsid w:val="00897821"/>
    <w:rsid w:val="008B382A"/>
    <w:rsid w:val="008E0E02"/>
    <w:rsid w:val="008F3569"/>
    <w:rsid w:val="008F6868"/>
    <w:rsid w:val="00900C5C"/>
    <w:rsid w:val="009077DE"/>
    <w:rsid w:val="00914577"/>
    <w:rsid w:val="00921EC2"/>
    <w:rsid w:val="0092386E"/>
    <w:rsid w:val="00925046"/>
    <w:rsid w:val="00930F5D"/>
    <w:rsid w:val="00934B3C"/>
    <w:rsid w:val="0093583B"/>
    <w:rsid w:val="0093688B"/>
    <w:rsid w:val="00942873"/>
    <w:rsid w:val="00947A65"/>
    <w:rsid w:val="00965DE5"/>
    <w:rsid w:val="00971993"/>
    <w:rsid w:val="00972C3A"/>
    <w:rsid w:val="00975CC4"/>
    <w:rsid w:val="00976ADF"/>
    <w:rsid w:val="009811C7"/>
    <w:rsid w:val="00991E97"/>
    <w:rsid w:val="00995675"/>
    <w:rsid w:val="009B0069"/>
    <w:rsid w:val="009B3291"/>
    <w:rsid w:val="009B65D0"/>
    <w:rsid w:val="009D4120"/>
    <w:rsid w:val="009D4CB4"/>
    <w:rsid w:val="009D5CA4"/>
    <w:rsid w:val="009E48A7"/>
    <w:rsid w:val="009E6F4E"/>
    <w:rsid w:val="009F2ED7"/>
    <w:rsid w:val="009F5527"/>
    <w:rsid w:val="00A02763"/>
    <w:rsid w:val="00A03D69"/>
    <w:rsid w:val="00A04C18"/>
    <w:rsid w:val="00A05F35"/>
    <w:rsid w:val="00A07376"/>
    <w:rsid w:val="00A13CC7"/>
    <w:rsid w:val="00A20385"/>
    <w:rsid w:val="00A273E0"/>
    <w:rsid w:val="00A446FF"/>
    <w:rsid w:val="00A453DF"/>
    <w:rsid w:val="00A519B7"/>
    <w:rsid w:val="00A6248B"/>
    <w:rsid w:val="00A7462A"/>
    <w:rsid w:val="00A8169A"/>
    <w:rsid w:val="00A847D0"/>
    <w:rsid w:val="00A91555"/>
    <w:rsid w:val="00AC33C8"/>
    <w:rsid w:val="00AC3B15"/>
    <w:rsid w:val="00AE34A0"/>
    <w:rsid w:val="00AE3559"/>
    <w:rsid w:val="00AE3975"/>
    <w:rsid w:val="00AE4091"/>
    <w:rsid w:val="00AF0FFE"/>
    <w:rsid w:val="00AF4191"/>
    <w:rsid w:val="00B0306E"/>
    <w:rsid w:val="00B1543C"/>
    <w:rsid w:val="00B174DA"/>
    <w:rsid w:val="00B20088"/>
    <w:rsid w:val="00B20F4D"/>
    <w:rsid w:val="00B24278"/>
    <w:rsid w:val="00B30808"/>
    <w:rsid w:val="00B40A7F"/>
    <w:rsid w:val="00B62C10"/>
    <w:rsid w:val="00B822CB"/>
    <w:rsid w:val="00B84AE9"/>
    <w:rsid w:val="00B870D8"/>
    <w:rsid w:val="00B95C10"/>
    <w:rsid w:val="00BA713A"/>
    <w:rsid w:val="00BB35FC"/>
    <w:rsid w:val="00BC3527"/>
    <w:rsid w:val="00BC5BD3"/>
    <w:rsid w:val="00BD536A"/>
    <w:rsid w:val="00BE029E"/>
    <w:rsid w:val="00BE0C27"/>
    <w:rsid w:val="00BE2FAA"/>
    <w:rsid w:val="00BF72D4"/>
    <w:rsid w:val="00BF7743"/>
    <w:rsid w:val="00C010B4"/>
    <w:rsid w:val="00C01E59"/>
    <w:rsid w:val="00C131AB"/>
    <w:rsid w:val="00C15EBE"/>
    <w:rsid w:val="00C20B10"/>
    <w:rsid w:val="00C23A8F"/>
    <w:rsid w:val="00C55108"/>
    <w:rsid w:val="00C57669"/>
    <w:rsid w:val="00C7600A"/>
    <w:rsid w:val="00C779FD"/>
    <w:rsid w:val="00C92A4B"/>
    <w:rsid w:val="00C93407"/>
    <w:rsid w:val="00C93545"/>
    <w:rsid w:val="00C94952"/>
    <w:rsid w:val="00C972B3"/>
    <w:rsid w:val="00CA6094"/>
    <w:rsid w:val="00CB25C5"/>
    <w:rsid w:val="00CB76BE"/>
    <w:rsid w:val="00CC0726"/>
    <w:rsid w:val="00CD0A12"/>
    <w:rsid w:val="00CE45B8"/>
    <w:rsid w:val="00CE5E82"/>
    <w:rsid w:val="00CF0F57"/>
    <w:rsid w:val="00CF464D"/>
    <w:rsid w:val="00CF7B10"/>
    <w:rsid w:val="00D05677"/>
    <w:rsid w:val="00D115EA"/>
    <w:rsid w:val="00D11FEA"/>
    <w:rsid w:val="00D213AA"/>
    <w:rsid w:val="00D241CD"/>
    <w:rsid w:val="00D3199E"/>
    <w:rsid w:val="00D32996"/>
    <w:rsid w:val="00D45316"/>
    <w:rsid w:val="00D47AF5"/>
    <w:rsid w:val="00D644A4"/>
    <w:rsid w:val="00D662EC"/>
    <w:rsid w:val="00D73F0B"/>
    <w:rsid w:val="00D7768E"/>
    <w:rsid w:val="00D844DE"/>
    <w:rsid w:val="00D8772B"/>
    <w:rsid w:val="00DA71A9"/>
    <w:rsid w:val="00DB050C"/>
    <w:rsid w:val="00DC024C"/>
    <w:rsid w:val="00DC0410"/>
    <w:rsid w:val="00DC5F74"/>
    <w:rsid w:val="00DC60FF"/>
    <w:rsid w:val="00DC7101"/>
    <w:rsid w:val="00DC799E"/>
    <w:rsid w:val="00DC7EBA"/>
    <w:rsid w:val="00DD6DAB"/>
    <w:rsid w:val="00DD7445"/>
    <w:rsid w:val="00E04E56"/>
    <w:rsid w:val="00E06EC2"/>
    <w:rsid w:val="00E07E67"/>
    <w:rsid w:val="00E17B1D"/>
    <w:rsid w:val="00E21B82"/>
    <w:rsid w:val="00E2532A"/>
    <w:rsid w:val="00E35015"/>
    <w:rsid w:val="00E369B4"/>
    <w:rsid w:val="00E456F7"/>
    <w:rsid w:val="00E46499"/>
    <w:rsid w:val="00E47028"/>
    <w:rsid w:val="00E62684"/>
    <w:rsid w:val="00E656DA"/>
    <w:rsid w:val="00E742DB"/>
    <w:rsid w:val="00E85E10"/>
    <w:rsid w:val="00E93285"/>
    <w:rsid w:val="00E9416F"/>
    <w:rsid w:val="00E94CD7"/>
    <w:rsid w:val="00EA0F6D"/>
    <w:rsid w:val="00EA5328"/>
    <w:rsid w:val="00EA6A7E"/>
    <w:rsid w:val="00EC0D36"/>
    <w:rsid w:val="00EC4025"/>
    <w:rsid w:val="00ED315B"/>
    <w:rsid w:val="00EE0EC8"/>
    <w:rsid w:val="00EF4594"/>
    <w:rsid w:val="00EF6C3F"/>
    <w:rsid w:val="00EF7B33"/>
    <w:rsid w:val="00F0085A"/>
    <w:rsid w:val="00F04916"/>
    <w:rsid w:val="00F11A07"/>
    <w:rsid w:val="00F153F0"/>
    <w:rsid w:val="00F27598"/>
    <w:rsid w:val="00F34EE0"/>
    <w:rsid w:val="00F361DE"/>
    <w:rsid w:val="00F52820"/>
    <w:rsid w:val="00F612E2"/>
    <w:rsid w:val="00F67324"/>
    <w:rsid w:val="00F74CD5"/>
    <w:rsid w:val="00F81417"/>
    <w:rsid w:val="00F84F8E"/>
    <w:rsid w:val="00F93B30"/>
    <w:rsid w:val="00F94146"/>
    <w:rsid w:val="00FA41BE"/>
    <w:rsid w:val="00FB02D9"/>
    <w:rsid w:val="00FC4527"/>
    <w:rsid w:val="00FD004F"/>
    <w:rsid w:val="00FD0419"/>
    <w:rsid w:val="00FD079E"/>
    <w:rsid w:val="00FD3065"/>
    <w:rsid w:val="00FD541B"/>
    <w:rsid w:val="00FD5DA9"/>
    <w:rsid w:val="00FE0590"/>
    <w:rsid w:val="00FF4AA3"/>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72BCC"/>
  <w15:docId w15:val="{CE7E88BC-A1D0-42EE-B61C-D22D708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semiHidden="1" w:qFormat="1"/>
    <w:lsdException w:name="Strong" w:qFormat="1"/>
    <w:lsdException w:name="Emphasis" w:semiHidden="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11C7"/>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tabs>
        <w:tab w:val="clear" w:pos="1135"/>
        <w:tab w:val="num" w:pos="567"/>
      </w:tabs>
      <w:spacing w:before="120" w:after="120"/>
      <w:ind w:left="567"/>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paragraph" w:styleId="Revize">
    <w:name w:val="Revision"/>
    <w:hidden/>
    <w:uiPriority w:val="99"/>
    <w:semiHidden/>
    <w:rsid w:val="00991E97"/>
    <w:rPr>
      <w:sz w:val="22"/>
      <w:szCs w:val="24"/>
      <w:lang w:eastAsia="en-US"/>
    </w:rPr>
  </w:style>
  <w:style w:type="paragraph" w:customStyle="1" w:styleId="Styl1">
    <w:name w:val="Styl1"/>
    <w:basedOn w:val="Normln"/>
    <w:rsid w:val="00942873"/>
    <w:pPr>
      <w:numPr>
        <w:numId w:val="44"/>
      </w:numPr>
      <w:spacing w:before="0" w:after="210" w:line="300" w:lineRule="auto"/>
      <w:jc w:val="left"/>
    </w:pPr>
    <w:rPr>
      <w:rFonts w:ascii="Arial" w:eastAsia="Calibri" w:hAnsi="Arial"/>
      <w:b/>
      <w:sz w:val="20"/>
    </w:rPr>
  </w:style>
  <w:style w:type="paragraph" w:customStyle="1" w:styleId="Styl2">
    <w:name w:val="Styl2"/>
    <w:basedOn w:val="Normln"/>
    <w:rsid w:val="00942873"/>
    <w:pPr>
      <w:numPr>
        <w:ilvl w:val="1"/>
        <w:numId w:val="44"/>
      </w:numPr>
      <w:spacing w:before="0" w:after="210" w:line="300" w:lineRule="auto"/>
      <w:jc w:val="left"/>
    </w:pPr>
    <w:rPr>
      <w:rFonts w:ascii="Arial" w:eastAsia="Calibr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o_poskytovani_pravnich_sluzeb_kratka_verze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16B544-8C00-490D-9965-2BFE3BFB9CBD}">
  <we:reference id="afc5882d-114f-49f2-86e7-583914b0a020" version="1.0.0.18"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30ED-CAA5-4B5D-B2BD-668F1B86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H&amp;P_Template_Smlouva_o_poskytovani_pravnich_sluzeb_kratka_verze_CZ</Template>
  <TotalTime>168</TotalTime>
  <Pages>4</Pages>
  <Words>1785</Words>
  <Characters>11111</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H&amp;P</dc:creator>
  <cp:lastModifiedBy>Vladimira</cp:lastModifiedBy>
  <cp:revision>4</cp:revision>
  <cp:lastPrinted>2019-02-08T08:16:00Z</cp:lastPrinted>
  <dcterms:created xsi:type="dcterms:W3CDTF">2025-04-11T07:31:00Z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2025-04-09T13:52:11Z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095a9a9e-b1ad-4a78-b257-4de21b22fb50</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