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Divadlo Archa, o.p.s.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ředitelem společnosti,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IČ: 26 72 30 00, DIČ: CZ 26 72 30 00,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dále jen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ARCHA+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Live Performance Bazaar, z.s.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sídlem U krčské vodárny 943/42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zastoupený Ewan McLarenen, předsedou spolku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IČO: 07166150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číslo účtu: 715994002/5500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(dále jen Spolek)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uzavírají podle § 1746 odst. 2 zákona č. 89/2012 Sb, občanského zákoníku níže uvedeného dne, měsíce a roku tuto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SMLOUVU O SPOLUPRÁCI PŘI USPOŘÁDÁNÍ POŘADU V RÁMCI MEZINÁRODNÍHO FESTIVALU BAZAAR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Předmět smlouvy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Předmětem této smlouvy je vzájemná spolupráce v rámci 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spořádání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mezinárodní přehlídky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BAZAAR FESTIVAL 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jejímž cílem je představit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divadelní a taneční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inscenace tvůrců nezávislé scény střední a východní Evropy a Blízkého východu, letos     na téma Čí tělo je moje tělo (dále jen Festival).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Smluvní strany se dohodly na společném uspořádání slavnostního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ahájen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festivalu v prostoru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(dále jen Akce). Během Akce, která proběhne 20. 3. 2025 od 19 hodin, se uskuteční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světová premiéra dokumentárního díla Magdy Szpecht a novinka kyjevských tanečních tvůrkyní Galy Pekhy a Yulii Lopaty nazvaná Cossachka (dále jen Program).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40" w:right="-226" w:firstLine="708.0000000000001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ARCHY+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pro zkoušky a pro uvedení Programu dle článku I prostory velkého sálu a jeho zázemí včetně dodávky energií a vody. Prostory budou poskytnuty v místě prostoru ARCHA+ Na Poříčí 26, Praha 1, v termínech a časech dle níže uvedeného harmonogramu: </w:t>
      </w:r>
    </w:p>
    <w:p w:rsidR="00000000" w:rsidDel="00000000" w:rsidP="00000000" w:rsidRDefault="00000000" w:rsidRPr="00000000" w14:paraId="00000021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středa 19. 3.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/  9:00 - 21:00 - příprava sálu (celkem 12 hodin)</w:t>
      </w:r>
    </w:p>
    <w:p w:rsidR="00000000" w:rsidDel="00000000" w:rsidP="00000000" w:rsidRDefault="00000000" w:rsidRPr="00000000" w14:paraId="00000022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(12 hod)</w:t>
      </w:r>
    </w:p>
    <w:p w:rsidR="00000000" w:rsidDel="00000000" w:rsidP="00000000" w:rsidRDefault="00000000" w:rsidRPr="00000000" w14:paraId="00000023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Poskytnutí prostoru tzv.Zásálí pro účely zkoušek představení Magdy Szpecht.</w:t>
      </w:r>
    </w:p>
    <w:p w:rsidR="00000000" w:rsidDel="00000000" w:rsidP="00000000" w:rsidRDefault="00000000" w:rsidRPr="00000000" w14:paraId="00000024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čtvrtek 20. 3.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/  9:00 - 18:00 - technická příprava a zkoušky</w:t>
      </w:r>
    </w:p>
    <w:p w:rsidR="00000000" w:rsidDel="00000000" w:rsidP="00000000" w:rsidRDefault="00000000" w:rsidRPr="00000000" w14:paraId="00000026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18:30 - otevření dveří, vpuštění návštěvníků do sálu</w:t>
      </w:r>
    </w:p>
    <w:p w:rsidR="00000000" w:rsidDel="00000000" w:rsidP="00000000" w:rsidRDefault="00000000" w:rsidRPr="00000000" w14:paraId="00000027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19:00 - 19:45 - dokumentární představení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Magdy Szpecht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19:00 -  20:10 - přestavba jeviště</w:t>
      </w:r>
    </w:p>
    <w:p w:rsidR="00000000" w:rsidDel="00000000" w:rsidP="00000000" w:rsidRDefault="00000000" w:rsidRPr="00000000" w14:paraId="0000002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20:10 - 21:00 - taneční představení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Cossachka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21:10 - 24:00 - likvidace </w:t>
      </w:r>
    </w:p>
    <w:p w:rsidR="00000000" w:rsidDel="00000000" w:rsidP="00000000" w:rsidRDefault="00000000" w:rsidRPr="00000000" w14:paraId="0000002B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(celkem 15 hod)</w:t>
      </w:r>
    </w:p>
    <w:p w:rsidR="00000000" w:rsidDel="00000000" w:rsidP="00000000" w:rsidRDefault="00000000" w:rsidRPr="00000000" w14:paraId="0000002C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Poskytnutí prostoru Malého sálu pro účely zkoušek představení Cossachka.</w:t>
      </w:r>
    </w:p>
    <w:p w:rsidR="00000000" w:rsidDel="00000000" w:rsidP="00000000" w:rsidRDefault="00000000" w:rsidRPr="00000000" w14:paraId="0000002D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Kontaktní osobou pro organizační záležitosti a úpravu harmonogramu je produkční Jakub Hykeš -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jakub.hykes@archa-plus.cz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prostřednictvím externích spolupracovníků zajistit pro uvedení Programu osvětlovací, zvukařské, video a  jevištní služby včetně poskytnutí zvukařské, osvětlovací a video techniky, vše v rozsahu vybavení prostoru ARCHA+. Smluvní strany se shodují, že vybavení ARCHY+ je dostačující pro zajištění Programu. 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produkční, organizační a provozní realizaci Programu.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uvaděče a hledištní personál v dostatečném počtu a úklid prostor dle dohody.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360" w:right="-226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umožní vstup do svých prostor pracovníkům Festivalu a dalším osobám zabezpečujícím Program dle seznamu dodaného před Akcí ( nejpozději do 19. 3. 2025) nebo na základě dohody s produkčním Jakubem Hykešem.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Festivalu dle běžného standardu.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on-line předprodej vstupenek na Program prostřednictvím portálu Go Out a prodej vstupenek v pokladně na místě před akcí. ARCHA+ se zavazuje zaslat informaci a čistých tržbách nejpozději do 5 dnů od konání Akce (25.3. 2025). Čistá tržba ze vstupného je vypočítána odečtením provize ve výši 3,7% od hrubé tržby ze vstupného.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nárok na využití volných vstupenek na Program v počtu dle dohody Smluvních stran. Kontaktní osobou pro jednání o vstupenkách a prodeji je za ARCHU+ Martina Žáková – martina.zakova</w:t>
      </w:r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pořídit fotodokumentaci a video z Programu a je oprávněna obrazovou a audio dokumentaci použít pro propagaci své činnosti, nikoliv však pro komerční účely, vždy však pouze až po schválení zveřejňovaných materiálů Spolkem. Za Spolek je v tomto oprávněna jednat manažerka propagace Michaela Sikorová,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michaela@bazaarfesival.cz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.  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Spolku. Spolek se zavazuje takové škody pokrýt a uhradit svým pojištěním, případně se nároků na škodu vzdát. 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podílet na nákladech souvisejících s uspořádáním Programu v prostoru ARCHA+.</w:t>
      </w:r>
    </w:p>
    <w:p w:rsidR="00000000" w:rsidDel="00000000" w:rsidP="00000000" w:rsidRDefault="00000000" w:rsidRPr="00000000" w14:paraId="00000039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3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Spolku</w:t>
      </w:r>
    </w:p>
    <w:p w:rsidR="00000000" w:rsidDel="00000000" w:rsidP="00000000" w:rsidRDefault="00000000" w:rsidRPr="00000000" w14:paraId="0000003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Spolek se zavazuje zajistit uměleckou přípravu a realizaci Festivalu, zejména pak organizaci Akce a přípravu Programu dle podmínek stanovených touto smlouvou.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Spolek se zavazuje smluvně zajistit na své náklady autory, účinkující, výkonné umělce a další osoby podílející se na Akci (vyplacením honorářů). Dále Spolek zajistí dopravu osob a přepravu materiálu, občerstvení pro účinkující a další služby spojené s účinkováním (úhradou faktur).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Spolek uhradí všechny autorské odměny včetně licencí a dalších autorských poplatků autorům a kolektivním správcům autorských děl  (OSA, Dilia a Intergram). ARCHA+ nenese odpovědnost za případná porušení autorských a dalších práv vyplývajících z autorského zákona souvisejících s uvedením Programu v prostoru ARCHA+ dle této smlouvy.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Spolek se zavazuje zajistit, aby kostýmy, dekorace a scéna užité při Akci splňovaly požadavky platných bezpečnostních a protipožárních norem. Jakékoliv rizikové skutečnosti související s BOZP je Spolek povinen nahlásit s dostatečným předstihem.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Spolek prohlašuje, že je mu znám stav prostoru ARCHY+, kde se Akce uskuteční. Zároveň seznámil spolupracující osoby i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Spolek se zavazuje zajistit propagaci Festivalu, Akce a Programu dle běžného standardu a dodat v dostatečném předstihu ARŠE+ propagační materiály vztahující se k Akci. Spolek se zavazuje uvést na propagačních materiálech k Akci realizované na základě této smlouvy logo prostoru ARCHA+ a text „Uvedeno ve spolupráci s  ARCHA+“, není-li Smluvními stranami dohodnuto jin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Spolek se zavazuje podílet na nákladech souvisejících s uspořádáním Akce dle podmínek uvedených v článku IV.</w:t>
      </w:r>
    </w:p>
    <w:p w:rsidR="00000000" w:rsidDel="00000000" w:rsidP="00000000" w:rsidRDefault="00000000" w:rsidRPr="00000000" w14:paraId="00000044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IV.</w:t>
      </w:r>
    </w:p>
    <w:p w:rsidR="00000000" w:rsidDel="00000000" w:rsidP="00000000" w:rsidRDefault="00000000" w:rsidRPr="00000000" w14:paraId="0000004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4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zavazují zajistit některé služby související s uspořádáním Akce dle článků II a III z vlastních zdrojů (koprodukční vklady) a ze vstupného.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za spolupráci dle této smlouvy fakturovat cenu ve výši 120.000 Kč. Faktura bude vystavena nejdříve v den konání akce se splatností 10 dnů.  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Vyúčtování tržeb zašle ARCHA+ Spolku nejpozději 5 dnů po uskutečnění Akce. Čisté tržby ze vstupného budou vypočteny z hrubé tržby  po odečtení poplatků ve výši 3,7% + DPH.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Spolek je oprávněn za spolupráci dle této smlouvy fakturovat cenu ve výši čistých tržeb ze vstupného na základě vyúčtování dle odstavce 3. 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vzájemném započtení pohledávek ve výši dle tohoto článku odstavce 2 a 4. Smluvní strana, jejíž pohledávka bude nižší, odešle částku ve výši rozdílu pohledávek na účet druhé smluvní strany. Tím budou vyrovnány finanční závazky Smluvních stran dle této smlouvy.</w:t>
      </w:r>
    </w:p>
    <w:p w:rsidR="00000000" w:rsidDel="00000000" w:rsidP="00000000" w:rsidRDefault="00000000" w:rsidRPr="00000000" w14:paraId="0000004D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right="-226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Zvláštní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Technické podmínky a přesný časový plán akce bude projednán mezi oběma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mluvními stranami nejpozději do 10. 3. 2024.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umožní vstup do prostoru ARCHA+ pracovníkům Spolku a dalším osobám zabezpečujícím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kci dle seznamu dodaného Spolkem.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00000a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případě, že se Akce dle této smlouvy neuskuteční z důvodu vyšší moci (válka, zemětřesení, místní nepokoje, ter. útok apod.),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zavazuje, při závažném porušení smluvních podmínek, které budou důvodem ke zrušení Akce ve smluvních termínech a prostorách uhradit druhé Smluvní straně smluvní pokutu ve výši 50 000 Kč. Toto ustanovení se netýká zásahů vyšší moci.</w:t>
      </w:r>
    </w:p>
    <w:p w:rsidR="00000000" w:rsidDel="00000000" w:rsidP="00000000" w:rsidRDefault="00000000" w:rsidRPr="00000000" w14:paraId="00000056">
      <w:pPr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right="-226" w:hanging="284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after="12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after="12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 Praze dne: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-226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           Divadlo Archa, o. p. s.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Live Performance Bazaar, z.s.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even"/>
      <w:footerReference r:id="rId12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rebuchet MS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RomanEES" w:cs="RomanEES" w:eastAsia="RomanEES" w:hAnsi="RomanEES"/>
        <w:color w:val="000000"/>
        <w:sz w:val="24"/>
        <w:szCs w:val="24"/>
      </w:rPr>
    </w:pPr>
    <w:r w:rsidDel="00000000" w:rsidR="00000000" w:rsidRPr="00000000">
      <w:rPr>
        <w:rFonts w:ascii="RomanEES" w:cs="RomanEES" w:eastAsia="RomanEES" w:hAnsi="RomanEES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RomanEES" w:cs="RomanEES" w:eastAsia="RomanEES" w:hAnsi="RomanEES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RomanEES" w:cs="RomanEES" w:eastAsia="RomanEES" w:hAnsi="RomanEES"/>
        <w:color w:val="000000"/>
        <w:sz w:val="24"/>
        <w:szCs w:val="24"/>
      </w:rPr>
    </w:pPr>
    <w:r w:rsidDel="00000000" w:rsidR="00000000" w:rsidRPr="00000000">
      <w:rPr>
        <w:rFonts w:ascii="RomanEES" w:cs="RomanEES" w:eastAsia="RomanEES" w:hAnsi="RomanEES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RomanEES" w:cs="RomanEES" w:eastAsia="RomanEES" w:hAnsi="RomanEES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RomanEES" w:cs="RomanEES" w:eastAsia="RomanEES" w:hAnsi="RomanEES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RomanEES" w:cs="RomanEES" w:eastAsia="RomanEES" w:hAnsi="RomanEES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3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37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3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Inter" w:cs="Inter" w:eastAsia="Inter" w:hAnsi="Inter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ln" w:customStyle="1">
    <w:name w:val="Normální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RomanEES" w:hAnsi="RomanEES"/>
      <w:position w:val="-1"/>
      <w:sz w:val="24"/>
      <w:lang w:eastAsia="cs-CZ"/>
    </w:rPr>
  </w:style>
  <w:style w:type="paragraph" w:styleId="Nadpis1" w:customStyle="1">
    <w:name w:val="Nadpis 1"/>
    <w:basedOn w:val="Normln"/>
    <w:next w:val="Normln"/>
    <w:pPr>
      <w:spacing w:before="240"/>
    </w:pPr>
    <w:rPr>
      <w:rFonts w:ascii="Helv" w:hAnsi="Helv"/>
      <w:b w:val="1"/>
      <w:u w:val="single"/>
    </w:rPr>
  </w:style>
  <w:style w:type="paragraph" w:styleId="Nadpis2" w:customStyle="1">
    <w:name w:val="Nadpis 2"/>
    <w:basedOn w:val="Normln"/>
    <w:next w:val="Normln"/>
    <w:pPr>
      <w:spacing w:before="120"/>
      <w:outlineLvl w:val="1"/>
    </w:pPr>
    <w:rPr>
      <w:rFonts w:ascii="Helv" w:hAnsi="Helv"/>
      <w:b w:val="1"/>
    </w:rPr>
  </w:style>
  <w:style w:type="paragraph" w:styleId="Nadpis3" w:customStyle="1">
    <w:name w:val="Nadpis 3"/>
    <w:basedOn w:val="Normln"/>
    <w:next w:val="Normlnodsazen"/>
    <w:pPr>
      <w:ind w:left="354"/>
      <w:outlineLvl w:val="2"/>
    </w:pPr>
    <w:rPr>
      <w:rFonts w:ascii="LinePrinter" w:hAnsi="LinePrinter"/>
      <w:b w:val="1"/>
    </w:rPr>
  </w:style>
  <w:style w:type="paragraph" w:styleId="Nadpis4" w:customStyle="1">
    <w:name w:val="Nadpis 4"/>
    <w:basedOn w:val="Normln"/>
    <w:next w:val="Normlnodsazen"/>
    <w:pPr>
      <w:ind w:left="354"/>
      <w:outlineLvl w:val="3"/>
    </w:pPr>
    <w:rPr>
      <w:rFonts w:ascii="LinePrinter" w:hAnsi="LinePrinter"/>
      <w:u w:val="single"/>
    </w:rPr>
  </w:style>
  <w:style w:type="paragraph" w:styleId="Nadpis5" w:customStyle="1">
    <w:name w:val="Nadpis 5"/>
    <w:basedOn w:val="Normln"/>
    <w:next w:val="Normlnodsazen"/>
    <w:pPr>
      <w:ind w:left="708"/>
      <w:outlineLvl w:val="4"/>
    </w:pPr>
    <w:rPr>
      <w:rFonts w:ascii="LinePrinter" w:hAnsi="LinePrinter"/>
      <w:b w:val="1"/>
      <w:sz w:val="20"/>
    </w:rPr>
  </w:style>
  <w:style w:type="paragraph" w:styleId="Nadpis6" w:customStyle="1">
    <w:name w:val="Nadpis 6"/>
    <w:basedOn w:val="Normln"/>
    <w:next w:val="Normlnodsazen"/>
    <w:pPr>
      <w:ind w:left="708"/>
      <w:outlineLvl w:val="5"/>
    </w:pPr>
    <w:rPr>
      <w:rFonts w:ascii="LinePrinter" w:hAnsi="LinePrinter"/>
      <w:sz w:val="20"/>
      <w:u w:val="single"/>
    </w:rPr>
  </w:style>
  <w:style w:type="paragraph" w:styleId="Nadpis7" w:customStyle="1">
    <w:name w:val="Nadpis 7"/>
    <w:basedOn w:val="Normln"/>
    <w:next w:val="Normlnodsazen"/>
    <w:pPr>
      <w:ind w:left="708"/>
      <w:outlineLvl w:val="6"/>
    </w:pPr>
    <w:rPr>
      <w:rFonts w:ascii="LinePrinter" w:hAnsi="LinePrinter"/>
      <w:i w:val="1"/>
      <w:sz w:val="20"/>
    </w:rPr>
  </w:style>
  <w:style w:type="paragraph" w:styleId="Nadpis8" w:customStyle="1">
    <w:name w:val="Nadpis 8"/>
    <w:basedOn w:val="Normln"/>
    <w:next w:val="Normlnodsazen"/>
    <w:pPr>
      <w:ind w:left="708"/>
      <w:outlineLvl w:val="7"/>
    </w:pPr>
    <w:rPr>
      <w:rFonts w:ascii="LinePrinter" w:hAnsi="LinePrinter"/>
      <w:i w:val="1"/>
      <w:sz w:val="20"/>
    </w:rPr>
  </w:style>
  <w:style w:type="paragraph" w:styleId="Nadpis9" w:customStyle="1">
    <w:name w:val="Nadpis 9"/>
    <w:basedOn w:val="Normln"/>
    <w:next w:val="Normlnodsazen"/>
    <w:pPr>
      <w:ind w:left="708"/>
      <w:outlineLvl w:val="8"/>
    </w:pPr>
    <w:rPr>
      <w:rFonts w:ascii="LinePrinter" w:hAnsi="LinePrinter"/>
      <w:i w:val="1"/>
      <w:sz w:val="20"/>
    </w:rPr>
  </w:style>
  <w:style w:type="character" w:styleId="Standardnpsmoodstavce" w:customStyle="1">
    <w:name w:val="Standardní písmo odstavce"/>
    <w:qFormat w:val="1"/>
    <w:rPr>
      <w:w w:val="100"/>
      <w:position w:val="-1"/>
      <w:effect w:val="none"/>
      <w:vertAlign w:val="baseline"/>
      <w:cs w:val="0"/>
      <w:em w:val="none"/>
    </w:rPr>
  </w:style>
  <w:style w:type="table" w:styleId="Normlntabulka" w:customStyle="1">
    <w:name w:val="Normální tabulka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customStyle="1">
    <w:name w:val="Bez seznamu"/>
    <w:qFormat w:val="1"/>
  </w:style>
  <w:style w:type="paragraph" w:styleId="Normlnodsazen" w:customStyle="1">
    <w:name w:val="Normální odsazený"/>
    <w:basedOn w:val="Normln"/>
    <w:pPr>
      <w:ind w:left="708"/>
    </w:pPr>
  </w:style>
  <w:style w:type="paragraph" w:styleId="Zhlav" w:customStyle="1">
    <w:name w:val="Záhlaví"/>
    <w:basedOn w:val="Normln"/>
  </w:style>
  <w:style w:type="character" w:styleId="Znakapoznpodarou" w:customStyle="1">
    <w:name w:val="Značka pozn. pod čarou"/>
    <w:rPr>
      <w:w w:val="100"/>
      <w:position w:val="6"/>
      <w:sz w:val="16"/>
      <w:effect w:val="none"/>
      <w:vertAlign w:val="baseline"/>
      <w:cs w:val="0"/>
      <w:em w:val="none"/>
    </w:rPr>
  </w:style>
  <w:style w:type="paragraph" w:styleId="Textpoznpodarou" w:customStyle="1">
    <w:name w:val="Text pozn. pod čarou"/>
    <w:basedOn w:val="Normln"/>
    <w:rPr>
      <w:sz w:val="20"/>
    </w:rPr>
  </w:style>
  <w:style w:type="paragraph" w:styleId="Zkladntext" w:customStyle="1">
    <w:name w:val="Základní text"/>
    <w:basedOn w:val="Normln"/>
    <w:pPr>
      <w:jc w:val="both"/>
    </w:pPr>
    <w:rPr>
      <w:rFonts w:ascii="Times New Roman" w:hAnsi="Times New Roman"/>
    </w:rPr>
  </w:style>
  <w:style w:type="paragraph" w:styleId="Zkladntext2" w:customStyle="1">
    <w:name w:val="Základní text 2"/>
    <w:basedOn w:val="Normln"/>
    <w:pPr>
      <w:ind w:right="-226"/>
      <w:jc w:val="both"/>
    </w:pPr>
    <w:rPr>
      <w:rFonts w:ascii="Arial Narrow" w:hAnsi="Arial Narrow"/>
      <w:b w:val="1"/>
    </w:rPr>
  </w:style>
  <w:style w:type="paragraph" w:styleId="Textvbloku" w:customStyle="1">
    <w:name w:val="Text v bloku"/>
    <w:basedOn w:val="Normln"/>
    <w:pPr>
      <w:ind w:left="284" w:right="-226"/>
      <w:jc w:val="both"/>
    </w:pPr>
    <w:rPr>
      <w:rFonts w:ascii="Arial Narrow" w:hAnsi="Arial Narrow"/>
    </w:rPr>
  </w:style>
  <w:style w:type="character" w:styleId="slostrnky" w:customStyle="1">
    <w:name w:val="Číslo stránky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Rozloendokumentu" w:customStyle="1">
    <w:name w:val="Rozložení dokumentu"/>
    <w:basedOn w:val="Normln"/>
    <w:pPr>
      <w:shd w:color="auto" w:fill="000080" w:val="clear"/>
    </w:pPr>
    <w:rPr>
      <w:rFonts w:ascii="Tahoma" w:hAnsi="Tahoma"/>
    </w:rPr>
  </w:style>
  <w:style w:type="paragraph" w:styleId="Zkladntext3" w:customStyle="1">
    <w:name w:val="Základní text 3"/>
    <w:basedOn w:val="Normln"/>
    <w:pPr>
      <w:ind w:right="-226"/>
    </w:pPr>
    <w:rPr>
      <w:rFonts w:ascii="Arial Narrow" w:hAnsi="Arial Narrow"/>
    </w:rPr>
  </w:style>
  <w:style w:type="character" w:styleId="Siln" w:customStyle="1">
    <w:name w:val="Silné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Prosttext" w:customStyle="1">
    <w:name w:val="Prostý text"/>
    <w:basedOn w:val="Normln"/>
    <w:qFormat w:val="1"/>
    <w:rPr>
      <w:rFonts w:ascii="Consolas" w:hAnsi="Consolas"/>
      <w:color w:val="000000"/>
      <w:sz w:val="21"/>
      <w:szCs w:val="21"/>
    </w:rPr>
  </w:style>
  <w:style w:type="character" w:styleId="ProsttextChar" w:customStyle="1">
    <w:name w:val="Prostý text Char"/>
    <w:rPr>
      <w:rFonts w:ascii="Consolas" w:hAnsi="Consolas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Odstavecseseznamem" w:customStyle="1">
    <w:name w:val="Odstavec se seznamem"/>
    <w:basedOn w:val="Normln"/>
    <w:pPr>
      <w:ind w:left="720"/>
      <w:contextualSpacing w:val="1"/>
    </w:pPr>
  </w:style>
  <w:style w:type="paragraph" w:styleId="Zpat" w:customStyle="1">
    <w:name w:val="Zápatí"/>
    <w:basedOn w:val="Normln"/>
    <w:qFormat w:val="1"/>
  </w:style>
  <w:style w:type="character" w:styleId="ZpatChar" w:customStyle="1">
    <w:name w:val="Zápatí Char"/>
    <w:rPr>
      <w:rFonts w:ascii="RomanEES" w:hAnsi="RomanEES"/>
      <w:w w:val="100"/>
      <w:position w:val="-1"/>
      <w:sz w:val="24"/>
      <w:effect w:val="none"/>
      <w:vertAlign w:val="baseline"/>
      <w:cs w:val="0"/>
      <w:em w:val="none"/>
    </w:rPr>
  </w:style>
  <w:style w:type="character" w:styleId="Odkaznakoment" w:customStyle="1">
    <w:name w:val="Odkaz na komentář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 w:customStyle="1">
    <w:name w:val="Text komentáře"/>
    <w:basedOn w:val="Normln"/>
    <w:qFormat w:val="1"/>
    <w:rPr>
      <w:sz w:val="20"/>
    </w:rPr>
  </w:style>
  <w:style w:type="character" w:styleId="TextkomenteChar" w:customStyle="1">
    <w:name w:val="Text komentáře Char"/>
    <w:rPr>
      <w:rFonts w:ascii="RomanEES" w:hAnsi="RomanEES"/>
      <w:w w:val="100"/>
      <w:position w:val="-1"/>
      <w:effect w:val="none"/>
      <w:vertAlign w:val="baseline"/>
      <w:cs w:val="0"/>
      <w:em w:val="none"/>
    </w:rPr>
  </w:style>
  <w:style w:type="paragraph" w:styleId="Pedmtkomente" w:customStyle="1">
    <w:name w:val="Předmět komentáře"/>
    <w:basedOn w:val="Textkomente"/>
    <w:next w:val="Textkomente"/>
    <w:qFormat w:val="1"/>
    <w:rPr>
      <w:b w:val="1"/>
      <w:bCs w:val="1"/>
    </w:rPr>
  </w:style>
  <w:style w:type="character" w:styleId="PedmtkomenteChar" w:customStyle="1">
    <w:name w:val="Předmět komentáře Char"/>
    <w:rPr>
      <w:rFonts w:ascii="RomanEES" w:hAnsi="RomanEES"/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bubliny" w:customStyle="1">
    <w:name w:val="Text bubliny"/>
    <w:basedOn w:val="Normln"/>
    <w:qFormat w:val="1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kladntextodsazen" w:customStyle="1">
    <w:name w:val="Základní text odsazený"/>
    <w:basedOn w:val="Normln"/>
    <w:pPr>
      <w:spacing w:after="120"/>
      <w:ind w:left="283"/>
    </w:pPr>
  </w:style>
  <w:style w:type="character" w:styleId="ZkladntextodsazenChar" w:customStyle="1">
    <w:name w:val="Základní text odsazený Char"/>
    <w:rPr>
      <w:rFonts w:ascii="RomanEES" w:hAnsi="RomanEES"/>
      <w:w w:val="100"/>
      <w:position w:val="-1"/>
      <w:sz w:val="24"/>
      <w:effect w:val="none"/>
      <w:vertAlign w:val="baseline"/>
      <w:cs w:val="0"/>
      <w:em w:val="none"/>
    </w:rPr>
  </w:style>
  <w:style w:type="paragraph" w:styleId="m7391516209863891411m-4937002410626497m-1101706872761311987p1" w:customStyle="1">
    <w:name w:val="m_7391516209863891411m-4937002410626497m-1101706872761311987p1"/>
    <w:basedOn w:val="Normln"/>
    <w:pPr>
      <w:spacing w:after="100" w:afterAutospacing="1" w:before="100" w:beforeAutospacing="1"/>
    </w:pPr>
    <w:rPr>
      <w:rFonts w:ascii="Times New Roman" w:hAnsi="Times New Roman"/>
      <w:szCs w:val="24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on">
    <w:name w:val="Revision"/>
    <w:hidden w:val="1"/>
    <w:uiPriority w:val="99"/>
    <w:semiHidden w:val="1"/>
    <w:rsid w:val="00C34DFF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34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34DFF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34DFF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34DF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34DFF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4F1A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F1A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yperlink" Target="mailto:michaela@bazaarfesival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kub.hykes@archa-plus.cz" TargetMode="External"/><Relationship Id="rId8" Type="http://schemas.openxmlformats.org/officeDocument/2006/relationships/hyperlink" Target="mailto:bara.prokopov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ZzWCrYHFl1VDuIahIBCO53GLag==">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2024-04-11T06:04:00Z</dcterms:created>
  <dc:creator>Zbynek Ondrich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