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7943B5F9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755B53">
        <w:rPr>
          <w:b/>
        </w:rPr>
        <w:t>0337/25/04/OTO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4ED10EFE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755B53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7BECE307" w14:textId="77777777" w:rsidR="001D4AD8" w:rsidRPr="008919F1" w:rsidRDefault="001D4AD8" w:rsidP="001D4AD8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8919F1">
        <w:rPr>
          <w:b/>
        </w:rPr>
        <w:t>Jméno:</w:t>
      </w:r>
      <w:r>
        <w:rPr>
          <w:b/>
        </w:rPr>
        <w:t xml:space="preserve"> </w:t>
      </w:r>
      <w:r w:rsidRPr="00B96EF2">
        <w:rPr>
          <w:rFonts w:cs="Arial"/>
          <w:kern w:val="28"/>
          <w:szCs w:val="22"/>
        </w:rPr>
        <w:t>CANBERRA-PACKARD, s.r.o.</w:t>
      </w:r>
    </w:p>
    <w:p w14:paraId="49CE79EE" w14:textId="77777777" w:rsidR="001D4AD8" w:rsidRPr="008919F1" w:rsidRDefault="001D4AD8" w:rsidP="001D4AD8">
      <w:pPr>
        <w:spacing w:before="20" w:after="20" w:line="360" w:lineRule="auto"/>
        <w:ind w:left="720"/>
        <w:rPr>
          <w:b/>
        </w:rPr>
      </w:pPr>
      <w:r w:rsidRPr="008919F1">
        <w:rPr>
          <w:b/>
        </w:rPr>
        <w:t xml:space="preserve">Sídlo: </w:t>
      </w:r>
      <w:r w:rsidRPr="00B96EF2">
        <w:rPr>
          <w:rFonts w:cs="Arial"/>
          <w:kern w:val="28"/>
          <w:szCs w:val="22"/>
        </w:rPr>
        <w:t>Šultysova 772/37, 169 00 Praha 6 - Břevnov</w:t>
      </w:r>
    </w:p>
    <w:p w14:paraId="11287901" w14:textId="77777777" w:rsidR="001D4AD8" w:rsidRPr="008919F1" w:rsidRDefault="001D4AD8" w:rsidP="001D4AD8">
      <w:pPr>
        <w:spacing w:before="20" w:after="20" w:line="360" w:lineRule="auto"/>
        <w:ind w:left="720"/>
        <w:rPr>
          <w:b/>
        </w:rPr>
      </w:pPr>
      <w:r w:rsidRPr="008919F1">
        <w:rPr>
          <w:b/>
        </w:rPr>
        <w:t xml:space="preserve">IČO: </w:t>
      </w:r>
      <w:r w:rsidRPr="00B96EF2">
        <w:rPr>
          <w:rFonts w:cs="Arial"/>
          <w:kern w:val="28"/>
          <w:szCs w:val="22"/>
        </w:rPr>
        <w:t>44850867</w:t>
      </w:r>
      <w:r>
        <w:rPr>
          <w:rFonts w:cs="Arial"/>
          <w:kern w:val="28"/>
          <w:szCs w:val="22"/>
        </w:rPr>
        <w:t xml:space="preserve">   </w:t>
      </w:r>
      <w:r w:rsidRPr="008919F1">
        <w:rPr>
          <w:b/>
        </w:rPr>
        <w:t xml:space="preserve">DIČ: </w:t>
      </w:r>
      <w:r w:rsidRPr="00B96EF2">
        <w:rPr>
          <w:rFonts w:cs="Arial"/>
          <w:kern w:val="28"/>
          <w:szCs w:val="22"/>
        </w:rPr>
        <w:t>CZ44850867</w:t>
      </w:r>
    </w:p>
    <w:p w14:paraId="58B6D129" w14:textId="77777777" w:rsidR="001D4AD8" w:rsidRPr="008919F1" w:rsidRDefault="001D4AD8" w:rsidP="001D4AD8">
      <w:pPr>
        <w:spacing w:before="20" w:after="20" w:line="360" w:lineRule="auto"/>
        <w:ind w:left="720"/>
        <w:rPr>
          <w:b/>
        </w:rPr>
      </w:pPr>
      <w:r w:rsidRPr="008919F1">
        <w:rPr>
          <w:b/>
        </w:rPr>
        <w:t xml:space="preserve">Obchodní rejstřík: </w:t>
      </w:r>
      <w:r w:rsidRPr="004C45F4">
        <w:rPr>
          <w:bCs/>
        </w:rPr>
        <w:t>veden</w:t>
      </w:r>
      <w:r>
        <w:rPr>
          <w:bCs/>
        </w:rPr>
        <w:t>ý</w:t>
      </w:r>
      <w:r w:rsidRPr="004C45F4">
        <w:rPr>
          <w:bCs/>
        </w:rPr>
        <w:t xml:space="preserve"> Městským soudem v Praze, oddíl C, vložka 6327</w:t>
      </w:r>
    </w:p>
    <w:p w14:paraId="7882FBC4" w14:textId="77777777" w:rsidR="001D4AD8" w:rsidRPr="008919F1" w:rsidRDefault="001D4AD8" w:rsidP="001D4AD8">
      <w:pPr>
        <w:spacing w:before="20" w:after="20" w:line="360" w:lineRule="auto"/>
        <w:ind w:left="720"/>
        <w:rPr>
          <w:b/>
        </w:rPr>
      </w:pPr>
      <w:r w:rsidRPr="008919F1">
        <w:rPr>
          <w:b/>
        </w:rPr>
        <w:t xml:space="preserve">zastoupená: </w:t>
      </w:r>
      <w:r w:rsidRPr="004C45F4">
        <w:rPr>
          <w:rFonts w:cs="Arial"/>
          <w:kern w:val="28"/>
          <w:szCs w:val="22"/>
        </w:rPr>
        <w:t xml:space="preserve">Ing. Marek </w:t>
      </w:r>
      <w:proofErr w:type="spellStart"/>
      <w:r w:rsidRPr="004C45F4">
        <w:rPr>
          <w:rFonts w:cs="Arial"/>
          <w:kern w:val="28"/>
          <w:szCs w:val="22"/>
        </w:rPr>
        <w:t>Češpivem</w:t>
      </w:r>
      <w:proofErr w:type="spellEnd"/>
      <w:r w:rsidRPr="004C45F4">
        <w:rPr>
          <w:rFonts w:cs="Arial"/>
          <w:kern w:val="28"/>
          <w:szCs w:val="22"/>
        </w:rPr>
        <w:t>, jednatelem</w:t>
      </w:r>
    </w:p>
    <w:p w14:paraId="5401814B" w14:textId="77777777" w:rsidR="001D4AD8" w:rsidRPr="008919F1" w:rsidRDefault="001D4AD8" w:rsidP="001D4AD8">
      <w:pPr>
        <w:spacing w:before="20" w:after="20" w:line="360" w:lineRule="auto"/>
        <w:ind w:left="720"/>
        <w:rPr>
          <w:b/>
        </w:rPr>
      </w:pPr>
      <w:r w:rsidRPr="008919F1">
        <w:rPr>
          <w:b/>
        </w:rPr>
        <w:t xml:space="preserve">bankovní spojení: </w:t>
      </w:r>
      <w:r w:rsidRPr="004C45F4">
        <w:rPr>
          <w:bCs/>
        </w:rPr>
        <w:t>KB, a.s., Praha 6, č. účtu: 318243061/0100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025CA089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="00C77752">
        <w:t xml:space="preserve">vybavení center vysoce specializované onkologické a </w:t>
      </w:r>
      <w:proofErr w:type="spellStart"/>
      <w:r w:rsidR="00C77752">
        <w:t>hematoonkologické</w:t>
      </w:r>
      <w:proofErr w:type="spellEnd"/>
      <w:r w:rsidR="00C77752">
        <w:t xml:space="preserve"> péče</w:t>
      </w:r>
      <w:r w:rsidRPr="006547D0">
        <w:t xml:space="preserve"> FN Plzeň </w:t>
      </w:r>
      <w:r w:rsidR="00C77752">
        <w:t>1</w:t>
      </w:r>
      <w:r w:rsidRPr="00B429B0">
        <w:t>“</w:t>
      </w:r>
      <w:r>
        <w:rPr>
          <w:b/>
        </w:rPr>
        <w:t xml:space="preserve"> </w:t>
      </w:r>
      <w:r w:rsidR="002511FE" w:rsidRPr="002511FE">
        <w:t>v</w:t>
      </w:r>
      <w:r w:rsidRPr="002511FE">
        <w:t xml:space="preserve"> </w:t>
      </w:r>
      <w:r w:rsidRPr="00EC5E83">
        <w:t xml:space="preserve">části </w:t>
      </w:r>
      <w:r>
        <w:t xml:space="preserve">č. </w:t>
      </w:r>
      <w:r w:rsidR="001D4AD8">
        <w:rPr>
          <w:color w:val="000000"/>
        </w:rPr>
        <w:t>3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</w:t>
      </w:r>
      <w:r w:rsidRPr="000F6897">
        <w:t xml:space="preserve">číslem </w:t>
      </w:r>
      <w:r w:rsidR="000F6897" w:rsidRPr="000F6897">
        <w:t>Z2024-049658</w:t>
      </w:r>
      <w:r w:rsidRPr="000F6897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50D55B4B" w:rsidR="000F48A1" w:rsidRPr="00865FC0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</w:t>
      </w:r>
      <w:r w:rsidR="000F48A1" w:rsidRPr="00F43215">
        <w:rPr>
          <w:spacing w:val="-2"/>
        </w:rPr>
        <w:t>kalibrací</w:t>
      </w:r>
      <w:r w:rsidR="00865FC0" w:rsidRPr="00F43215">
        <w:rPr>
          <w:spacing w:val="-2"/>
        </w:rPr>
        <w:t>, zkoušek provozní stálosti</w:t>
      </w:r>
      <w:r w:rsidR="000F48A1" w:rsidRPr="00AE3533">
        <w:rPr>
          <w:spacing w:val="-2"/>
        </w:rPr>
        <w:t xml:space="preserve"> </w:t>
      </w:r>
      <w:r w:rsidR="00DF11B2">
        <w:rPr>
          <w:spacing w:val="-2"/>
        </w:rPr>
        <w:t>a </w:t>
      </w:r>
      <w:r w:rsidR="00C87A1B" w:rsidRPr="00865FC0">
        <w:rPr>
          <w:spacing w:val="-2"/>
        </w:rPr>
        <w:t>dalších povinných zkouš</w:t>
      </w:r>
      <w:r w:rsidR="00BD323B" w:rsidRPr="00865FC0">
        <w:rPr>
          <w:spacing w:val="-2"/>
        </w:rPr>
        <w:t>e</w:t>
      </w:r>
      <w:r w:rsidR="00C87A1B" w:rsidRPr="00865FC0">
        <w:rPr>
          <w:spacing w:val="-2"/>
        </w:rPr>
        <w:t>k</w:t>
      </w:r>
      <w:r w:rsidR="000F48A1" w:rsidRPr="00865FC0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524E52FB" w:rsidR="000F48A1" w:rsidRPr="00AE353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</w:t>
      </w:r>
      <w:r w:rsidR="00C947F8">
        <w:t>Atomového zákona č. 263/2016 Sb., 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>(v případě prohlášení vydaného dle směrnice 93/42/EHS o zdravotnických prostředcích bude součástí dokumentace také doklad prokazující splnění podmínek pro udělení výjimky z posouzení shody dle nařízení Evropského pa</w:t>
      </w:r>
      <w:r w:rsidR="00EB4E38">
        <w:rPr>
          <w:rFonts w:cs="Arial"/>
        </w:rPr>
        <w:t xml:space="preserve">rlamentu a Rady </w:t>
      </w:r>
      <w:r w:rsidR="00EB4E38">
        <w:rPr>
          <w:rFonts w:cs="Arial"/>
        </w:rPr>
        <w:lastRenderedPageBreak/>
        <w:t>(EU) 2017/745 o </w:t>
      </w:r>
      <w:r w:rsidR="00EB4E38" w:rsidRPr="001F683B">
        <w:rPr>
          <w:rFonts w:cs="Arial"/>
        </w:rPr>
        <w:t>zdravotnických prostředcích v platném znění, zejména potvrzení vydané oznámeným subjektem a u dodávk</w:t>
      </w:r>
      <w:r w:rsidR="00EB4E38">
        <w:rPr>
          <w:rFonts w:cs="Arial"/>
        </w:rPr>
        <w:t>y realizované</w:t>
      </w:r>
      <w:r w:rsidR="00EB4E38" w:rsidRPr="001F683B">
        <w:rPr>
          <w:rFonts w:cs="Arial"/>
        </w:rPr>
        <w:t xml:space="preserve"> po </w:t>
      </w:r>
      <w:r w:rsidR="00EB4E38" w:rsidRPr="00AE3533">
        <w:rPr>
          <w:rFonts w:cs="Arial"/>
        </w:rPr>
        <w:t>26.9.2024 kopie dohody mezi výrobcem a oznámeným subjektem o posouzení shody dle MDR). Do splnění uvedené povinnosti není prodávající oprávněn fakturovat dodané zboží</w:t>
      </w:r>
    </w:p>
    <w:p w14:paraId="2ECCBBC3" w14:textId="77777777" w:rsidR="00970249" w:rsidRPr="005C10B3" w:rsidRDefault="00970249" w:rsidP="000E2F46">
      <w:pPr>
        <w:numPr>
          <w:ilvl w:val="1"/>
          <w:numId w:val="18"/>
        </w:numPr>
        <w:ind w:left="1560" w:hanging="284"/>
        <w:jc w:val="both"/>
      </w:pPr>
      <w:r w:rsidRPr="00AE3533">
        <w:t>seznam</w:t>
      </w:r>
      <w:r w:rsidRPr="00AE3533">
        <w:rPr>
          <w:spacing w:val="-2"/>
        </w:rPr>
        <w:t xml:space="preserve"> a certifikáty osob provádějících instruktáž dle § 41 odst. 2 zákona</w:t>
      </w:r>
      <w:r w:rsidRPr="005C10B3">
        <w:rPr>
          <w:spacing w:val="-2"/>
        </w:rPr>
        <w:t xml:space="preserve"> č. 375/2022 Sb.,</w:t>
      </w:r>
      <w:r w:rsidRPr="005C10B3">
        <w:t xml:space="preserve"> v platném znění, za stranu Prodávajícího </w:t>
      </w:r>
    </w:p>
    <w:p w14:paraId="510701DA" w14:textId="26E15D80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osvědčení, certifikáty a atesty, které jsou pro specifické druhy zboží vydávány k tomu oprávněnými osobami dle zvláštních předpisů,</w:t>
      </w:r>
    </w:p>
    <w:p w14:paraId="14DEF7C4" w14:textId="7FA45C57" w:rsidR="000F48A1" w:rsidRPr="005C10B3" w:rsidRDefault="00BF58C8" w:rsidP="00C955F1">
      <w:pPr>
        <w:numPr>
          <w:ilvl w:val="1"/>
          <w:numId w:val="18"/>
        </w:numPr>
        <w:ind w:left="1560" w:hanging="284"/>
        <w:jc w:val="both"/>
      </w:pPr>
      <w:r w:rsidRPr="005C10B3">
        <w:t>seznam</w:t>
      </w:r>
      <w:r w:rsidR="00246D22" w:rsidRPr="005C10B3">
        <w:t xml:space="preserve"> a harmonogram všech</w:t>
      </w:r>
      <w:r w:rsidRPr="005C10B3">
        <w:t xml:space="preserve"> konkrétních</w:t>
      </w:r>
      <w:r w:rsidR="000F48A1" w:rsidRPr="005C10B3">
        <w:t xml:space="preserve"> bezpečnostně</w:t>
      </w:r>
      <w:r w:rsidR="00FF32BA" w:rsidRPr="005C10B3">
        <w:t xml:space="preserve"> technických kontrol (dále jen </w:t>
      </w:r>
      <w:r w:rsidR="000F48A1" w:rsidRPr="005C10B3">
        <w:t>BTK), předepsaných</w:t>
      </w:r>
      <w:r w:rsidRPr="005C10B3">
        <w:t xml:space="preserve"> pro předmět dodávek</w:t>
      </w:r>
      <w:r w:rsidR="00246D22" w:rsidRPr="005C10B3">
        <w:t xml:space="preserve"> platnou</w:t>
      </w:r>
      <w:r w:rsidR="000F48A1" w:rsidRPr="005C10B3">
        <w:t xml:space="preserve"> legislat</w:t>
      </w:r>
      <w:r w:rsidR="00FF32BA" w:rsidRPr="005C10B3">
        <w:t>ivou</w:t>
      </w:r>
      <w:r w:rsidR="00246D22" w:rsidRPr="005C10B3">
        <w:t xml:space="preserve"> EU, ČR</w:t>
      </w:r>
      <w:r w:rsidR="00FF32BA" w:rsidRPr="005C10B3">
        <w:t xml:space="preserve"> nebo výrobcem, členěný na </w:t>
      </w:r>
      <w:r w:rsidR="000F48A1" w:rsidRPr="005C10B3">
        <w:t>BTK provádě</w:t>
      </w:r>
      <w:r w:rsidR="00FF32BA" w:rsidRPr="005C10B3">
        <w:t xml:space="preserve">né v kompetenci uživatele a </w:t>
      </w:r>
      <w:r w:rsidR="000F48A1" w:rsidRPr="005C10B3">
        <w:t>BTK prováděné jinou autorizovanou osobou</w:t>
      </w:r>
      <w:r w:rsidR="00C955F1" w:rsidRPr="005C10B3">
        <w:t xml:space="preserve"> (např. revize elektrické bezpečnosti, tlakové zkoušky</w:t>
      </w:r>
      <w:r w:rsidR="00C947F8">
        <w:t>, zkoušky dlouhodobé stability u zdrojů ionizujícího záření</w:t>
      </w:r>
      <w:r w:rsidR="00C955F1" w:rsidRPr="005C10B3">
        <w:t xml:space="preserve"> apod.)</w:t>
      </w:r>
      <w:r w:rsidR="00F9169D" w:rsidRPr="005C10B3">
        <w:t>,</w:t>
      </w:r>
    </w:p>
    <w:p w14:paraId="143AF43F" w14:textId="5E52EBE9" w:rsidR="00C947F8" w:rsidRDefault="00C947F8" w:rsidP="00F77732">
      <w:pPr>
        <w:numPr>
          <w:ilvl w:val="0"/>
          <w:numId w:val="12"/>
        </w:numPr>
        <w:jc w:val="both"/>
      </w:pPr>
      <w:r>
        <w:t>provedení montáží a instalaci v rozsahu potřebném pro daný charakter předmětu plnění,</w:t>
      </w:r>
    </w:p>
    <w:p w14:paraId="54FC8894" w14:textId="7CE910EB" w:rsidR="000F48A1" w:rsidRPr="00443222" w:rsidRDefault="000F48A1" w:rsidP="00F77732">
      <w:pPr>
        <w:numPr>
          <w:ilvl w:val="0"/>
          <w:numId w:val="12"/>
        </w:numPr>
        <w:jc w:val="both"/>
      </w:pPr>
      <w:r w:rsidRPr="00443222">
        <w:t xml:space="preserve">zajištění dopravy </w:t>
      </w:r>
      <w:r w:rsidR="001C608F" w:rsidRPr="00443222">
        <w:t>předmětu</w:t>
      </w:r>
      <w:r w:rsidR="00A06CB0" w:rsidRPr="00443222">
        <w:t xml:space="preserve"> plnění </w:t>
      </w:r>
      <w:r w:rsidRPr="00443222">
        <w:t>do místa určení a je</w:t>
      </w:r>
      <w:r w:rsidR="00A06CB0" w:rsidRPr="00443222">
        <w:t>ho</w:t>
      </w:r>
      <w:r w:rsidRPr="00443222">
        <w:t xml:space="preserve"> pojištění,</w:t>
      </w:r>
    </w:p>
    <w:p w14:paraId="25B48713" w14:textId="77777777" w:rsidR="00BD323B" w:rsidRPr="007F7A58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pokud to charakter obalu umožňuje </w:t>
      </w:r>
      <w:r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F43215" w:rsidRDefault="008B6BA4" w:rsidP="008B6BA4">
      <w:pPr>
        <w:numPr>
          <w:ilvl w:val="0"/>
          <w:numId w:val="12"/>
        </w:numPr>
        <w:jc w:val="both"/>
      </w:pPr>
      <w:r w:rsidRPr="00443222">
        <w:rPr>
          <w:rFonts w:cs="Arial"/>
          <w:szCs w:val="18"/>
        </w:rPr>
        <w:t xml:space="preserve">zpětný odběr přepravních obalů a jiného odpadu pro jejich opětovné použití či následnou recyklaci, v případě nemožnosti recyklace obalů jejich ekologická likvidace v souladu s příslušnou legislativou (s důrazem na </w:t>
      </w:r>
      <w:r w:rsidRPr="00443222">
        <w:rPr>
          <w:rFonts w:cs="Arial"/>
          <w:szCs w:val="20"/>
          <w:shd w:val="clear" w:color="auto" w:fill="FFFFFF"/>
        </w:rPr>
        <w:t>zařazení o</w:t>
      </w:r>
      <w:r w:rsidR="00F43215">
        <w:rPr>
          <w:rFonts w:cs="Arial"/>
          <w:szCs w:val="20"/>
          <w:shd w:val="clear" w:color="auto" w:fill="FFFFFF"/>
        </w:rPr>
        <w:t>dpadu podle druhu a kategorie a </w:t>
      </w:r>
      <w:r w:rsidRPr="00443222">
        <w:rPr>
          <w:rFonts w:cs="Arial"/>
          <w:szCs w:val="20"/>
          <w:shd w:val="clear" w:color="auto" w:fill="FFFFFF"/>
        </w:rPr>
        <w:t>na </w:t>
      </w:r>
      <w:r w:rsidRPr="00F43215">
        <w:rPr>
          <w:rFonts w:cs="Arial"/>
          <w:szCs w:val="20"/>
          <w:shd w:val="clear" w:color="auto" w:fill="FFFFFF"/>
        </w:rPr>
        <w:t>nakládání s ním podle jeho skutečných vlastností),</w:t>
      </w:r>
    </w:p>
    <w:p w14:paraId="53989CE8" w14:textId="0A62FAA1" w:rsidR="00A003DA" w:rsidRPr="00F43215" w:rsidRDefault="00A003DA" w:rsidP="000F48A1">
      <w:pPr>
        <w:numPr>
          <w:ilvl w:val="0"/>
          <w:numId w:val="12"/>
        </w:numPr>
        <w:jc w:val="both"/>
      </w:pPr>
      <w:r w:rsidRPr="00F43215">
        <w:rPr>
          <w:rFonts w:cs="Arial"/>
          <w:szCs w:val="18"/>
        </w:rPr>
        <w:t>připojení zařízení na potřebná media a zdroje energií,</w:t>
      </w:r>
    </w:p>
    <w:p w14:paraId="1235B3C1" w14:textId="4E35883A" w:rsidR="008D2116" w:rsidRPr="00F43215" w:rsidRDefault="008D2116" w:rsidP="000F48A1">
      <w:pPr>
        <w:numPr>
          <w:ilvl w:val="0"/>
          <w:numId w:val="12"/>
        </w:numPr>
        <w:jc w:val="both"/>
      </w:pPr>
      <w:r w:rsidRPr="00F43215">
        <w:rPr>
          <w:rFonts w:cs="Arial"/>
          <w:szCs w:val="18"/>
        </w:rPr>
        <w:t>připojení zařízení k datovým sítím a komunikace s informačními systémy zadavatele,</w:t>
      </w:r>
    </w:p>
    <w:p w14:paraId="4CA7B535" w14:textId="3080A43B" w:rsidR="000F48A1" w:rsidRPr="00F43215" w:rsidRDefault="00A06CB0" w:rsidP="000F48A1">
      <w:pPr>
        <w:numPr>
          <w:ilvl w:val="0"/>
          <w:numId w:val="12"/>
        </w:numPr>
        <w:jc w:val="both"/>
      </w:pPr>
      <w:r w:rsidRPr="00F43215">
        <w:t xml:space="preserve">montáž, </w:t>
      </w:r>
      <w:r w:rsidR="00F77732" w:rsidRPr="00F43215">
        <w:t xml:space="preserve">instalace a </w:t>
      </w:r>
      <w:r w:rsidR="000F48A1" w:rsidRPr="00F43215">
        <w:t>uvedení</w:t>
      </w:r>
      <w:r w:rsidR="007F58D0" w:rsidRPr="00F43215">
        <w:t xml:space="preserve"> </w:t>
      </w:r>
      <w:r w:rsidR="001C608F" w:rsidRPr="00F43215">
        <w:t>předmětu</w:t>
      </w:r>
      <w:r w:rsidR="007F58D0" w:rsidRPr="00F43215">
        <w:t xml:space="preserve"> plnění</w:t>
      </w:r>
      <w:r w:rsidR="000F48A1" w:rsidRPr="00F43215">
        <w:t xml:space="preserve"> do provozu,</w:t>
      </w:r>
    </w:p>
    <w:p w14:paraId="29702FF6" w14:textId="401F5B8F" w:rsidR="00443222" w:rsidRPr="00F43215" w:rsidRDefault="006D616A" w:rsidP="00443222">
      <w:pPr>
        <w:numPr>
          <w:ilvl w:val="0"/>
          <w:numId w:val="12"/>
        </w:numPr>
        <w:jc w:val="both"/>
      </w:pPr>
      <w:r w:rsidRPr="00F43215">
        <w:t>ověřovací zkušební provoz,</w:t>
      </w:r>
    </w:p>
    <w:p w14:paraId="3BF762CF" w14:textId="72CC1EB6" w:rsidR="00B8142F" w:rsidRPr="00F43215" w:rsidRDefault="000F48A1" w:rsidP="0001524D">
      <w:pPr>
        <w:numPr>
          <w:ilvl w:val="0"/>
          <w:numId w:val="12"/>
        </w:numPr>
        <w:jc w:val="both"/>
      </w:pPr>
      <w:r w:rsidRPr="00F43215">
        <w:t>provádění preventivních bez</w:t>
      </w:r>
      <w:r w:rsidR="00FF32BA" w:rsidRPr="00F43215">
        <w:t>pečnostně technických kontrol (</w:t>
      </w:r>
      <w:r w:rsidRPr="00F43215">
        <w:t xml:space="preserve">BTK) dle zákona </w:t>
      </w:r>
      <w:r w:rsidRPr="00F43215">
        <w:br/>
      </w:r>
      <w:r w:rsidR="0001524D" w:rsidRPr="00F43215">
        <w:t xml:space="preserve">č. 375/2022 </w:t>
      </w:r>
      <w:r w:rsidR="00AC753E" w:rsidRPr="00F43215">
        <w:t>Sb.</w:t>
      </w:r>
      <w:r w:rsidRPr="00F43215">
        <w:t>, v </w:t>
      </w:r>
      <w:r w:rsidR="00025E84" w:rsidRPr="00F43215">
        <w:t>platné</w:t>
      </w:r>
      <w:r w:rsidRPr="00F43215">
        <w:t xml:space="preserve">m znění, po dobu záruky, </w:t>
      </w:r>
      <w:r w:rsidR="00A06CB0" w:rsidRPr="00F43215">
        <w:t xml:space="preserve">a to </w:t>
      </w:r>
      <w:r w:rsidRPr="00F43215">
        <w:t xml:space="preserve">v rozsahu předepsaném výrobcem </w:t>
      </w:r>
      <w:r w:rsidR="00A06CB0" w:rsidRPr="00F43215">
        <w:t>nebo</w:t>
      </w:r>
      <w:r w:rsidRPr="00F43215">
        <w:t xml:space="preserve"> legislativou</w:t>
      </w:r>
      <w:r w:rsidR="00A06CB0" w:rsidRPr="00F43215">
        <w:t xml:space="preserve"> EU či národní</w:t>
      </w:r>
      <w:r w:rsidRPr="00F43215">
        <w:t xml:space="preserve"> (</w:t>
      </w:r>
      <w:r w:rsidR="00A06CB0" w:rsidRPr="00F43215">
        <w:t xml:space="preserve">zkoušky a kalibrace předepsané výrobcem, </w:t>
      </w:r>
      <w:r w:rsidR="00DF11B2" w:rsidRPr="00F43215">
        <w:t xml:space="preserve">zkoušky dlouhodobé stability zdroje ionizujícího záření, </w:t>
      </w:r>
      <w:r w:rsidR="00F857EF" w:rsidRPr="00F43215">
        <w:rPr>
          <w:rFonts w:cs="Arial"/>
          <w:szCs w:val="18"/>
        </w:rPr>
        <w:t xml:space="preserve">kontroly elektrické bezpečnosti zdravotnických prostředků nebo </w:t>
      </w:r>
      <w:r w:rsidR="00A06CB0" w:rsidRPr="00F43215">
        <w:t xml:space="preserve">revize elektrické bezpečnosti, </w:t>
      </w:r>
      <w:r w:rsidRPr="00F43215">
        <w:t>tlakové zkoušky</w:t>
      </w:r>
      <w:r w:rsidR="00A06CB0" w:rsidRPr="00F43215">
        <w:t xml:space="preserve"> </w:t>
      </w:r>
      <w:r w:rsidRPr="00F43215">
        <w:t>apod.)</w:t>
      </w:r>
      <w:r w:rsidR="00B73877" w:rsidRPr="00F43215">
        <w:t>.</w:t>
      </w:r>
    </w:p>
    <w:p w14:paraId="78082D94" w14:textId="77777777" w:rsidR="008D2116" w:rsidRPr="00F43215" w:rsidRDefault="008D2116" w:rsidP="008D211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F43215">
        <w:t>Předmět plnění je pevně spojen se stavbou, a proto je součástí předmětu plnění též:</w:t>
      </w:r>
    </w:p>
    <w:p w14:paraId="6CC98791" w14:textId="77777777" w:rsidR="008D2116" w:rsidRPr="00B01F8D" w:rsidRDefault="008D2116" w:rsidP="008D2116">
      <w:pPr>
        <w:numPr>
          <w:ilvl w:val="0"/>
          <w:numId w:val="12"/>
        </w:numPr>
        <w:spacing w:after="60"/>
        <w:ind w:left="1145" w:hanging="357"/>
        <w:jc w:val="both"/>
      </w:pPr>
      <w:r w:rsidRPr="00F43215">
        <w:t>zpracování technologického</w:t>
      </w:r>
      <w:r w:rsidRPr="008D2116">
        <w:t xml:space="preserve"> projektu, obsahujícího</w:t>
      </w:r>
      <w:r w:rsidRPr="00B01F8D">
        <w:t xml:space="preserve"> podmínky instalace a uvedení předmětu plnění do provozu u Kupujícího, tj. zejména požadavky na:</w:t>
      </w:r>
    </w:p>
    <w:p w14:paraId="0A62A8CF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rPr>
          <w:rFonts w:cs="Arial"/>
          <w:szCs w:val="20"/>
        </w:rPr>
        <w:t>umístění předmětu plnění,</w:t>
      </w:r>
    </w:p>
    <w:p w14:paraId="05F2CCAB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statiku stavby,</w:t>
      </w:r>
    </w:p>
    <w:p w14:paraId="47C2BC36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rPr>
          <w:rFonts w:cs="Arial"/>
          <w:szCs w:val="20"/>
        </w:rPr>
        <w:t>chlazení jak dodávaného zařízení, tak jeho technologického zázemí i provozních prostorů</w:t>
      </w:r>
      <w:r w:rsidRPr="00B01F8D">
        <w:t>,</w:t>
      </w:r>
    </w:p>
    <w:p w14:paraId="14BB476D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přívod a rozvod elektrické energie, jejich parametry a zabezpečení elektrické bezpečnosti zařízení,</w:t>
      </w:r>
    </w:p>
    <w:p w14:paraId="6FAFD1F9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bezpečnost práce při provozu zařízení,</w:t>
      </w:r>
    </w:p>
    <w:p w14:paraId="47173232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elektromagnetickou kompatibilitu a bezpečnost,</w:t>
      </w:r>
    </w:p>
    <w:p w14:paraId="5FED8200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radiační ochranu,</w:t>
      </w:r>
    </w:p>
    <w:p w14:paraId="35A13209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připojení k datovým sítím a informačním systémům Kupujícího,</w:t>
      </w:r>
    </w:p>
    <w:p w14:paraId="04095CAA" w14:textId="77777777" w:rsidR="008D2116" w:rsidRPr="00B01F8D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připojení zařízení k rozvodům dalších medií (medicinální plyny, tlakový vzduch, podtlakový rozvod),</w:t>
      </w:r>
    </w:p>
    <w:p w14:paraId="76348D9E" w14:textId="7F8BD0D5" w:rsidR="008D2116" w:rsidRDefault="008D2116" w:rsidP="008D2116">
      <w:pPr>
        <w:numPr>
          <w:ilvl w:val="1"/>
          <w:numId w:val="18"/>
        </w:numPr>
        <w:ind w:left="1560" w:hanging="284"/>
        <w:jc w:val="both"/>
      </w:pPr>
      <w:r w:rsidRPr="00B01F8D">
        <w:t>klimatické provozní podmínky, tepelné vyzařování a řešení chlazení zařízení.</w:t>
      </w:r>
    </w:p>
    <w:p w14:paraId="23C0240C" w14:textId="77777777" w:rsidR="004074E2" w:rsidRPr="00F43215" w:rsidRDefault="004074E2" w:rsidP="004074E2">
      <w:pPr>
        <w:numPr>
          <w:ilvl w:val="0"/>
          <w:numId w:val="12"/>
        </w:numPr>
        <w:spacing w:before="60" w:after="60"/>
        <w:ind w:left="1145" w:hanging="357"/>
        <w:jc w:val="both"/>
      </w:pPr>
      <w:r w:rsidRPr="00F43215">
        <w:t>zpracování projektu stavebních úprav, obsahujícího řešení požadavků technologického projektu a způsob provedení stavebních úprav u Kupujícího, pokud úpravy stavebního charakteru pro montáž věcného plnění z technologického projektu vyplynou,</w:t>
      </w:r>
    </w:p>
    <w:p w14:paraId="1D33A094" w14:textId="0F025BD5" w:rsidR="004074E2" w:rsidRPr="00F43215" w:rsidRDefault="004074E2" w:rsidP="004074E2">
      <w:pPr>
        <w:numPr>
          <w:ilvl w:val="0"/>
          <w:numId w:val="12"/>
        </w:numPr>
        <w:spacing w:after="60"/>
        <w:ind w:left="1145" w:hanging="357"/>
        <w:jc w:val="both"/>
        <w:rPr>
          <w:rFonts w:cs="Arial"/>
          <w:spacing w:val="-4"/>
          <w:szCs w:val="20"/>
        </w:rPr>
      </w:pPr>
      <w:r w:rsidRPr="00F43215">
        <w:t xml:space="preserve">realizace úprav pro zajištění připravenosti místa plnění pro montáž a instalaci dodávané technologie, </w:t>
      </w:r>
      <w:r w:rsidRPr="00F43215">
        <w:rPr>
          <w:rFonts w:cs="Arial"/>
          <w:szCs w:val="20"/>
        </w:rPr>
        <w:t>z projekt</w:t>
      </w:r>
      <w:r w:rsidR="005411C9" w:rsidRPr="00F43215">
        <w:rPr>
          <w:rFonts w:cs="Arial"/>
          <w:szCs w:val="20"/>
        </w:rPr>
        <w:t>ové dokumentace</w:t>
      </w:r>
      <w:r w:rsidRPr="00F43215">
        <w:rPr>
          <w:rFonts w:cs="Arial"/>
          <w:szCs w:val="20"/>
        </w:rPr>
        <w:t xml:space="preserve"> vyplývajících</w:t>
      </w:r>
      <w:r w:rsidRPr="00F43215">
        <w:t>:</w:t>
      </w:r>
    </w:p>
    <w:p w14:paraId="60A3FFEE" w14:textId="77777777" w:rsidR="004074E2" w:rsidRPr="00F43215" w:rsidRDefault="004074E2" w:rsidP="004074E2">
      <w:pPr>
        <w:numPr>
          <w:ilvl w:val="1"/>
          <w:numId w:val="18"/>
        </w:numPr>
        <w:ind w:left="1560" w:hanging="284"/>
        <w:jc w:val="both"/>
        <w:rPr>
          <w:rFonts w:cs="Arial"/>
          <w:szCs w:val="20"/>
        </w:rPr>
      </w:pPr>
      <w:r w:rsidRPr="00F43215">
        <w:rPr>
          <w:rFonts w:cs="Arial"/>
          <w:szCs w:val="20"/>
        </w:rPr>
        <w:t xml:space="preserve">vyšetřovny a </w:t>
      </w:r>
      <w:proofErr w:type="spellStart"/>
      <w:r w:rsidRPr="00F43215">
        <w:rPr>
          <w:rFonts w:cs="Arial"/>
          <w:szCs w:val="20"/>
        </w:rPr>
        <w:t>ovladovny</w:t>
      </w:r>
      <w:proofErr w:type="spellEnd"/>
      <w:r w:rsidRPr="00F43215">
        <w:rPr>
          <w:rFonts w:cs="Arial"/>
          <w:szCs w:val="20"/>
        </w:rPr>
        <w:t xml:space="preserve"> musí Prodávající na své náklady upravit tak, aby vyhovovaly požadavkům pro montáž, instalaci a provoz nabízeného přístrojového vybavení, tj. provedení všech potřebných stavebních a technologických úprav, budou-li zapotřebí:</w:t>
      </w:r>
    </w:p>
    <w:p w14:paraId="7C7766B2" w14:textId="0DB856C5" w:rsidR="00A07D32" w:rsidRDefault="00A07D32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613BCD">
        <w:rPr>
          <w:rFonts w:cs="Arial"/>
          <w:szCs w:val="18"/>
        </w:rPr>
        <w:t>vytvoření a zajištění transportní trasy na místo určení a její uvedení do původního stavu</w:t>
      </w:r>
    </w:p>
    <w:p w14:paraId="6074D964" w14:textId="7F41055B" w:rsidR="00872D7F" w:rsidRPr="00F43215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5411C9">
        <w:rPr>
          <w:rFonts w:cs="Arial"/>
          <w:szCs w:val="18"/>
        </w:rPr>
        <w:lastRenderedPageBreak/>
        <w:t>dodávka a instalace chladicích jednotek pro zajištění chlazení přístroje a</w:t>
      </w:r>
      <w:r w:rsidR="005411C9">
        <w:rPr>
          <w:rFonts w:cs="Arial"/>
          <w:szCs w:val="18"/>
        </w:rPr>
        <w:t> </w:t>
      </w:r>
      <w:r w:rsidRPr="00F43215">
        <w:rPr>
          <w:rFonts w:cs="Arial"/>
          <w:szCs w:val="18"/>
        </w:rPr>
        <w:t>příslušných technologií, budou-li zapotřebí,</w:t>
      </w:r>
    </w:p>
    <w:p w14:paraId="7B57C2D1" w14:textId="7C4EA151" w:rsidR="00872D7F" w:rsidRPr="00F43215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F43215">
        <w:rPr>
          <w:rFonts w:cs="Arial"/>
          <w:szCs w:val="18"/>
        </w:rPr>
        <w:t>dodávka a instalace prostorových klimatizačních jednotek,</w:t>
      </w:r>
      <w:r w:rsidRPr="00F43215">
        <w:t xml:space="preserve"> je-li technologie chlazena vzduchem do okolního prostředí a</w:t>
      </w:r>
      <w:r w:rsidRPr="00F43215">
        <w:rPr>
          <w:rFonts w:cs="Arial"/>
          <w:szCs w:val="18"/>
        </w:rPr>
        <w:t xml:space="preserve"> budou-li zapotřebí k zajištění klimatických podmínek pro provoz technologie</w:t>
      </w:r>
      <w:r w:rsidR="00373782" w:rsidRPr="00F43215">
        <w:rPr>
          <w:rFonts w:cs="Arial"/>
          <w:szCs w:val="18"/>
        </w:rPr>
        <w:t>,</w:t>
      </w:r>
    </w:p>
    <w:p w14:paraId="1D1BC422" w14:textId="2D1D5560" w:rsidR="00872D7F" w:rsidRPr="00F43215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F43215">
        <w:t xml:space="preserve">zpevnění podlahových či stropních konstrukcí, bude-li pro kotvení a montáž technologie potřebné, </w:t>
      </w:r>
      <w:proofErr w:type="spellStart"/>
      <w:r w:rsidRPr="00F43215">
        <w:t>předinstalační</w:t>
      </w:r>
      <w:proofErr w:type="spellEnd"/>
      <w:r w:rsidRPr="00F43215">
        <w:t xml:space="preserve"> úprava podlahy a provedení kabelových kanálů v rámci vyšetřovny a </w:t>
      </w:r>
      <w:proofErr w:type="spellStart"/>
      <w:r w:rsidRPr="00F43215">
        <w:t>ovladovny</w:t>
      </w:r>
      <w:proofErr w:type="spellEnd"/>
      <w:r w:rsidR="00B36142" w:rsidRPr="00F43215">
        <w:t>, nebudou-li stávající vyhovující,</w:t>
      </w:r>
    </w:p>
    <w:p w14:paraId="52035CE8" w14:textId="6D454C51" w:rsidR="00872D7F" w:rsidRPr="00F43215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F43215">
        <w:t>dodávka a montáž potřebných podlahových kotvících komponent</w:t>
      </w:r>
      <w:r w:rsidR="00EA2476">
        <w:t>, nebudou-li stávající vyhovující,</w:t>
      </w:r>
    </w:p>
    <w:p w14:paraId="44FBF1DB" w14:textId="257B6E5A" w:rsidR="00872D7F" w:rsidRPr="00F43215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szCs w:val="20"/>
        </w:rPr>
      </w:pPr>
      <w:r w:rsidRPr="00F43215">
        <w:t>dodávka a instalace elektrického rozvaděče pro připojení zařízení k silovému přívodu,</w:t>
      </w:r>
      <w:r w:rsidR="00EA2476">
        <w:t xml:space="preserve"> nebude-li stávající vyhovující,</w:t>
      </w:r>
    </w:p>
    <w:p w14:paraId="564DAFDD" w14:textId="2FA1E013" w:rsidR="00872D7F" w:rsidRPr="00F43215" w:rsidRDefault="00872D7F" w:rsidP="00F43215">
      <w:pPr>
        <w:numPr>
          <w:ilvl w:val="2"/>
          <w:numId w:val="18"/>
        </w:numPr>
        <w:suppressAutoHyphens/>
        <w:ind w:left="1985" w:hanging="284"/>
        <w:jc w:val="both"/>
      </w:pPr>
      <w:r w:rsidRPr="00F43215">
        <w:t xml:space="preserve">provedení podlahové krytiny </w:t>
      </w:r>
      <w:r w:rsidR="005866E5" w:rsidRPr="00F43215">
        <w:t xml:space="preserve">a stropních podhledů </w:t>
      </w:r>
      <w:r w:rsidRPr="00F43215">
        <w:t xml:space="preserve">ve vyšetřovně a </w:t>
      </w:r>
      <w:proofErr w:type="spellStart"/>
      <w:r w:rsidRPr="00F43215">
        <w:t>ovladovně</w:t>
      </w:r>
      <w:proofErr w:type="spellEnd"/>
      <w:r w:rsidR="00B36142" w:rsidRPr="00F43215">
        <w:t xml:space="preserve"> v rozsahu nezbytném po </w:t>
      </w:r>
      <w:r w:rsidR="00373782">
        <w:t xml:space="preserve">montáži a </w:t>
      </w:r>
      <w:r w:rsidR="00B36142" w:rsidRPr="005411C9">
        <w:t xml:space="preserve">instalaci </w:t>
      </w:r>
      <w:r w:rsidR="00373782">
        <w:t xml:space="preserve">dodávaného </w:t>
      </w:r>
      <w:r w:rsidR="00B36142" w:rsidRPr="005411C9">
        <w:t>zařízení</w:t>
      </w:r>
      <w:r w:rsidR="00F43215">
        <w:t>.</w:t>
      </w:r>
    </w:p>
    <w:p w14:paraId="5929D883" w14:textId="77777777" w:rsidR="008D2116" w:rsidRPr="00B01F8D" w:rsidRDefault="008D2116" w:rsidP="008D2116">
      <w:pPr>
        <w:numPr>
          <w:ilvl w:val="0"/>
          <w:numId w:val="12"/>
        </w:numPr>
        <w:spacing w:before="60" w:after="60"/>
        <w:ind w:left="1145" w:hanging="357"/>
        <w:jc w:val="both"/>
      </w:pPr>
      <w:r w:rsidRPr="00B01F8D">
        <w:t>provedení montáže zařízení,</w:t>
      </w:r>
    </w:p>
    <w:p w14:paraId="35640C02" w14:textId="77777777" w:rsidR="008D2116" w:rsidRPr="00B01F8D" w:rsidRDefault="008D2116" w:rsidP="008D2116">
      <w:pPr>
        <w:numPr>
          <w:ilvl w:val="0"/>
          <w:numId w:val="12"/>
        </w:numPr>
        <w:jc w:val="both"/>
      </w:pPr>
      <w:r w:rsidRPr="00B01F8D">
        <w:t>revize elektrické bezpečnosti zařízení pevně připojených k rozvodu el. energie.</w:t>
      </w:r>
    </w:p>
    <w:p w14:paraId="68BC3CF5" w14:textId="77777777" w:rsidR="008D2116" w:rsidRPr="00F43215" w:rsidRDefault="008D2116" w:rsidP="008D211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B01F8D">
        <w:t xml:space="preserve">Pro předmět plnění, jenž je </w:t>
      </w:r>
      <w:r w:rsidRPr="00B01F8D">
        <w:rPr>
          <w:b/>
        </w:rPr>
        <w:t>zdrojem ionizujícího záření</w:t>
      </w:r>
      <w:r w:rsidRPr="00B01F8D">
        <w:t xml:space="preserve"> dle zákona č. 263/2016 Sb., v posledním znění, je součástí </w:t>
      </w:r>
      <w:r w:rsidRPr="00F43215">
        <w:t>předmětu plnění dále též:</w:t>
      </w:r>
    </w:p>
    <w:p w14:paraId="187B74BF" w14:textId="77777777" w:rsidR="008D2116" w:rsidRPr="00F43215" w:rsidRDefault="008D2116" w:rsidP="008D2116">
      <w:pPr>
        <w:numPr>
          <w:ilvl w:val="0"/>
          <w:numId w:val="12"/>
        </w:numPr>
        <w:jc w:val="both"/>
      </w:pPr>
      <w:r w:rsidRPr="00F43215">
        <w:t>v rámci technologického projektu výpočet a stanovení stínění provozních prostor či návrh dalších trvalých opatření pro zabezpečení radiační ochrany</w:t>
      </w:r>
    </w:p>
    <w:p w14:paraId="533A92E3" w14:textId="38B9E967" w:rsidR="008D2116" w:rsidRPr="00F43215" w:rsidRDefault="00C67C06" w:rsidP="008D2116">
      <w:pPr>
        <w:numPr>
          <w:ilvl w:val="0"/>
          <w:numId w:val="12"/>
        </w:numPr>
        <w:jc w:val="both"/>
      </w:pPr>
      <w:r w:rsidRPr="00F43215">
        <w:t xml:space="preserve">v rámci instalace dodávky </w:t>
      </w:r>
      <w:r w:rsidR="008D2116" w:rsidRPr="00F43215">
        <w:t>provedení potřebného stínění provozních prostor či dalších trvalých opatření,</w:t>
      </w:r>
    </w:p>
    <w:p w14:paraId="0921DD98" w14:textId="77777777" w:rsidR="008D2116" w:rsidRPr="00B01F8D" w:rsidRDefault="008D2116" w:rsidP="008D2116">
      <w:pPr>
        <w:numPr>
          <w:ilvl w:val="0"/>
          <w:numId w:val="12"/>
        </w:numPr>
        <w:jc w:val="both"/>
      </w:pPr>
      <w:r w:rsidRPr="00F43215">
        <w:t xml:space="preserve">dodávka doplňků </w:t>
      </w:r>
      <w:r w:rsidRPr="00B01F8D">
        <w:t>pro operativní zajištění radiační ochrany při užívání zařízení,</w:t>
      </w:r>
    </w:p>
    <w:p w14:paraId="733EBC80" w14:textId="77777777" w:rsidR="008D2116" w:rsidRPr="00B01F8D" w:rsidRDefault="008D2116" w:rsidP="008D2116">
      <w:pPr>
        <w:numPr>
          <w:ilvl w:val="0"/>
          <w:numId w:val="12"/>
        </w:numPr>
        <w:jc w:val="both"/>
      </w:pPr>
      <w:r w:rsidRPr="00B01F8D">
        <w:t>přejímací zkouška zdroje ionizujícího záření,</w:t>
      </w:r>
    </w:p>
    <w:p w14:paraId="48D261C0" w14:textId="77777777" w:rsidR="008D2116" w:rsidRPr="00B01F8D" w:rsidRDefault="008D2116" w:rsidP="008D2116">
      <w:pPr>
        <w:numPr>
          <w:ilvl w:val="0"/>
          <w:numId w:val="12"/>
        </w:numPr>
        <w:jc w:val="both"/>
      </w:pPr>
      <w:r w:rsidRPr="00B01F8D">
        <w:t>měření rozptýleného záření.</w:t>
      </w:r>
    </w:p>
    <w:p w14:paraId="1235683A" w14:textId="073D6BC8" w:rsidR="007F58D0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F58D0" w:rsidRPr="00B429B0">
        <w:rPr>
          <w:rFonts w:cs="Arial"/>
          <w:szCs w:val="20"/>
        </w:rPr>
        <w:t xml:space="preserve">oučástí </w:t>
      </w:r>
      <w:r w:rsidR="001C608F" w:rsidRPr="00B429B0">
        <w:rPr>
          <w:rFonts w:cs="Arial"/>
          <w:szCs w:val="20"/>
        </w:rPr>
        <w:t>předmětu</w:t>
      </w:r>
      <w:r w:rsidR="00194BDC" w:rsidRPr="00B429B0">
        <w:rPr>
          <w:rFonts w:cs="Arial"/>
          <w:szCs w:val="20"/>
        </w:rPr>
        <w:t xml:space="preserve"> plnění</w:t>
      </w:r>
      <w:r w:rsidR="007F58D0" w:rsidRPr="00B429B0">
        <w:rPr>
          <w:rFonts w:cs="Arial"/>
          <w:szCs w:val="20"/>
        </w:rPr>
        <w:t xml:space="preserve"> je instruktáž pracovníků </w:t>
      </w:r>
      <w:r w:rsidR="00194BDC" w:rsidRPr="00B429B0">
        <w:rPr>
          <w:rFonts w:cs="Arial"/>
          <w:szCs w:val="20"/>
        </w:rPr>
        <w:t>K</w:t>
      </w:r>
      <w:r w:rsidR="007F58D0" w:rsidRPr="00B429B0">
        <w:rPr>
          <w:rFonts w:cs="Arial"/>
          <w:szCs w:val="20"/>
        </w:rPr>
        <w:t>upujícího k provádění obsluhy</w:t>
      </w:r>
      <w:r w:rsidR="00194BDC" w:rsidRPr="00B429B0">
        <w:rPr>
          <w:rFonts w:cs="Arial"/>
          <w:szCs w:val="20"/>
        </w:rPr>
        <w:t xml:space="preserve"> zařízení</w:t>
      </w:r>
      <w:r w:rsidR="007F58D0" w:rsidRPr="00B429B0">
        <w:rPr>
          <w:rFonts w:cs="Arial"/>
          <w:szCs w:val="20"/>
        </w:rPr>
        <w:t xml:space="preserve">. </w:t>
      </w:r>
      <w:r w:rsidR="007F58D0" w:rsidRPr="00B429B0">
        <w:rPr>
          <w:bCs/>
          <w:iCs/>
        </w:rPr>
        <w:t>Instruktáž</w:t>
      </w:r>
      <w:r w:rsidR="007F58D0" w:rsidRPr="00B429B0">
        <w:rPr>
          <w:rFonts w:cs="Arial"/>
          <w:szCs w:val="20"/>
        </w:rPr>
        <w:t xml:space="preserve"> obsluhy musí být provedena v souladu s požadavky zákona </w:t>
      </w:r>
      <w:r w:rsidR="004E76CC" w:rsidRPr="00B429B0">
        <w:t xml:space="preserve">č. </w:t>
      </w:r>
      <w:r w:rsidR="0001524D">
        <w:t xml:space="preserve">375/2022 </w:t>
      </w:r>
      <w:r w:rsidR="004E76CC" w:rsidRPr="00B429B0">
        <w:t>Sb., o zdravotnických prostředcích</w:t>
      </w:r>
      <w:r w:rsidR="00AC753E" w:rsidRPr="00B429B0">
        <w:t xml:space="preserve"> </w:t>
      </w:r>
      <w:r w:rsidR="0001524D">
        <w:t>a</w:t>
      </w:r>
      <w:r w:rsidR="00AC753E" w:rsidRPr="00B429B0">
        <w:t xml:space="preserve"> diagnostických zdravotn</w:t>
      </w:r>
      <w:r w:rsidR="0001524D">
        <w:t>ických</w:t>
      </w:r>
      <w:r w:rsidR="00AC753E" w:rsidRPr="00B429B0">
        <w:t xml:space="preserve"> prostředcích in vitro</w:t>
      </w:r>
      <w:r w:rsidR="00F857EF">
        <w:rPr>
          <w:rFonts w:cs="Arial"/>
          <w:szCs w:val="20"/>
        </w:rPr>
        <w:t xml:space="preserve"> a zákonem č. </w:t>
      </w:r>
      <w:r w:rsidR="007F58D0" w:rsidRPr="00B429B0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70197D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70197D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70197D">
        <w:rPr>
          <w:rFonts w:cs="Arial"/>
        </w:rPr>
        <w:t xml:space="preserve">osoby, která byla výrobcem nebo jeho </w:t>
      </w:r>
      <w:r w:rsidRPr="0070197D">
        <w:t>zplnomocněným</w:t>
      </w:r>
      <w:r w:rsidRPr="0070197D">
        <w:rPr>
          <w:rFonts w:cs="Arial"/>
        </w:rPr>
        <w:t xml:space="preserve"> zástupcem pověřena k provádění takových školení </w:t>
      </w:r>
      <w:r w:rsidRPr="0070197D">
        <w:rPr>
          <w:rFonts w:cs="Arial"/>
          <w:szCs w:val="20"/>
        </w:rPr>
        <w:t xml:space="preserve">dle § </w:t>
      </w:r>
      <w:r w:rsidRPr="0070197D">
        <w:t xml:space="preserve">41 </w:t>
      </w:r>
      <w:r w:rsidRPr="0070197D">
        <w:rPr>
          <w:rFonts w:cs="Arial"/>
          <w:szCs w:val="20"/>
        </w:rPr>
        <w:t>odst. 2 zákona č.</w:t>
      </w:r>
      <w:r w:rsidRPr="0070197D">
        <w:t xml:space="preserve"> 375/2022 Sb</w:t>
      </w:r>
      <w:r w:rsidRPr="0070197D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70197D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70197D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>
        <w:rPr>
          <w:rFonts w:cs="Arial"/>
          <w:b/>
          <w:szCs w:val="20"/>
        </w:rPr>
        <w:t>alších pracovníků kupujícího ve </w:t>
      </w:r>
      <w:r w:rsidRPr="0070197D">
        <w:rPr>
          <w:rFonts w:cs="Arial"/>
          <w:b/>
          <w:szCs w:val="20"/>
        </w:rPr>
        <w:t xml:space="preserve">smyslu § </w:t>
      </w:r>
      <w:r w:rsidR="004E76CC" w:rsidRPr="0070197D">
        <w:rPr>
          <w:b/>
        </w:rPr>
        <w:t>4</w:t>
      </w:r>
      <w:r w:rsidRPr="0070197D">
        <w:rPr>
          <w:rFonts w:cs="Arial"/>
          <w:b/>
          <w:szCs w:val="20"/>
        </w:rPr>
        <w:t>1 zák</w:t>
      </w:r>
      <w:r w:rsidR="007A5063" w:rsidRPr="0070197D">
        <w:rPr>
          <w:rFonts w:cs="Arial"/>
          <w:b/>
          <w:szCs w:val="20"/>
        </w:rPr>
        <w:t>ona</w:t>
      </w:r>
      <w:r w:rsidRPr="0070197D">
        <w:rPr>
          <w:rFonts w:cs="Arial"/>
          <w:b/>
          <w:szCs w:val="20"/>
        </w:rPr>
        <w:t xml:space="preserve"> č. </w:t>
      </w:r>
      <w:r w:rsidR="0001524D" w:rsidRPr="0070197D">
        <w:rPr>
          <w:b/>
        </w:rPr>
        <w:t>375/2022</w:t>
      </w:r>
      <w:r w:rsidR="0001524D" w:rsidRPr="0070197D">
        <w:t xml:space="preserve"> </w:t>
      </w:r>
      <w:r w:rsidR="00B623C2" w:rsidRPr="0070197D">
        <w:rPr>
          <w:rFonts w:cs="Arial"/>
          <w:b/>
          <w:szCs w:val="20"/>
        </w:rPr>
        <w:t>Sb.,</w:t>
      </w:r>
      <w:r w:rsidRPr="0070197D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429B0" w:rsidRDefault="0070197D" w:rsidP="0070197D">
      <w:pPr>
        <w:spacing w:before="80"/>
        <w:ind w:left="425"/>
        <w:jc w:val="both"/>
      </w:pPr>
      <w:r w:rsidRPr="0070197D">
        <w:rPr>
          <w:rFonts w:cs="Arial"/>
          <w:szCs w:val="20"/>
        </w:rPr>
        <w:t xml:space="preserve">Pokud </w:t>
      </w:r>
      <w:r w:rsidR="0057422E">
        <w:rPr>
          <w:rFonts w:cs="Arial"/>
          <w:szCs w:val="20"/>
        </w:rPr>
        <w:t>P</w:t>
      </w:r>
      <w:r w:rsidRPr="0070197D">
        <w:rPr>
          <w:rFonts w:cs="Arial"/>
          <w:szCs w:val="20"/>
        </w:rPr>
        <w:t>rodávající nezajistí, aby účastníci instruktáže dosáhli kvalifikace pro provádění instruktáže dalších pracovníků Kupujícího</w:t>
      </w:r>
      <w:r w:rsidRPr="00B429B0">
        <w:rPr>
          <w:rFonts w:cs="Arial"/>
          <w:szCs w:val="20"/>
        </w:rPr>
        <w:t xml:space="preserve">, zavazuje se touto smlouvou po celou dobu užívání předmětu plnění stranou Kupujícího provádět bezúplatně i následné instruktáže dalších pracovníků Kupujícího </w:t>
      </w:r>
      <w:r w:rsidRPr="00B429B0">
        <w:rPr>
          <w:rFonts w:cs="Arial"/>
          <w:szCs w:val="20"/>
        </w:rPr>
        <w:br/>
        <w:t xml:space="preserve">ve smyslu zákona č. </w:t>
      </w:r>
      <w:r>
        <w:t xml:space="preserve">375/2022 </w:t>
      </w:r>
      <w:r w:rsidRPr="00B429B0">
        <w:t>Sb.,</w:t>
      </w:r>
      <w:r w:rsidRPr="00B429B0">
        <w:rPr>
          <w:rFonts w:cs="Arial"/>
          <w:szCs w:val="20"/>
        </w:rPr>
        <w:t xml:space="preserve"> ve znění pozdějších předpisů, kteří budou předmět plnění používat. Kupující může vyžádat </w:t>
      </w:r>
      <w:r w:rsidRPr="0001524D">
        <w:rPr>
          <w:rFonts w:cs="Arial"/>
          <w:szCs w:val="20"/>
        </w:rPr>
        <w:t>provedení následné instruktáže maximálně 4x v průběhu jednoho kalendářního roku. Prodávající provede</w:t>
      </w:r>
      <w:r w:rsidRPr="00B429B0">
        <w:rPr>
          <w:rFonts w:cs="Arial"/>
          <w:szCs w:val="20"/>
        </w:rPr>
        <w:t xml:space="preserve">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429B0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429B0">
        <w:t xml:space="preserve">Veškeré </w:t>
      </w:r>
      <w:r w:rsidR="001A3F63" w:rsidRPr="00B429B0">
        <w:t xml:space="preserve">Prodávajícím poskytované </w:t>
      </w:r>
      <w:r w:rsidRPr="00B429B0">
        <w:t>zboží, služby, činnosti a dokumenty musí být v souladu s</w:t>
      </w:r>
      <w:r w:rsidR="001A3F63" w:rsidRPr="00B429B0">
        <w:t> </w:t>
      </w:r>
      <w:r w:rsidRPr="00B429B0">
        <w:t>legislativou</w:t>
      </w:r>
      <w:r w:rsidR="001A3F63" w:rsidRPr="00B429B0">
        <w:t xml:space="preserve"> </w:t>
      </w:r>
      <w:r w:rsidRPr="00B429B0">
        <w:t>České republiky</w:t>
      </w:r>
      <w:r w:rsidR="001A3F63" w:rsidRPr="00B429B0">
        <w:t xml:space="preserve"> </w:t>
      </w:r>
      <w:r w:rsidRPr="00B429B0">
        <w:t xml:space="preserve">a platných technických či jiných norem, vztahujících se na předmět plnění </w:t>
      </w:r>
      <w:r w:rsidRPr="00B429B0">
        <w:rPr>
          <w:bCs/>
          <w:iCs/>
        </w:rPr>
        <w:t>z hlediska jeho charakteru a způsobu užití.</w:t>
      </w:r>
    </w:p>
    <w:p w14:paraId="7855C179" w14:textId="2B453277" w:rsidR="00F967C0" w:rsidRPr="00B429B0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429B0">
        <w:rPr>
          <w:noProof/>
        </w:rP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za takovou dokumentaci považována „Pravidla chování dodavatelů v oblasti bezpečnosti informací“, veřejně dostupná na oficiálních webových stránkách Kupujícího pod odkazem </w:t>
      </w:r>
      <w:hyperlink r:id="rId8" w:history="1">
        <w:r w:rsidR="00BC7BCF" w:rsidRPr="00B429B0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429B0">
        <w:rPr>
          <w:noProof/>
        </w:rPr>
        <w:t>.</w:t>
      </w:r>
    </w:p>
    <w:p w14:paraId="612EA9E8" w14:textId="4AE35BB6" w:rsidR="00BC7BCF" w:rsidRPr="00B429B0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429B0">
        <w:rPr>
          <w:noProof/>
        </w:rPr>
        <w:t>Prodávající prohlašuje, že si tato pravidla před podpisem smlouvy přečetl.</w:t>
      </w:r>
    </w:p>
    <w:p w14:paraId="0CEC3BB7" w14:textId="3600BFB8" w:rsidR="00565E58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84E43">
        <w:rPr>
          <w:bCs/>
          <w:iCs/>
        </w:rPr>
        <w:lastRenderedPageBreak/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A21E8F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84E43">
        <w:rPr>
          <w:bCs/>
          <w:iCs/>
        </w:rPr>
        <w:t>Prodávající touto</w:t>
      </w:r>
      <w:r w:rsidRPr="005B44A4">
        <w:t xml:space="preserve"> smlouvou a za podmínek v ní uvedených zboží </w:t>
      </w:r>
      <w:r w:rsidR="001A3F63">
        <w:t>K</w:t>
      </w:r>
      <w:r w:rsidRPr="005B44A4">
        <w:t xml:space="preserve">upujícímu prodává a </w:t>
      </w:r>
      <w:r w:rsidR="001A3F63">
        <w:t>K</w:t>
      </w:r>
      <w:r w:rsidRPr="005B44A4">
        <w:t xml:space="preserve">upující touto smlouvou a za podmínek v ní uvedených zboží od </w:t>
      </w:r>
      <w:r w:rsidR="001A3F63">
        <w:t>P</w:t>
      </w:r>
      <w:r w:rsidRPr="005B44A4">
        <w:t>rodávajícího kupuje</w:t>
      </w:r>
      <w:r w:rsidR="00896339">
        <w:t>.</w:t>
      </w:r>
    </w:p>
    <w:p w14:paraId="01E641F8" w14:textId="571A4355" w:rsidR="00AA0ED3" w:rsidRPr="00CF7E18" w:rsidRDefault="00AA0ED3" w:rsidP="00EF4024">
      <w:pPr>
        <w:spacing w:before="280"/>
        <w:jc w:val="center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14:paraId="797D7FF6" w14:textId="77777777" w:rsidR="00297566" w:rsidRPr="00896339" w:rsidRDefault="00835CB2" w:rsidP="00896339">
      <w:pPr>
        <w:spacing w:after="180"/>
        <w:jc w:val="center"/>
        <w:rPr>
          <w:b/>
        </w:rPr>
      </w:pPr>
      <w:r>
        <w:rPr>
          <w:b/>
        </w:rPr>
        <w:t>Kupní cena</w:t>
      </w:r>
      <w:r w:rsidR="00E03887">
        <w:rPr>
          <w:b/>
        </w:rPr>
        <w:t xml:space="preserve"> a způsob platby</w:t>
      </w:r>
    </w:p>
    <w:p w14:paraId="5EA2FB66" w14:textId="77777777" w:rsidR="005B44A4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5B44A4">
        <w:rPr>
          <w:b/>
        </w:rPr>
        <w:t>Celková kupní cena předmětu plnění je stanovena dohodou smluvních stran ve výši</w:t>
      </w:r>
      <w:r>
        <w:t>:</w:t>
      </w:r>
    </w:p>
    <w:p w14:paraId="2D9372B7" w14:textId="77777777" w:rsidR="005B44A4" w:rsidRPr="005B44A4" w:rsidRDefault="005B44A4" w:rsidP="00B84E43">
      <w:pPr>
        <w:jc w:val="both"/>
        <w:rPr>
          <w:sz w:val="12"/>
          <w:szCs w:val="12"/>
        </w:rPr>
      </w:pPr>
    </w:p>
    <w:p w14:paraId="0CA49739" w14:textId="38742BB7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</w:r>
      <w:r w:rsidRPr="005B44A4">
        <w:rPr>
          <w:b/>
        </w:rPr>
        <w:t xml:space="preserve">bez DPH </w:t>
      </w:r>
      <w:r>
        <w:rPr>
          <w:b/>
        </w:rPr>
        <w:tab/>
      </w:r>
      <w:r w:rsidR="00A277E1">
        <w:rPr>
          <w:b/>
        </w:rPr>
        <w:t>1</w:t>
      </w:r>
      <w:r w:rsidR="00BE2A95">
        <w:rPr>
          <w:b/>
        </w:rPr>
        <w:t>0.184.000</w:t>
      </w:r>
      <w:r w:rsidR="00A277E1">
        <w:rPr>
          <w:b/>
        </w:rPr>
        <w:t>,00</w:t>
      </w:r>
      <w:r w:rsidR="0071163F" w:rsidRPr="005B44A4">
        <w:rPr>
          <w:b/>
        </w:rPr>
        <w:t xml:space="preserve"> </w:t>
      </w:r>
      <w:r>
        <w:rPr>
          <w:b/>
        </w:rPr>
        <w:t xml:space="preserve">     </w:t>
      </w:r>
      <w:r w:rsidR="00E03887" w:rsidRPr="005B44A4">
        <w:rPr>
          <w:b/>
        </w:rPr>
        <w:t>Kč</w:t>
      </w:r>
    </w:p>
    <w:p w14:paraId="214A16CA" w14:textId="1D89C57C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</w:r>
      <w:r w:rsidRPr="005B44A4">
        <w:rPr>
          <w:b/>
        </w:rPr>
        <w:t>DPH</w:t>
      </w:r>
      <w:r>
        <w:rPr>
          <w:b/>
        </w:rPr>
        <w:t xml:space="preserve">  </w:t>
      </w:r>
      <w:r>
        <w:rPr>
          <w:b/>
        </w:rPr>
        <w:tab/>
      </w:r>
      <w:r w:rsidR="00A277E1">
        <w:rPr>
          <w:b/>
        </w:rPr>
        <w:t>2.</w:t>
      </w:r>
      <w:r w:rsidR="00BE2A95">
        <w:rPr>
          <w:b/>
        </w:rPr>
        <w:t>138.640</w:t>
      </w:r>
      <w:r w:rsidR="00A277E1">
        <w:rPr>
          <w:b/>
        </w:rPr>
        <w:t>,00</w:t>
      </w:r>
      <w:r w:rsidRPr="005B44A4">
        <w:rPr>
          <w:b/>
        </w:rPr>
        <w:t xml:space="preserve"> </w:t>
      </w:r>
      <w:r>
        <w:rPr>
          <w:b/>
        </w:rPr>
        <w:t xml:space="preserve">     </w:t>
      </w:r>
      <w:r w:rsidRPr="005B44A4">
        <w:rPr>
          <w:b/>
        </w:rPr>
        <w:t>Kč</w:t>
      </w:r>
    </w:p>
    <w:p w14:paraId="3258F5E3" w14:textId="796CC7D7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>
        <w:rPr>
          <w:b/>
        </w:rPr>
        <w:tab/>
        <w:t>vč.</w:t>
      </w:r>
      <w:r w:rsidRPr="005B44A4">
        <w:rPr>
          <w:b/>
        </w:rPr>
        <w:t xml:space="preserve"> DPH</w:t>
      </w:r>
      <w:r>
        <w:rPr>
          <w:b/>
        </w:rPr>
        <w:tab/>
      </w:r>
      <w:r w:rsidR="00BE2A95">
        <w:rPr>
          <w:b/>
        </w:rPr>
        <w:t>12.322.640</w:t>
      </w:r>
      <w:r w:rsidR="00A277E1">
        <w:rPr>
          <w:b/>
        </w:rPr>
        <w:t>,00</w:t>
      </w:r>
      <w:r w:rsidRPr="005B44A4">
        <w:rPr>
          <w:b/>
        </w:rPr>
        <w:t xml:space="preserve"> </w:t>
      </w:r>
      <w:r>
        <w:rPr>
          <w:b/>
        </w:rPr>
        <w:t xml:space="preserve">     </w:t>
      </w:r>
      <w:r w:rsidRPr="005B44A4">
        <w:rPr>
          <w:b/>
        </w:rPr>
        <w:t>Kč</w:t>
      </w:r>
    </w:p>
    <w:p w14:paraId="19DDC947" w14:textId="77777777" w:rsidR="005B44A4" w:rsidRPr="005B44A4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84E43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944FEF">
        <w:rPr>
          <w:b/>
        </w:rPr>
        <w:t xml:space="preserve">Kupní </w:t>
      </w:r>
      <w:r w:rsidRPr="00001FB7">
        <w:rPr>
          <w:b/>
        </w:rPr>
        <w:t>cena vč. DPH</w:t>
      </w:r>
      <w:r w:rsidRPr="00944FEF">
        <w:rPr>
          <w:b/>
        </w:rPr>
        <w:t xml:space="preserve">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rPr>
          <w:b/>
        </w:rPr>
        <w:t>Splatnost faktur bude prodávajícím stanovena na 30 dnů ode dne vystavení faktury</w:t>
      </w:r>
      <w:r w:rsidR="00297566" w:rsidRPr="003B5AA7">
        <w:t>.</w:t>
      </w:r>
      <w:r w:rsidR="00310000" w:rsidRPr="003B5AA7">
        <w:t xml:space="preserve"> Faktura bude zaslána elektronicky na emailovou adresu: fakturace-investice@fnplzen.cz.</w:t>
      </w:r>
    </w:p>
    <w:p w14:paraId="199D6C96" w14:textId="77777777" w:rsidR="002B63CE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>Kupní cena jednotlivých položek je blíže specifikována v </w:t>
      </w:r>
      <w:r w:rsidRPr="003B5AA7">
        <w:rPr>
          <w:b/>
        </w:rPr>
        <w:t>Příloze č. 1</w:t>
      </w:r>
      <w:r w:rsidRPr="003B5AA7">
        <w:t xml:space="preserve"> této smlouvy</w:t>
      </w:r>
      <w:r w:rsidR="00297566" w:rsidRPr="003B5AA7">
        <w:t>.</w:t>
      </w:r>
    </w:p>
    <w:p w14:paraId="475B88D7" w14:textId="77777777" w:rsidR="002B63CE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 xml:space="preserve">Kupní </w:t>
      </w:r>
      <w:r w:rsidRPr="00CA3E6F">
        <w:t>cena zahrnuje cenu</w:t>
      </w:r>
      <w:r w:rsidRPr="005B44A4">
        <w:t xml:space="preserve"> </w:t>
      </w:r>
      <w:r w:rsidRPr="00BC26B9">
        <w:t xml:space="preserve">zboží včetně všech nákladů </w:t>
      </w:r>
      <w:r w:rsidR="00C24EC4">
        <w:t>P</w:t>
      </w:r>
      <w:r w:rsidRPr="00BC26B9">
        <w:t>rodávajícího, spojených s realizací dodávek, služeb, činností a dokumentů uvedených v bodě I.</w:t>
      </w:r>
      <w:r w:rsidRPr="005B44A4">
        <w:t xml:space="preserve"> Předmět plnění</w:t>
      </w:r>
      <w:r w:rsidR="002B63CE">
        <w:t>.</w:t>
      </w:r>
    </w:p>
    <w:p w14:paraId="1D9D6B7C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neposkytne </w:t>
      </w:r>
      <w:r w:rsidR="00C24EC4">
        <w:t>P</w:t>
      </w:r>
      <w:r w:rsidRPr="005B44A4">
        <w:t xml:space="preserve">rodávajícímu zálohu na kupní cenu. Prodávající je oprávněn fakturovat kupní cenu až po převzetí zboží </w:t>
      </w:r>
      <w:r w:rsidR="00C24EC4">
        <w:t>K</w:t>
      </w:r>
      <w:r w:rsidRPr="005B44A4">
        <w:t>upujícím</w:t>
      </w:r>
      <w:r w:rsidR="002B63CE">
        <w:t>.</w:t>
      </w:r>
    </w:p>
    <w:p w14:paraId="3B31438C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se zavazuje </w:t>
      </w:r>
      <w:r w:rsidR="005D3255" w:rsidRPr="005B44A4">
        <w:t xml:space="preserve">uhradit kupní cenu za zboží </w:t>
      </w:r>
      <w:r w:rsidRPr="005B44A4">
        <w:t xml:space="preserve">na účet </w:t>
      </w:r>
      <w:r w:rsidR="00C24EC4">
        <w:t>P</w:t>
      </w:r>
      <w:r w:rsidRPr="005B44A4">
        <w:t xml:space="preserve">rodávajícího nejpozději v den splatnosti. Za uhrazení kupní ceny se považuje den připsání finanční částky představující kupní cenu na účet </w:t>
      </w:r>
      <w:r w:rsidR="00C24EC4">
        <w:t>P</w:t>
      </w:r>
      <w:r w:rsidRPr="005B44A4">
        <w:t>rodávajícího</w:t>
      </w:r>
      <w:r w:rsidR="00E03887">
        <w:t xml:space="preserve">. </w:t>
      </w:r>
    </w:p>
    <w:p w14:paraId="6BF920FB" w14:textId="77777777" w:rsidR="00E03887" w:rsidRPr="00B02E61" w:rsidRDefault="005B44A4" w:rsidP="00B02E61">
      <w:pPr>
        <w:spacing w:before="80"/>
        <w:ind w:left="425"/>
        <w:jc w:val="both"/>
      </w:pPr>
      <w:r w:rsidRPr="005B44A4">
        <w:t xml:space="preserve">V případě, že zboží bude převzato s vadami, není </w:t>
      </w:r>
      <w:r w:rsidR="00054396">
        <w:t>K</w:t>
      </w:r>
      <w:r w:rsidRPr="005B44A4">
        <w:t xml:space="preserve">upující do doby, než </w:t>
      </w:r>
      <w:r w:rsidR="00054396">
        <w:t>P</w:t>
      </w:r>
      <w:r w:rsidRPr="005B44A4">
        <w:t xml:space="preserve">rodávající vady odstraní, povinen </w:t>
      </w:r>
      <w:r w:rsidR="00054396">
        <w:t>P</w:t>
      </w:r>
      <w:r w:rsidRPr="005B44A4">
        <w:t>rodávajícímu kupní cenu</w:t>
      </w:r>
      <w:r w:rsidR="00054396">
        <w:t xml:space="preserve"> </w:t>
      </w:r>
      <w:r w:rsidR="00054396" w:rsidRPr="005B44A4">
        <w:t>uhradit</w:t>
      </w:r>
      <w:r w:rsidRPr="005B44A4">
        <w:t xml:space="preserve"> a neocitá se tak v</w:t>
      </w:r>
      <w:r>
        <w:t> </w:t>
      </w:r>
      <w:r w:rsidRPr="005B44A4">
        <w:t>prodlení</w:t>
      </w:r>
      <w:r>
        <w:t>.</w:t>
      </w:r>
    </w:p>
    <w:p w14:paraId="4F733631" w14:textId="77777777" w:rsidR="005C2A23" w:rsidRPr="00BC26B9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je oprávněn fakturu do data </w:t>
      </w:r>
      <w:r w:rsidRPr="003A2761">
        <w:t>splatnosti</w:t>
      </w:r>
      <w:r w:rsidR="00054396" w:rsidRPr="003A2761">
        <w:t xml:space="preserve"> Prodávajícímu</w:t>
      </w:r>
      <w:r w:rsidRPr="003A2761">
        <w:t xml:space="preserve"> vrátit, pokud obsahuje nesprávné údaje nebo neobsahuje některou ze zákonem</w:t>
      </w:r>
      <w:r w:rsidRPr="00BC26B9">
        <w:t xml:space="preserve"> předepsaných náležitostí.</w:t>
      </w:r>
    </w:p>
    <w:p w14:paraId="4646D7C6" w14:textId="77777777" w:rsidR="003C07B7" w:rsidRPr="005C10B3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C10B3">
        <w:t xml:space="preserve">Každá faktura musí být označena </w:t>
      </w:r>
      <w:r w:rsidR="003C07B7" w:rsidRPr="005C10B3">
        <w:t>textem:</w:t>
      </w:r>
    </w:p>
    <w:p w14:paraId="11F2DD21" w14:textId="5F63E86A" w:rsidR="00AE369D" w:rsidRPr="005C10B3" w:rsidRDefault="003C07B7" w:rsidP="003C07B7">
      <w:pPr>
        <w:spacing w:before="60"/>
        <w:ind w:left="425"/>
        <w:jc w:val="both"/>
      </w:pPr>
      <w:r w:rsidRPr="005C10B3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>
            <w:t xml:space="preserve">Obnova a modernizace vybavení center vysoce specializované onkologické a </w:t>
          </w:r>
          <w:proofErr w:type="spellStart"/>
          <w:r w:rsidR="00C77752">
            <w:t>hematoonkologické</w:t>
          </w:r>
          <w:proofErr w:type="spellEnd"/>
          <w:r w:rsidR="00C77752">
            <w:t xml:space="preserve"> péče FN Plzeň“</w:t>
          </w:r>
        </w:sdtContent>
      </w:sdt>
      <w:r w:rsidRPr="005C10B3">
        <w:t>“</w:t>
      </w:r>
      <w:r w:rsidR="0079118B" w:rsidRPr="005C10B3">
        <w:t>,</w:t>
      </w:r>
      <w:r w:rsidRPr="005C10B3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>
            <w:t>CZ.31.8.0/0.0/0.0/23_072/0008233</w:t>
          </w:r>
        </w:sdtContent>
      </w:sdt>
      <w:r w:rsidRPr="005C10B3">
        <w:t xml:space="preserve">, </w:t>
      </w:r>
      <w:r w:rsidR="00E23D20" w:rsidRPr="005C10B3">
        <w:t>je f</w:t>
      </w:r>
      <w:r w:rsidRPr="005C10B3">
        <w:t>inancován Evropskou unií</w:t>
      </w:r>
      <w:r w:rsidR="00E23D20" w:rsidRPr="005C10B3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E23D20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E23D20">
        <w:rPr>
          <w:b/>
          <w:color w:val="00B050"/>
        </w:rPr>
        <w:tab/>
      </w:r>
      <w:r w:rsidRPr="00E23D20">
        <w:rPr>
          <w:b/>
          <w:color w:val="00B050"/>
        </w:rPr>
        <w:tab/>
      </w:r>
      <w:r w:rsidR="00F1317C" w:rsidRPr="00E23D20">
        <w:rPr>
          <w:b/>
        </w:rPr>
        <w:t>III.</w:t>
      </w:r>
    </w:p>
    <w:p w14:paraId="59A41CF5" w14:textId="77777777" w:rsidR="00F1317C" w:rsidRPr="00E23D20" w:rsidRDefault="002B63CE" w:rsidP="00B84E43">
      <w:pPr>
        <w:spacing w:after="180"/>
        <w:jc w:val="center"/>
        <w:rPr>
          <w:b/>
        </w:rPr>
      </w:pPr>
      <w:r w:rsidRPr="00E23D20">
        <w:rPr>
          <w:b/>
        </w:rPr>
        <w:t>D</w:t>
      </w:r>
      <w:r w:rsidR="00E03887" w:rsidRPr="00E23D20">
        <w:rPr>
          <w:b/>
        </w:rPr>
        <w:t>odání zboží</w:t>
      </w:r>
    </w:p>
    <w:p w14:paraId="4B0DC88B" w14:textId="14B6CC6A" w:rsidR="008D2116" w:rsidRPr="0055285F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E47AB2">
        <w:t xml:space="preserve">Prodávající předá Kupujícímu nejpozději </w:t>
      </w:r>
      <w:r w:rsidRPr="00F43215">
        <w:t>do 1 měsíce</w:t>
      </w:r>
      <w:r w:rsidRPr="00E47AB2">
        <w:t xml:space="preserve"> po uzavření této smlouvy technologický projekt </w:t>
      </w:r>
      <w:r w:rsidR="00702488">
        <w:t xml:space="preserve">a </w:t>
      </w:r>
      <w:r w:rsidR="00865FC0" w:rsidRPr="00F43215">
        <w:t>příp.</w:t>
      </w:r>
      <w:r w:rsidR="00865FC0">
        <w:t xml:space="preserve"> projekt </w:t>
      </w:r>
      <w:r w:rsidR="00702488">
        <w:t>stavební</w:t>
      </w:r>
      <w:r w:rsidR="00865FC0">
        <w:t>ch úprav</w:t>
      </w:r>
      <w:r w:rsidR="00702488">
        <w:t xml:space="preserve"> </w:t>
      </w:r>
      <w:r w:rsidRPr="00E47AB2">
        <w:t>dle čl. I odst. 3 této smlouvy.</w:t>
      </w:r>
    </w:p>
    <w:p w14:paraId="6AD35D60" w14:textId="77777777" w:rsidR="008D2116" w:rsidRPr="0055285F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E47AB2">
        <w:t>Dodávku, montáž a instalaci zařízení zahájí Prodávající ihned po předání místa plnění Kupujícím</w:t>
      </w:r>
      <w:r>
        <w:t>.</w:t>
      </w:r>
    </w:p>
    <w:p w14:paraId="49B226C2" w14:textId="77777777" w:rsidR="008D2116" w:rsidRPr="00E47AB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E47AB2">
        <w:t xml:space="preserve">Předání a převzetí místa plnění proběhne v termínu </w:t>
      </w:r>
      <w:r w:rsidRPr="00F43215">
        <w:t xml:space="preserve">sjednaném oběma smluvními stranami nejpozději 5 pracovních dnů předem, přičemž předání a převzetí místa plnění proběhne </w:t>
      </w:r>
      <w:r w:rsidRPr="00F43215">
        <w:rPr>
          <w:b/>
        </w:rPr>
        <w:t>nejpozději do 3 měsíců po uzavření této smlouvy.</w:t>
      </w:r>
      <w:r w:rsidRPr="00F43215">
        <w:t xml:space="preserve"> Pokud se smluvní strany nedohodnou, platí, že datum </w:t>
      </w:r>
      <w:r w:rsidRPr="00F43215">
        <w:lastRenderedPageBreak/>
        <w:t>předání místa plnění je následující pracovní den po uplynutí lhůty 3 měsíců od</w:t>
      </w:r>
      <w:r>
        <w:t xml:space="preserve"> uzavření této smlouvy</w:t>
      </w:r>
      <w:r w:rsidRPr="00E47AB2">
        <w:t>.</w:t>
      </w:r>
    </w:p>
    <w:p w14:paraId="5285B61E" w14:textId="77777777" w:rsidR="008D2116" w:rsidRPr="00E47AB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E47AB2">
        <w:t>V době mezi podpisem této smlouvy a předáním místa plnění Kupujícím Prodávajícímu zajistí Prodávající dostupnost věcných dodávek, svoji připravenost k převzetí místa plnění a k zahájení plnění, tj. dodávek zboží, montážních a instalačních činností.</w:t>
      </w:r>
    </w:p>
    <w:p w14:paraId="6EA88E56" w14:textId="77777777" w:rsidR="008D2116" w:rsidRPr="00E47AB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E47AB2">
        <w:rPr>
          <w:b/>
        </w:rPr>
        <w:t xml:space="preserve">Prodávající se </w:t>
      </w:r>
      <w:r w:rsidRPr="00F43215">
        <w:rPr>
          <w:b/>
        </w:rPr>
        <w:t xml:space="preserve">zavazuje předat předmět plnění Kupujícímu do 1 měsíce od předání místa plnění </w:t>
      </w:r>
      <w:r w:rsidRPr="00F43215">
        <w:t>dle odst. 3 tohoto</w:t>
      </w:r>
      <w:r w:rsidRPr="00E47AB2">
        <w:t xml:space="preserve"> článku</w:t>
      </w:r>
      <w:r w:rsidRPr="00E47AB2">
        <w:rPr>
          <w:b/>
        </w:rPr>
        <w:t xml:space="preserve">. </w:t>
      </w:r>
      <w:r w:rsidRPr="00E47AB2">
        <w:t>Prodávající v této době zajistí připravenost pro montáž a instalaci dodávaného věcného plnění a následně dodávku zboží včet</w:t>
      </w:r>
      <w:r>
        <w:t>ně montáže, uvedení zařízení do </w:t>
      </w:r>
      <w:r w:rsidRPr="00E47AB2">
        <w:t>provozu a provedení zkušebního provozu.</w:t>
      </w:r>
    </w:p>
    <w:p w14:paraId="53697998" w14:textId="2B8D2FAD" w:rsidR="008D2116" w:rsidRPr="00020E1A" w:rsidRDefault="008D2116" w:rsidP="008D2116">
      <w:pPr>
        <w:numPr>
          <w:ilvl w:val="0"/>
          <w:numId w:val="36"/>
        </w:numPr>
        <w:spacing w:after="120"/>
        <w:ind w:left="425" w:hanging="425"/>
        <w:jc w:val="both"/>
      </w:pPr>
      <w:r w:rsidRPr="00020E1A">
        <w:t>Místem plnění jsou prostory Kupujícího</w:t>
      </w:r>
      <w:r w:rsidRPr="00B429B0">
        <w:t xml:space="preserve"> na adrese </w:t>
      </w:r>
      <w:r w:rsidRPr="00B429B0">
        <w:rPr>
          <w:b/>
        </w:rPr>
        <w:t>Fakultní nemocnice Plzeň</w:t>
      </w:r>
      <w:r w:rsidRPr="00B429B0">
        <w:t xml:space="preserve">, tj. </w:t>
      </w:r>
      <w:r w:rsidRPr="003B5AA7">
        <w:rPr>
          <w:b/>
        </w:rPr>
        <w:t>alej Svobody 80, Plzeň – Lochotín</w:t>
      </w:r>
      <w:r w:rsidRPr="00020E1A">
        <w:rPr>
          <w:b/>
        </w:rPr>
        <w:t xml:space="preserve">, </w:t>
      </w:r>
      <w:r w:rsidRPr="00020E1A">
        <w:t>v nichž bude zařízení uvedeno do provozu a užíváno Kupujícím.</w:t>
      </w:r>
    </w:p>
    <w:p w14:paraId="38DBACD4" w14:textId="106A9BE8" w:rsidR="008D2116" w:rsidRPr="00B429B0" w:rsidRDefault="008D2116" w:rsidP="008D2116">
      <w:pPr>
        <w:numPr>
          <w:ilvl w:val="0"/>
          <w:numId w:val="36"/>
        </w:numPr>
        <w:ind w:left="426" w:hanging="426"/>
        <w:jc w:val="both"/>
      </w:pPr>
      <w:r w:rsidRPr="00020E1A">
        <w:t>Zboží se považuje za dodané a závazek Prodávajícího dodat zboží je splněn okamžikem převzetí předmětu plnění Kupujícím.</w:t>
      </w:r>
    </w:p>
    <w:p w14:paraId="7A74C6AD" w14:textId="593D8FF9" w:rsidR="00F1317C" w:rsidRPr="00B429B0" w:rsidRDefault="003F77A9" w:rsidP="00374EE9">
      <w:pPr>
        <w:spacing w:before="360"/>
        <w:jc w:val="center"/>
        <w:rPr>
          <w:b/>
        </w:rPr>
      </w:pPr>
      <w:r w:rsidRPr="00B429B0">
        <w:rPr>
          <w:b/>
        </w:rPr>
        <w:t>I</w:t>
      </w:r>
      <w:r w:rsidR="00F1317C" w:rsidRPr="00B429B0">
        <w:rPr>
          <w:b/>
        </w:rPr>
        <w:t>V.</w:t>
      </w:r>
    </w:p>
    <w:p w14:paraId="6CF6E790" w14:textId="77777777" w:rsidR="00946BD7" w:rsidRPr="00B429B0" w:rsidRDefault="00C93D76" w:rsidP="00B84E43">
      <w:pPr>
        <w:spacing w:after="180"/>
        <w:jc w:val="center"/>
        <w:rPr>
          <w:b/>
        </w:rPr>
      </w:pPr>
      <w:r w:rsidRPr="00B429B0">
        <w:rPr>
          <w:b/>
          <w:bCs/>
        </w:rPr>
        <w:t xml:space="preserve">Předání a převzetí </w:t>
      </w:r>
      <w:r w:rsidRPr="00B429B0">
        <w:rPr>
          <w:b/>
        </w:rPr>
        <w:t>předmětu</w:t>
      </w:r>
      <w:r w:rsidRPr="00B429B0">
        <w:rPr>
          <w:b/>
          <w:bCs/>
        </w:rPr>
        <w:t xml:space="preserve"> plnění</w:t>
      </w:r>
    </w:p>
    <w:p w14:paraId="571E5DF2" w14:textId="43022805" w:rsidR="00C93D76" w:rsidRPr="00602B98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429B0">
        <w:t xml:space="preserve">Prodávající je povinen vyzvat </w:t>
      </w:r>
      <w:r w:rsidR="001B6953" w:rsidRPr="00B429B0">
        <w:t>K</w:t>
      </w:r>
      <w:r w:rsidRPr="00B429B0">
        <w:t xml:space="preserve">upujícího k převzetí předmětu plnění nejméně 3 pracovní dny </w:t>
      </w:r>
      <w:r w:rsidRPr="00602B98">
        <w:t>před</w:t>
      </w:r>
      <w:r w:rsidR="00B429B0" w:rsidRPr="00602B98">
        <w:t> </w:t>
      </w:r>
      <w:r w:rsidR="00BD2236" w:rsidRPr="00602B98">
        <w:t>p</w:t>
      </w:r>
      <w:r w:rsidRPr="00602B98">
        <w:t xml:space="preserve">ředáním </w:t>
      </w:r>
      <w:r w:rsidR="00B719FF" w:rsidRPr="00602B98">
        <w:t>předmětu</w:t>
      </w:r>
      <w:r w:rsidR="001B6953" w:rsidRPr="00602B98">
        <w:t xml:space="preserve"> plnění</w:t>
      </w:r>
      <w:r w:rsidRPr="00602B98">
        <w:t xml:space="preserve">. Kontaktní osobou za </w:t>
      </w:r>
      <w:r w:rsidR="001B6953" w:rsidRPr="00602B98">
        <w:t>K</w:t>
      </w:r>
      <w:r w:rsidRPr="00602B98">
        <w:t>upujícího je:</w:t>
      </w:r>
    </w:p>
    <w:p w14:paraId="4306F6A3" w14:textId="5056720D" w:rsidR="003145AB" w:rsidRPr="003A2761" w:rsidRDefault="00C32993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602B98">
        <w:rPr>
          <w:b/>
        </w:rPr>
        <w:t>,</w:t>
      </w:r>
      <w:r w:rsidR="00DB1BA0" w:rsidRPr="00B429B0">
        <w:rPr>
          <w:b/>
        </w:rPr>
        <w:t xml:space="preserve"> </w:t>
      </w:r>
      <w:r w:rsidR="00DB1BA0">
        <w:rPr>
          <w:b/>
        </w:rPr>
        <w:t xml:space="preserve">Oddělení </w:t>
      </w:r>
      <w:r w:rsidR="00F824A7">
        <w:rPr>
          <w:b/>
        </w:rPr>
        <w:t>radiologické fyziky</w:t>
      </w:r>
      <w:r w:rsidR="00DB4D54">
        <w:rPr>
          <w:b/>
        </w:rPr>
        <w:t xml:space="preserve"> </w:t>
      </w:r>
      <w:r w:rsidR="008B6BA4">
        <w:rPr>
          <w:b/>
        </w:rPr>
        <w:t>–</w:t>
      </w:r>
      <w:r w:rsidR="00DB4D54">
        <w:rPr>
          <w:b/>
        </w:rPr>
        <w:t xml:space="preserve"> OTO</w:t>
      </w:r>
      <w:r w:rsidR="00DB1BA0">
        <w:rPr>
          <w:b/>
        </w:rPr>
        <w:t xml:space="preserve">, tel. </w:t>
      </w:r>
      <w:r>
        <w:rPr>
          <w:b/>
        </w:rPr>
        <w:t>XXX</w:t>
      </w:r>
      <w:r w:rsidR="00DB1BA0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O průběhu a výsledku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vyhotoví smluvní strany písemný předávací protokol, který bude obsahovat specifikaci </w:t>
      </w:r>
      <w:r w:rsidR="001B6953" w:rsidRPr="003A2761">
        <w:t>dodávek</w:t>
      </w:r>
      <w:r w:rsidRPr="003A2761">
        <w:t xml:space="preserve">, místo a datum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dle závazného vzoru uvedeného v </w:t>
      </w:r>
      <w:r w:rsidRPr="003A2761">
        <w:rPr>
          <w:b/>
        </w:rPr>
        <w:t xml:space="preserve">Příloze č. 2 </w:t>
      </w:r>
      <w:r w:rsidRPr="003A2761">
        <w:t>této kupní smlouvy.</w:t>
      </w:r>
    </w:p>
    <w:p w14:paraId="4FEAE83B" w14:textId="75330FF3" w:rsidR="00944FEF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Přílohou předávacího protokolu budou zkušební, měřící, cejchovací a revizní zprávy </w:t>
      </w:r>
      <w:r w:rsidR="001B6953" w:rsidRPr="003A2761">
        <w:t xml:space="preserve">a </w:t>
      </w:r>
      <w:r w:rsidRPr="003A2761">
        <w:t>příp. další doklady, prokazující způso</w:t>
      </w:r>
      <w:r w:rsidR="007F58D0" w:rsidRPr="003A2761">
        <w:t xml:space="preserve">bilost a připravenost předmětu plnění k užívání a dále seznam osob oprávněných k provádění instruktáží dle § </w:t>
      </w:r>
      <w:r w:rsidR="00F01CBF" w:rsidRPr="003A2761">
        <w:t>4</w:t>
      </w:r>
      <w:r w:rsidR="007F58D0" w:rsidRPr="003A2761">
        <w:t>1 odst. 2 zákona č</w:t>
      </w:r>
      <w:r w:rsidR="007F58D0" w:rsidRPr="00150498">
        <w:t>. </w:t>
      </w:r>
      <w:r w:rsidR="00694908">
        <w:t xml:space="preserve">375/2022 Sb. </w:t>
      </w:r>
      <w:r w:rsidR="007F58D0" w:rsidRPr="00D20D4A">
        <w:t xml:space="preserve">za stranu </w:t>
      </w:r>
      <w:r w:rsidR="001B6953" w:rsidRPr="00D20D4A">
        <w:t>Prodávajícího a protokoly o provedených instruktážích pracovníků Kupujícího.</w:t>
      </w:r>
    </w:p>
    <w:p w14:paraId="01DBF06F" w14:textId="77777777" w:rsidR="00474785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D20D4A">
        <w:t xml:space="preserve">Naplnění výše uvedených skutečností potvrdí </w:t>
      </w:r>
      <w:r w:rsidR="001B6953" w:rsidRPr="00D20D4A">
        <w:t>P</w:t>
      </w:r>
      <w:r w:rsidRPr="00D20D4A">
        <w:t>rodávající v protokolu prohlášením:</w:t>
      </w:r>
    </w:p>
    <w:p w14:paraId="6DA3935C" w14:textId="77777777" w:rsidR="00F031F1" w:rsidRDefault="00C93D76" w:rsidP="00B02E61">
      <w:pPr>
        <w:spacing w:before="80"/>
        <w:ind w:left="425"/>
        <w:jc w:val="both"/>
      </w:pPr>
      <w:r>
        <w:t>„</w:t>
      </w:r>
      <w:r w:rsidRPr="00C93D76">
        <w:rPr>
          <w:b/>
        </w:rPr>
        <w:t>Zařízení splňuje výrobcem uváděné parametry, je plně funkční a bezpečné pro použití při</w:t>
      </w:r>
      <w:r w:rsidR="00F01CBF">
        <w:rPr>
          <w:b/>
        </w:rPr>
        <w:t> </w:t>
      </w:r>
      <w:r w:rsidRPr="00C93D76">
        <w:rPr>
          <w:b/>
        </w:rPr>
        <w:t>poskytování zdravotní péče pracovníky kupujícího</w:t>
      </w:r>
      <w:r>
        <w:rPr>
          <w:b/>
        </w:rPr>
        <w:t>.</w:t>
      </w:r>
      <w:r>
        <w:t>“</w:t>
      </w:r>
    </w:p>
    <w:p w14:paraId="375923BD" w14:textId="77777777" w:rsidR="00944FEF" w:rsidRPr="00B02E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C93D76">
        <w:t xml:space="preserve">Kupující je oprávněn </w:t>
      </w:r>
      <w:r w:rsidRPr="003A2761">
        <w:t xml:space="preserve">odmítnout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převzít v případě, že:</w:t>
      </w:r>
    </w:p>
    <w:p w14:paraId="71BCE90B" w14:textId="77777777" w:rsidR="00C93D76" w:rsidRPr="003A2761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3A2761">
        <w:t xml:space="preserve">na </w:t>
      </w:r>
      <w:r w:rsidR="001B6953" w:rsidRPr="003A2761">
        <w:t>věcném plnění</w:t>
      </w:r>
      <w:r w:rsidRPr="003A2761">
        <w:t xml:space="preserve"> či jeho části se bude vyskytovat v okamžiku předání vada,</w:t>
      </w:r>
    </w:p>
    <w:p w14:paraId="77452D99" w14:textId="77777777" w:rsidR="00C93D76" w:rsidRPr="003A2761" w:rsidRDefault="00C93D76" w:rsidP="00B02E61">
      <w:pPr>
        <w:numPr>
          <w:ilvl w:val="0"/>
          <w:numId w:val="12"/>
        </w:numPr>
        <w:ind w:left="1145" w:hanging="357"/>
        <w:jc w:val="both"/>
      </w:pPr>
      <w:r w:rsidRPr="003A2761">
        <w:t xml:space="preserve">nebyly splněny všechny povinnosti </w:t>
      </w:r>
      <w:r w:rsidR="001B6953" w:rsidRPr="003A2761">
        <w:t>P</w:t>
      </w:r>
      <w:r w:rsidRPr="003A2761">
        <w:t>rodávajícího vyplývající z této smlouvy</w:t>
      </w:r>
      <w:r w:rsidR="001C0DCD" w:rsidRPr="003A2761">
        <w:t>.</w:t>
      </w:r>
    </w:p>
    <w:p w14:paraId="33F34849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Převezme-li </w:t>
      </w:r>
      <w:r w:rsidR="001B6953" w:rsidRPr="003A2761">
        <w:t>K</w:t>
      </w:r>
      <w:r w:rsidRPr="003A2761">
        <w:t xml:space="preserve">upující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s vadami, uvedenými v předávacím protokolu, je </w:t>
      </w:r>
      <w:r w:rsidR="001B6953" w:rsidRPr="003A2761">
        <w:t>P</w:t>
      </w:r>
      <w:r w:rsidRPr="003A2761">
        <w:t>rodávající povinen vady</w:t>
      </w:r>
      <w:r w:rsidR="002579E1" w:rsidRPr="003A2761">
        <w:t xml:space="preserve"> předmětu plnění</w:t>
      </w:r>
      <w:r w:rsidRPr="003A2761">
        <w:t xml:space="preserve"> odstranit neprodleně</w:t>
      </w:r>
      <w:r w:rsidR="002B63CE" w:rsidRPr="003A2761">
        <w:t>.</w:t>
      </w:r>
    </w:p>
    <w:p w14:paraId="1728DC2F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Kupující nabývá vlastnické právo k předmětu smlouvy dnem převzetí </w:t>
      </w:r>
      <w:r w:rsidR="00AA75F0" w:rsidRPr="003A2761">
        <w:t>předmětu</w:t>
      </w:r>
      <w:r w:rsidR="0005104D" w:rsidRPr="003A2761">
        <w:t xml:space="preserve"> plnění</w:t>
      </w:r>
      <w:r w:rsidR="002B63CE" w:rsidRPr="003A2761">
        <w:t>.</w:t>
      </w:r>
    </w:p>
    <w:p w14:paraId="1593AB61" w14:textId="77777777" w:rsidR="0071163F" w:rsidRPr="00B84E43" w:rsidRDefault="00C93D76" w:rsidP="00B02E61">
      <w:pPr>
        <w:spacing w:before="120"/>
        <w:ind w:left="426"/>
        <w:jc w:val="both"/>
      </w:pPr>
      <w:r w:rsidRPr="003A2761">
        <w:t xml:space="preserve">Nebezpečí škody na zboží přechází na </w:t>
      </w:r>
      <w:r w:rsidR="0005104D" w:rsidRPr="003A2761">
        <w:t>K</w:t>
      </w:r>
      <w:r w:rsidRPr="003A2761">
        <w:t xml:space="preserve">upujícího dnem převzetí </w:t>
      </w:r>
      <w:r w:rsidR="00AA75F0" w:rsidRPr="003A2761">
        <w:t>předmětu</w:t>
      </w:r>
      <w:r w:rsidR="0005104D" w:rsidRPr="003A2761">
        <w:t xml:space="preserve"> plnění</w:t>
      </w:r>
      <w:r w:rsidRPr="003A2761">
        <w:t>, uvedeným v předávacím protokolu.</w:t>
      </w:r>
    </w:p>
    <w:p w14:paraId="5D225378" w14:textId="77777777" w:rsidR="00AA0ED3" w:rsidRPr="003A2761" w:rsidRDefault="003145AB" w:rsidP="00EF4024">
      <w:pPr>
        <w:spacing w:before="280"/>
        <w:jc w:val="center"/>
        <w:rPr>
          <w:b/>
        </w:rPr>
      </w:pPr>
      <w:r w:rsidRPr="003A2761">
        <w:rPr>
          <w:b/>
        </w:rPr>
        <w:t>V</w:t>
      </w:r>
      <w:r w:rsidR="00AA0ED3" w:rsidRPr="003A2761">
        <w:rPr>
          <w:b/>
        </w:rPr>
        <w:t>.</w:t>
      </w:r>
    </w:p>
    <w:p w14:paraId="08E91B62" w14:textId="77777777" w:rsidR="00542DF9" w:rsidRPr="00B84E43" w:rsidRDefault="007212F9" w:rsidP="00B84E43">
      <w:pPr>
        <w:spacing w:after="180"/>
        <w:jc w:val="center"/>
        <w:rPr>
          <w:b/>
        </w:rPr>
      </w:pPr>
      <w:r w:rsidRPr="003A2761">
        <w:rPr>
          <w:b/>
        </w:rPr>
        <w:t>Odpovědnost za vady, záruka</w:t>
      </w:r>
    </w:p>
    <w:p w14:paraId="71CC2A95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3A2761">
        <w:t xml:space="preserve">Prodávající je povinen předat </w:t>
      </w:r>
      <w:r w:rsidR="009208D8" w:rsidRPr="003A2761">
        <w:t>K</w:t>
      </w:r>
      <w:r w:rsidRPr="003A2761">
        <w:t xml:space="preserve">upujícímu </w:t>
      </w:r>
      <w:r w:rsidR="00AA75F0" w:rsidRPr="003A2761">
        <w:t>předmět</w:t>
      </w:r>
      <w:r w:rsidR="009208D8" w:rsidRPr="003A2761">
        <w:t xml:space="preserve"> plnění</w:t>
      </w:r>
      <w:r w:rsidRPr="003A2761">
        <w:t xml:space="preserve"> v množství a kvalitě odpovídající této smlouvě a účelu dodávek, právním předpisům a příslušným technickým normám</w:t>
      </w:r>
      <w:r w:rsidR="003145AB" w:rsidRPr="003A2761">
        <w:t>.</w:t>
      </w:r>
    </w:p>
    <w:p w14:paraId="408A87DF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>Vadou, která má za následek porušení smlouvy podstatným způsobem</w:t>
      </w:r>
      <w:r w:rsidR="009208D8" w:rsidRPr="003A2761">
        <w:t>,</w:t>
      </w:r>
      <w:r w:rsidRPr="003A2761">
        <w:t xml:space="preserve"> se rozumí neúplnost dodávek, nefunkčnost zařízení nebo jeho části, právní vady nebo neplnění výrobcem nebo </w:t>
      </w:r>
      <w:r w:rsidR="009208D8" w:rsidRPr="003A2761">
        <w:t>P</w:t>
      </w:r>
      <w:r w:rsidRPr="003A2761">
        <w:t xml:space="preserve">rodávajícím deklamovaných hodnot technických parametrů nebo funkcionalit </w:t>
      </w:r>
      <w:r w:rsidR="00AA75F0" w:rsidRPr="003A2761">
        <w:t>předmětu</w:t>
      </w:r>
      <w:r w:rsidR="009208D8" w:rsidRPr="003A2761">
        <w:t xml:space="preserve"> plnění</w:t>
      </w:r>
      <w:r w:rsidR="003145AB" w:rsidRPr="003A2761">
        <w:t>.</w:t>
      </w:r>
    </w:p>
    <w:p w14:paraId="1D8B45AA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 xml:space="preserve">Nároky z vad </w:t>
      </w:r>
      <w:r w:rsidR="00AA75F0" w:rsidRPr="003A2761">
        <w:t>předmětu</w:t>
      </w:r>
      <w:r w:rsidR="009208D8" w:rsidRPr="003A2761">
        <w:t xml:space="preserve"> plnění</w:t>
      </w:r>
      <w:r w:rsidRPr="003A2761">
        <w:t xml:space="preserve"> se řídí </w:t>
      </w:r>
      <w:proofErr w:type="spellStart"/>
      <w:r w:rsidRPr="003A2761">
        <w:t>ust</w:t>
      </w:r>
      <w:proofErr w:type="spellEnd"/>
      <w:r w:rsidRPr="003A2761">
        <w:t>. § 2099 a násl. občanského zákoníku</w:t>
      </w:r>
      <w:r w:rsidR="003145AB" w:rsidRPr="003A2761">
        <w:t>.</w:t>
      </w:r>
    </w:p>
    <w:p w14:paraId="02FC4176" w14:textId="6FE4FE00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rPr>
          <w:b/>
        </w:rPr>
        <w:t xml:space="preserve">Prodávající poskytuje ve smyslu </w:t>
      </w:r>
      <w:proofErr w:type="spellStart"/>
      <w:r w:rsidRPr="003A2761">
        <w:rPr>
          <w:b/>
        </w:rPr>
        <w:t>u</w:t>
      </w:r>
      <w:r w:rsidR="00550BB0">
        <w:rPr>
          <w:b/>
        </w:rPr>
        <w:t>st</w:t>
      </w:r>
      <w:proofErr w:type="spellEnd"/>
      <w:r w:rsidR="00550BB0">
        <w:rPr>
          <w:b/>
        </w:rPr>
        <w:t>. § 2113 občanského zákoníku K</w:t>
      </w:r>
      <w:r w:rsidRPr="003A2761">
        <w:rPr>
          <w:b/>
        </w:rPr>
        <w:t>upujícímu záruku za</w:t>
      </w:r>
      <w:r w:rsidR="00F01CBF" w:rsidRPr="003A2761">
        <w:rPr>
          <w:b/>
        </w:rPr>
        <w:t> </w:t>
      </w:r>
      <w:r w:rsidRPr="003A2761">
        <w:rPr>
          <w:b/>
        </w:rPr>
        <w:t>jakost zboží po dobu:</w:t>
      </w:r>
    </w:p>
    <w:p w14:paraId="2267EFE9" w14:textId="692D58C6" w:rsidR="007212F9" w:rsidRPr="00B429B0" w:rsidRDefault="00DB1BA0" w:rsidP="00B02E61">
      <w:pPr>
        <w:spacing w:before="80"/>
        <w:ind w:left="425"/>
        <w:jc w:val="center"/>
        <w:rPr>
          <w:b/>
        </w:rPr>
      </w:pPr>
      <w:r w:rsidRPr="00B429B0">
        <w:rPr>
          <w:b/>
        </w:rPr>
        <w:t>24</w:t>
      </w:r>
      <w:r w:rsidR="0025792E" w:rsidRPr="00B429B0">
        <w:rPr>
          <w:b/>
        </w:rPr>
        <w:t xml:space="preserve"> </w:t>
      </w:r>
      <w:r w:rsidR="0009317F" w:rsidRPr="00B429B0">
        <w:rPr>
          <w:b/>
        </w:rPr>
        <w:t>měsíců.</w:t>
      </w:r>
      <w:r w:rsidR="00A53AF9" w:rsidRPr="00B429B0">
        <w:rPr>
          <w:b/>
        </w:rPr>
        <w:t xml:space="preserve"> </w:t>
      </w:r>
    </w:p>
    <w:p w14:paraId="086B7F4A" w14:textId="77777777" w:rsidR="007212F9" w:rsidRPr="003A2761" w:rsidRDefault="007212F9" w:rsidP="00B02E61">
      <w:pPr>
        <w:spacing w:before="80"/>
        <w:ind w:left="425"/>
        <w:jc w:val="both"/>
      </w:pPr>
      <w:r w:rsidRPr="00B429B0">
        <w:lastRenderedPageBreak/>
        <w:t>Záruční doba začíná běžet ode dne protokolárního převzetí</w:t>
      </w:r>
      <w:r w:rsidRPr="003A2761">
        <w:t xml:space="preserve"> </w:t>
      </w:r>
      <w:r w:rsidR="00AA75F0" w:rsidRPr="003A2761">
        <w:t>předmětu</w:t>
      </w:r>
      <w:r w:rsidR="009208D8" w:rsidRPr="003A2761">
        <w:t xml:space="preserve"> plnění</w:t>
      </w:r>
      <w:r w:rsidRPr="003A2761">
        <w:t>.</w:t>
      </w:r>
    </w:p>
    <w:p w14:paraId="1EFEE27F" w14:textId="65EA085C" w:rsidR="003D0D7B" w:rsidRPr="00D20D4A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rPr>
          <w:bCs/>
        </w:rPr>
        <w:t xml:space="preserve">V záruční době bude </w:t>
      </w:r>
      <w:r w:rsidR="009208D8" w:rsidRPr="003A2761">
        <w:rPr>
          <w:bCs/>
        </w:rPr>
        <w:t>P</w:t>
      </w:r>
      <w:r w:rsidR="00E7037E" w:rsidRPr="003A2761">
        <w:rPr>
          <w:bCs/>
        </w:rPr>
        <w:t>r</w:t>
      </w:r>
      <w:r w:rsidRPr="003A2761">
        <w:rPr>
          <w:bCs/>
        </w:rPr>
        <w:t xml:space="preserve">odávajícím bezúplatně prováděna též pravidelná údržba a všechny bezpečnostně technické kontroly </w:t>
      </w:r>
      <w:r w:rsidR="003D0D7B" w:rsidRPr="003A2761">
        <w:rPr>
          <w:bCs/>
        </w:rPr>
        <w:t>(BTK) zdravotn</w:t>
      </w:r>
      <w:r w:rsidR="005C4602" w:rsidRPr="003A2761">
        <w:rPr>
          <w:bCs/>
        </w:rPr>
        <w:t>ických prostředků dle zákona</w:t>
      </w:r>
      <w:r w:rsidR="00150498">
        <w:rPr>
          <w:bCs/>
        </w:rPr>
        <w:t xml:space="preserve"> </w:t>
      </w:r>
      <w:r w:rsidR="005C4602" w:rsidRPr="003A2761">
        <w:rPr>
          <w:bCs/>
        </w:rPr>
        <w:t>č. </w:t>
      </w:r>
      <w:r w:rsidR="00694908">
        <w:t xml:space="preserve">375/2022 </w:t>
      </w:r>
      <w:r w:rsidR="00150498" w:rsidRPr="00D20D4A">
        <w:rPr>
          <w:bCs/>
        </w:rPr>
        <w:t>Sb.</w:t>
      </w:r>
      <w:r w:rsidR="003D0D7B" w:rsidRPr="00D20D4A">
        <w:rPr>
          <w:bCs/>
        </w:rPr>
        <w:t>, ve</w:t>
      </w:r>
      <w:r w:rsidR="004C68D0" w:rsidRPr="00D20D4A">
        <w:rPr>
          <w:bCs/>
        </w:rPr>
        <w:t> </w:t>
      </w:r>
      <w:r w:rsidR="003D0D7B" w:rsidRPr="00D20D4A">
        <w:rPr>
          <w:bCs/>
        </w:rPr>
        <w:t>znění pozdějších předpisů</w:t>
      </w:r>
      <w:r w:rsidRPr="00D20D4A">
        <w:rPr>
          <w:bCs/>
        </w:rPr>
        <w:t>.</w:t>
      </w:r>
      <w:r w:rsidR="004C68D0" w:rsidRPr="00D20D4A">
        <w:rPr>
          <w:bCs/>
        </w:rPr>
        <w:t xml:space="preserve"> </w:t>
      </w:r>
      <w:r w:rsidRPr="00D20D4A">
        <w:rPr>
          <w:bCs/>
        </w:rPr>
        <w:t xml:space="preserve">Zkušební a revizní protokoly budou předávány odpovědným pracovníkům </w:t>
      </w:r>
      <w:r w:rsidR="009208D8" w:rsidRPr="00D20D4A">
        <w:rPr>
          <w:bCs/>
        </w:rPr>
        <w:t>K</w:t>
      </w:r>
      <w:r w:rsidRPr="00D20D4A">
        <w:rPr>
          <w:bCs/>
        </w:rPr>
        <w:t>upujícího.</w:t>
      </w:r>
    </w:p>
    <w:p w14:paraId="3343E6D9" w14:textId="7E91D7CC" w:rsidR="007212F9" w:rsidRPr="00F43215" w:rsidRDefault="00FF32BA" w:rsidP="00B02E61">
      <w:pPr>
        <w:spacing w:before="80"/>
        <w:ind w:left="425"/>
        <w:jc w:val="both"/>
      </w:pPr>
      <w:r w:rsidRPr="00F43215">
        <w:t xml:space="preserve">Prováděním </w:t>
      </w:r>
      <w:r w:rsidR="003D0D7B" w:rsidRPr="00F43215">
        <w:t xml:space="preserve">BTK se myslí preventivní kontroly a zkoušky v rozsahu předepsaném výrobcem </w:t>
      </w:r>
      <w:r w:rsidR="009208D8" w:rsidRPr="00F43215">
        <w:t>či</w:t>
      </w:r>
      <w:r w:rsidR="003D0D7B" w:rsidRPr="00F43215">
        <w:t xml:space="preserve"> zkoušky</w:t>
      </w:r>
      <w:r w:rsidR="009208D8" w:rsidRPr="00F43215">
        <w:t>,</w:t>
      </w:r>
      <w:r w:rsidR="003D0D7B" w:rsidRPr="00F43215">
        <w:t xml:space="preserve"> revize či ověření stanovené legislativ</w:t>
      </w:r>
      <w:r w:rsidR="009208D8" w:rsidRPr="00F43215">
        <w:t>ou</w:t>
      </w:r>
      <w:r w:rsidR="003D0D7B" w:rsidRPr="00F43215">
        <w:t xml:space="preserve"> – např. </w:t>
      </w:r>
      <w:r w:rsidR="005E311B" w:rsidRPr="00F43215">
        <w:t xml:space="preserve">zkoušky dlouhodobé stability zdrojů ionizujícího záření, </w:t>
      </w:r>
      <w:r w:rsidR="003D0D7B" w:rsidRPr="00F43215">
        <w:t>revize elektrické bezpečnosti, tlakové zkoušky, metrologická ověření apod.</w:t>
      </w:r>
      <w:r w:rsidR="00DB4D54" w:rsidRPr="00F43215">
        <w:t>, a</w:t>
      </w:r>
      <w:r w:rsidR="00AE3533" w:rsidRPr="00F43215">
        <w:t> </w:t>
      </w:r>
      <w:r w:rsidR="00DB4D54" w:rsidRPr="00F43215">
        <w:t>to</w:t>
      </w:r>
      <w:r w:rsidR="00AE3533" w:rsidRPr="00F43215">
        <w:t> </w:t>
      </w:r>
      <w:r w:rsidR="00DB4D54" w:rsidRPr="00F43215">
        <w:t>včetně dodávky potřebného materiálu, periodicky n</w:t>
      </w:r>
      <w:r w:rsidR="00AE3533" w:rsidRPr="00F43215">
        <w:t>ebo preventivně měněných dílů a </w:t>
      </w:r>
      <w:r w:rsidR="00DB4D54" w:rsidRPr="00F43215">
        <w:t>komponent použitých k těmto úkonům.</w:t>
      </w:r>
    </w:p>
    <w:p w14:paraId="4EFBDBF6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F43215">
        <w:t xml:space="preserve">Prodávající poskytuje </w:t>
      </w:r>
      <w:r w:rsidR="009208D8" w:rsidRPr="00F43215">
        <w:t>K</w:t>
      </w:r>
      <w:r w:rsidRPr="00F43215">
        <w:t xml:space="preserve">upujícímu garanci </w:t>
      </w:r>
      <w:r w:rsidRPr="003A2761">
        <w:t xml:space="preserve">dostupnosti </w:t>
      </w:r>
      <w:r w:rsidR="009208D8" w:rsidRPr="003A2761">
        <w:t xml:space="preserve">odborného </w:t>
      </w:r>
      <w:r w:rsidRPr="003A2761">
        <w:t>servisního zabezpečení</w:t>
      </w:r>
      <w:r w:rsidR="009208D8" w:rsidRPr="003A2761">
        <w:t xml:space="preserve">, </w:t>
      </w:r>
      <w:r w:rsidRPr="003A2761">
        <w:t>vč.</w:t>
      </w:r>
      <w:r w:rsidR="00B02E61">
        <w:t> </w:t>
      </w:r>
      <w:r w:rsidRPr="003A2761">
        <w:t>náhradních dílů a specifického spotřebního materiálu</w:t>
      </w:r>
      <w:r w:rsidR="009208D8" w:rsidRPr="003A2761">
        <w:t>,</w:t>
      </w:r>
      <w:r w:rsidRPr="003A2761">
        <w:t xml:space="preserve"> pro dodan</w:t>
      </w:r>
      <w:r w:rsidR="00AA75F0" w:rsidRPr="003A2761">
        <w:t>ý předmět</w:t>
      </w:r>
      <w:r w:rsidR="009208D8" w:rsidRPr="003A2761">
        <w:t xml:space="preserve"> plnění </w:t>
      </w:r>
      <w:r w:rsidRPr="003A2761">
        <w:t>na</w:t>
      </w:r>
      <w:r w:rsidR="004C68D0" w:rsidRPr="003A2761">
        <w:t> </w:t>
      </w:r>
      <w:r w:rsidRPr="003A2761">
        <w:t xml:space="preserve">základě </w:t>
      </w:r>
      <w:r w:rsidRPr="00DC4F1E">
        <w:t>souběžně uzavřené servisní smlouvy o dílo</w:t>
      </w:r>
      <w:r w:rsidRPr="003A2761">
        <w:t>.</w:t>
      </w:r>
    </w:p>
    <w:p w14:paraId="2F3250FF" w14:textId="77777777" w:rsidR="007212F9" w:rsidRPr="003B5AA7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t xml:space="preserve">Pokud není taková servisní smlouva o dílo uzavřena, </w:t>
      </w:r>
      <w:r w:rsidRPr="003B2DE1">
        <w:t>pak</w:t>
      </w:r>
      <w:r w:rsidR="009208D8" w:rsidRPr="003B2DE1">
        <w:t xml:space="preserve"> se</w:t>
      </w:r>
      <w:r w:rsidR="004F30A5" w:rsidRPr="003B2DE1">
        <w:t xml:space="preserve"> Prodávající</w:t>
      </w:r>
      <w:r w:rsidR="009208D8" w:rsidRPr="003B2DE1">
        <w:t xml:space="preserve"> zavazuje touto smlouvou k poskytování </w:t>
      </w:r>
      <w:r w:rsidR="009208D8" w:rsidRPr="003B5AA7">
        <w:t xml:space="preserve">servisního zabezpečení po dobu </w:t>
      </w:r>
      <w:r w:rsidR="004F30A5" w:rsidRPr="003B5AA7">
        <w:t>nejméně</w:t>
      </w:r>
      <w:r w:rsidR="0009317F" w:rsidRPr="003B5AA7">
        <w:t xml:space="preserve"> 8 let</w:t>
      </w:r>
      <w:r w:rsidR="009208D8" w:rsidRPr="003B5AA7">
        <w:t xml:space="preserve"> od předání</w:t>
      </w:r>
      <w:r w:rsidRPr="003B5AA7">
        <w:t xml:space="preserve"> </w:t>
      </w:r>
      <w:r w:rsidR="00AA75F0" w:rsidRPr="003B5AA7">
        <w:t>předmětu</w:t>
      </w:r>
      <w:r w:rsidR="004F30A5" w:rsidRPr="003B5AA7">
        <w:t xml:space="preserve"> plnění a v záruční době je P</w:t>
      </w:r>
      <w:r w:rsidRPr="003B5AA7">
        <w:t>rodávající povinen vady</w:t>
      </w:r>
      <w:r w:rsidR="004F30A5" w:rsidRPr="003B5AA7">
        <w:t xml:space="preserve"> vzniklé</w:t>
      </w:r>
      <w:r w:rsidRPr="003B5AA7">
        <w:t xml:space="preserve"> na </w:t>
      </w:r>
      <w:r w:rsidR="00AA75F0" w:rsidRPr="003B5AA7">
        <w:t>předmětu</w:t>
      </w:r>
      <w:r w:rsidR="004F30A5" w:rsidRPr="003B5AA7">
        <w:t xml:space="preserve"> plnění</w:t>
      </w:r>
      <w:r w:rsidRPr="003B5AA7">
        <w:t xml:space="preserve"> odstranit bez zbytečného prodlení, tzn.:</w:t>
      </w:r>
    </w:p>
    <w:p w14:paraId="385A1E4E" w14:textId="48B7D3D8" w:rsidR="00D8712B" w:rsidRPr="003B5AA7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reakční</w:t>
      </w:r>
      <w:r w:rsidRPr="003B5AA7">
        <w:rPr>
          <w:b/>
          <w:bCs/>
          <w:iCs/>
        </w:rPr>
        <w:t xml:space="preserve"> dobou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 xml:space="preserve">do </w:t>
      </w:r>
      <w:r w:rsidR="008519BE">
        <w:rPr>
          <w:b/>
          <w:bCs/>
          <w:iCs/>
        </w:rPr>
        <w:t>24</w:t>
      </w:r>
      <w:r w:rsidR="00602B98" w:rsidRPr="003B5AA7">
        <w:rPr>
          <w:b/>
          <w:bCs/>
          <w:iCs/>
        </w:rPr>
        <w:t xml:space="preserve"> </w:t>
      </w:r>
      <w:r w:rsidR="0009317F" w:rsidRPr="003B5AA7">
        <w:rPr>
          <w:b/>
          <w:bCs/>
          <w:iCs/>
        </w:rPr>
        <w:t>hodin</w:t>
      </w:r>
      <w:r w:rsidR="0009317F" w:rsidRPr="003B5AA7">
        <w:rPr>
          <w:bCs/>
          <w:iCs/>
        </w:rPr>
        <w:t xml:space="preserve"> </w:t>
      </w:r>
    </w:p>
    <w:p w14:paraId="74495DBD" w14:textId="689A3A6A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bez dodávky náhradního dílu</w:t>
      </w:r>
      <w:r w:rsidRPr="003B5AA7">
        <w:rPr>
          <w:b/>
          <w:bCs/>
          <w:iCs/>
        </w:rPr>
        <w:tab/>
      </w:r>
      <w:r w:rsidR="00010753">
        <w:rPr>
          <w:b/>
          <w:bCs/>
          <w:iCs/>
        </w:rPr>
        <w:t>do 24</w:t>
      </w:r>
      <w:r w:rsidR="0009317F" w:rsidRPr="003B5AA7">
        <w:rPr>
          <w:b/>
          <w:bCs/>
          <w:iCs/>
        </w:rPr>
        <w:t xml:space="preserve"> hodin </w:t>
      </w:r>
    </w:p>
    <w:p w14:paraId="3D9E1FD6" w14:textId="662B7F25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>s 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s dodáním náhradního dílu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 xml:space="preserve">do </w:t>
      </w:r>
      <w:r w:rsidR="00010753">
        <w:rPr>
          <w:b/>
          <w:bCs/>
          <w:iCs/>
        </w:rPr>
        <w:t>48</w:t>
      </w:r>
      <w:r w:rsidR="0009317F" w:rsidRPr="003B5AA7">
        <w:rPr>
          <w:b/>
          <w:bCs/>
          <w:iCs/>
        </w:rPr>
        <w:t xml:space="preserve"> hodin</w:t>
      </w:r>
    </w:p>
    <w:p w14:paraId="7638181A" w14:textId="77777777" w:rsidR="00D8712B" w:rsidRPr="003B5AA7" w:rsidRDefault="00D8712B" w:rsidP="00B02E61">
      <w:pPr>
        <w:spacing w:before="80"/>
        <w:ind w:left="426"/>
        <w:jc w:val="both"/>
        <w:rPr>
          <w:noProof/>
        </w:rPr>
      </w:pPr>
      <w:r w:rsidRPr="003B5AA7">
        <w:rPr>
          <w:noProof/>
        </w:rPr>
        <w:t xml:space="preserve">přičemž se </w:t>
      </w:r>
      <w:r w:rsidRPr="003B5AA7">
        <w:rPr>
          <w:bCs/>
          <w:iCs/>
        </w:rPr>
        <w:t>rozumí</w:t>
      </w:r>
      <w:r w:rsidRPr="003B5AA7">
        <w:rPr>
          <w:noProof/>
        </w:rPr>
        <w:t>:</w:t>
      </w:r>
    </w:p>
    <w:p w14:paraId="61018299" w14:textId="10411BBD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5AA7">
        <w:rPr>
          <w:b/>
          <w:noProof/>
        </w:rPr>
        <w:t>reakční dobou</w:t>
      </w:r>
      <w:r w:rsidRPr="003B5AA7">
        <w:rPr>
          <w:noProof/>
        </w:rPr>
        <w:t xml:space="preserve"> – doba od nahlášení závady </w:t>
      </w:r>
      <w:r w:rsidR="0085230A" w:rsidRPr="003B5AA7">
        <w:rPr>
          <w:noProof/>
        </w:rPr>
        <w:t>Kupujícím</w:t>
      </w:r>
      <w:r w:rsidRPr="003B5AA7">
        <w:rPr>
          <w:noProof/>
        </w:rPr>
        <w:t xml:space="preserve"> do započetí činnosti </w:t>
      </w:r>
      <w:r w:rsidR="0085230A" w:rsidRPr="003B5AA7">
        <w:rPr>
          <w:noProof/>
        </w:rPr>
        <w:t>Prodávajícího</w:t>
      </w:r>
      <w:r w:rsidRPr="003B5AA7">
        <w:rPr>
          <w:noProof/>
        </w:rPr>
        <w:t xml:space="preserve"> směřující k její</w:t>
      </w:r>
      <w:r w:rsidRPr="003B2DE1">
        <w:rPr>
          <w:noProof/>
        </w:rPr>
        <w:t xml:space="preserve"> analýze a odstranění na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>.</w:t>
      </w:r>
    </w:p>
    <w:p w14:paraId="11FC09D1" w14:textId="3DEA29FB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2DE1">
        <w:rPr>
          <w:b/>
          <w:noProof/>
        </w:rPr>
        <w:t>dobou odstranění závady</w:t>
      </w:r>
      <w:r w:rsidRPr="003B2DE1">
        <w:rPr>
          <w:noProof/>
        </w:rPr>
        <w:t xml:space="preserve"> – doba od započetí činnosti </w:t>
      </w:r>
      <w:r w:rsidR="0085230A" w:rsidRPr="003B2DE1">
        <w:rPr>
          <w:noProof/>
        </w:rPr>
        <w:t>Prodávajícího</w:t>
      </w:r>
      <w:r w:rsidRPr="003B2DE1">
        <w:rPr>
          <w:noProof/>
        </w:rPr>
        <w:t xml:space="preserve"> směřující k analýze závady do jejího odstranění a uvedení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 xml:space="preserve"> do provozu.</w:t>
      </w:r>
    </w:p>
    <w:p w14:paraId="0D114F6D" w14:textId="6E9233B9" w:rsidR="003F5F3E" w:rsidRDefault="00D8712B" w:rsidP="00B84E43">
      <w:pPr>
        <w:spacing w:before="120"/>
        <w:ind w:left="426"/>
        <w:jc w:val="both"/>
        <w:rPr>
          <w:b/>
        </w:rPr>
      </w:pPr>
      <w:r w:rsidRPr="00227B77">
        <w:rPr>
          <w:bCs/>
          <w:iCs/>
        </w:rPr>
        <w:t xml:space="preserve">Do plnění doby se </w:t>
      </w:r>
      <w:r w:rsidRPr="0001524D">
        <w:rPr>
          <w:bCs/>
          <w:iCs/>
        </w:rPr>
        <w:t>započítávají</w:t>
      </w:r>
      <w:r w:rsidR="00BF5E6F" w:rsidRPr="0001524D">
        <w:rPr>
          <w:bCs/>
          <w:iCs/>
        </w:rPr>
        <w:t xml:space="preserve"> jen</w:t>
      </w:r>
      <w:r w:rsidRPr="0001524D">
        <w:rPr>
          <w:bCs/>
          <w:iCs/>
        </w:rPr>
        <w:t xml:space="preserve"> pracovní dny. </w:t>
      </w:r>
    </w:p>
    <w:p w14:paraId="6C20BA6C" w14:textId="77777777" w:rsidR="00A21FBF" w:rsidRPr="00CF7E18" w:rsidRDefault="00A21FBF" w:rsidP="00EF4024">
      <w:pPr>
        <w:spacing w:before="280"/>
        <w:jc w:val="center"/>
        <w:rPr>
          <w:b/>
        </w:rPr>
      </w:pPr>
      <w:r>
        <w:rPr>
          <w:b/>
        </w:rPr>
        <w:t>VI</w:t>
      </w:r>
      <w:r w:rsidRPr="00CF7E18">
        <w:rPr>
          <w:b/>
        </w:rPr>
        <w:t>.</w:t>
      </w:r>
    </w:p>
    <w:p w14:paraId="3E9CB96B" w14:textId="77777777" w:rsidR="00A21FBF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Sankce</w:t>
      </w:r>
    </w:p>
    <w:p w14:paraId="1D822533" w14:textId="6ECFCD66" w:rsidR="007212F9" w:rsidRPr="003B5AA7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 xml:space="preserve">Pro případ </w:t>
      </w:r>
      <w:r w:rsidRPr="003B5AA7">
        <w:t xml:space="preserve">prodlení </w:t>
      </w:r>
      <w:r w:rsidR="004F30A5" w:rsidRPr="003B5AA7">
        <w:t>P</w:t>
      </w:r>
      <w:r w:rsidRPr="003B5AA7">
        <w:t xml:space="preserve">rodávajícího s předáním </w:t>
      </w:r>
      <w:r w:rsidR="00AA75F0" w:rsidRPr="003B5AA7">
        <w:t>předmětu plnění</w:t>
      </w:r>
      <w:r w:rsidRPr="003B5AA7">
        <w:t xml:space="preserve"> sjednávají smluvní strany poplatek z </w:t>
      </w:r>
      <w:r w:rsidRPr="00F43215">
        <w:t>prodlení ve</w:t>
      </w:r>
      <w:r w:rsidR="00187432" w:rsidRPr="00F43215">
        <w:t xml:space="preserve"> výši </w:t>
      </w:r>
      <w:r w:rsidR="00691B4D" w:rsidRPr="00F43215">
        <w:rPr>
          <w:b/>
        </w:rPr>
        <w:t>12</w:t>
      </w:r>
      <w:r w:rsidR="004260AD" w:rsidRPr="00F43215">
        <w:rPr>
          <w:b/>
        </w:rPr>
        <w:t>.000,- Kč</w:t>
      </w:r>
      <w:r w:rsidRPr="003B5AA7">
        <w:t xml:space="preserve"> za každý den trvání prodlení</w:t>
      </w:r>
      <w:r w:rsidR="00A21FBF" w:rsidRPr="003B5AA7">
        <w:t>.</w:t>
      </w:r>
    </w:p>
    <w:p w14:paraId="24D9DB83" w14:textId="77777777" w:rsidR="00CD11F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3B5AA7">
        <w:t>Kupující je oprávněn</w:t>
      </w:r>
      <w:r w:rsidRPr="003F0E49">
        <w:t xml:space="preserve"> odstoupit od této smlouvy</w:t>
      </w:r>
      <w:r w:rsidRPr="00540212">
        <w:t xml:space="preserve">, pokud bude </w:t>
      </w:r>
      <w:r w:rsidR="004F30A5" w:rsidRPr="00540212">
        <w:t>P</w:t>
      </w:r>
      <w:r w:rsidRPr="00540212">
        <w:t xml:space="preserve">rodávající v prodlení s předáním </w:t>
      </w:r>
      <w:r w:rsidR="00E7037E" w:rsidRPr="00540212">
        <w:t>předmětu plnění</w:t>
      </w:r>
      <w:r w:rsidRPr="00540212">
        <w:t xml:space="preserve"> po dobu del</w:t>
      </w:r>
      <w:r w:rsidRPr="007212F9">
        <w:t xml:space="preserve">ší než </w:t>
      </w:r>
      <w:r w:rsidRPr="007212F9">
        <w:rPr>
          <w:b/>
        </w:rPr>
        <w:t>60 dnů</w:t>
      </w:r>
      <w:r w:rsidR="0071163F">
        <w:t>.</w:t>
      </w:r>
    </w:p>
    <w:p w14:paraId="54C6FD17" w14:textId="77777777" w:rsidR="007212F9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540212">
        <w:t xml:space="preserve">Pro případ prodlení </w:t>
      </w:r>
      <w:r w:rsidR="004F30A5" w:rsidRPr="00540212">
        <w:t>K</w:t>
      </w:r>
      <w:r w:rsidRPr="00540212">
        <w:t>upujícího s úhradou kupní ceny sjednávají sm</w:t>
      </w:r>
      <w:r w:rsidR="00F031F1" w:rsidRPr="00540212">
        <w:t>luvní strany úrok z prodlení ve </w:t>
      </w:r>
      <w:r w:rsidRPr="00540212">
        <w:t xml:space="preserve">výši </w:t>
      </w:r>
      <w:r w:rsidRPr="00540212">
        <w:rPr>
          <w:b/>
        </w:rPr>
        <w:t>0,1</w:t>
      </w:r>
      <w:r w:rsidR="007926E0" w:rsidRPr="00540212">
        <w:rPr>
          <w:b/>
        </w:rPr>
        <w:t xml:space="preserve"> </w:t>
      </w:r>
      <w:r w:rsidRPr="00540212">
        <w:rPr>
          <w:b/>
        </w:rPr>
        <w:t xml:space="preserve">% </w:t>
      </w:r>
      <w:r w:rsidRPr="00540212">
        <w:t>z neuhrazené části kupní ceny za každý den trvání prodlení</w:t>
      </w:r>
      <w:r w:rsidR="0071163F">
        <w:t>.</w:t>
      </w:r>
    </w:p>
    <w:p w14:paraId="70E846A6" w14:textId="297D305E" w:rsidR="00A21FBF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>Sankce je splatná do 10 dnů poté, co bude písemná výzva oprávněné strany doručena straně povinné</w:t>
      </w:r>
      <w:r w:rsidR="0071163F">
        <w:t>.</w:t>
      </w:r>
    </w:p>
    <w:p w14:paraId="42B53F65" w14:textId="6B09E59A" w:rsidR="00EB4E38" w:rsidRPr="00B84E43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60B3F">
        <w:rPr>
          <w:rFonts w:cs="Arial"/>
        </w:rPr>
        <w:t xml:space="preserve">Kupující je </w:t>
      </w:r>
      <w:r w:rsidRPr="00AE3533">
        <w:rPr>
          <w:rFonts w:cs="Arial"/>
        </w:rPr>
        <w:t>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</w:t>
      </w:r>
      <w:r w:rsidRPr="00760B3F">
        <w:rPr>
          <w:rFonts w:cs="Arial"/>
        </w:rPr>
        <w:t xml:space="preserve"> zboží a, ač byl </w:t>
      </w:r>
      <w:r>
        <w:rPr>
          <w:rFonts w:cs="Arial"/>
        </w:rPr>
        <w:t>K</w:t>
      </w:r>
      <w:r w:rsidRPr="00760B3F">
        <w:rPr>
          <w:rFonts w:cs="Arial"/>
        </w:rPr>
        <w:t>upujícím upozorněn, nezjednal neprodleně nápravu.</w:t>
      </w:r>
    </w:p>
    <w:p w14:paraId="19EB52B5" w14:textId="038209C2" w:rsidR="007212F9" w:rsidRPr="00CF7E18" w:rsidRDefault="007212F9" w:rsidP="00EF4024">
      <w:pPr>
        <w:spacing w:before="280"/>
        <w:jc w:val="center"/>
        <w:rPr>
          <w:b/>
        </w:rPr>
      </w:pPr>
      <w:r>
        <w:rPr>
          <w:b/>
        </w:rPr>
        <w:t>VII</w:t>
      </w:r>
      <w:r w:rsidRPr="00CF7E18">
        <w:rPr>
          <w:b/>
        </w:rPr>
        <w:t>.</w:t>
      </w:r>
    </w:p>
    <w:p w14:paraId="73D09BBA" w14:textId="77777777" w:rsidR="007212F9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Závěrečná ustanovení</w:t>
      </w:r>
    </w:p>
    <w:p w14:paraId="24F334B2" w14:textId="77777777" w:rsidR="007212F9" w:rsidRPr="00944FEF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Nedílnou součástí této smlouvy je </w:t>
      </w:r>
      <w:r w:rsidRPr="00944FEF">
        <w:rPr>
          <w:b/>
          <w:szCs w:val="20"/>
        </w:rPr>
        <w:t>Příloha č. 1</w:t>
      </w:r>
      <w:r w:rsidRPr="00944FEF">
        <w:rPr>
          <w:szCs w:val="20"/>
        </w:rPr>
        <w:t>, vymezující předmět a rozsah plnění a cenu jednotlivých položek plnění.</w:t>
      </w:r>
    </w:p>
    <w:p w14:paraId="21394989" w14:textId="77777777" w:rsidR="007212F9" w:rsidRPr="00944FEF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944FEF">
        <w:rPr>
          <w:szCs w:val="20"/>
        </w:rPr>
        <w:t>Prodávající je oprávněn plnit předmět smlouvy ve spolupráci s dalšími fyzickými nebo právnickými osobami, pokud jsou uvedeny v </w:t>
      </w:r>
      <w:r w:rsidRPr="00944FEF">
        <w:rPr>
          <w:b/>
          <w:szCs w:val="20"/>
        </w:rPr>
        <w:t>Příloze č. 1</w:t>
      </w:r>
      <w:r w:rsidRPr="00944FEF">
        <w:rPr>
          <w:szCs w:val="20"/>
        </w:rPr>
        <w:t xml:space="preserve"> této smlouvy.</w:t>
      </w:r>
    </w:p>
    <w:p w14:paraId="2DC6E171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Tato smlouva se řídí českým právním řádem. Ve věci skutečností touto smlouvou neupravených se </w:t>
      </w:r>
      <w:r w:rsidR="00D1632C">
        <w:rPr>
          <w:szCs w:val="20"/>
        </w:rPr>
        <w:t>P</w:t>
      </w:r>
      <w:r w:rsidRPr="00944FEF">
        <w:rPr>
          <w:szCs w:val="20"/>
        </w:rPr>
        <w:t xml:space="preserve">rodávající nemůže dovolávat svých obecných dodacích, servisních či jiných obchodních </w:t>
      </w:r>
      <w:r w:rsidRPr="00944FEF">
        <w:rPr>
          <w:szCs w:val="20"/>
        </w:rPr>
        <w:lastRenderedPageBreak/>
        <w:t>podmínek nebo obdobných podmínek subdodavatelů, neboť tyto nejsou považovány za součást tohoto smluvního vztahu</w:t>
      </w:r>
      <w:r w:rsidR="00B02E61">
        <w:rPr>
          <w:szCs w:val="20"/>
        </w:rPr>
        <w:t>.</w:t>
      </w:r>
    </w:p>
    <w:p w14:paraId="41C36944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Pohledávky z této smlouvy může </w:t>
      </w:r>
      <w:r w:rsidR="00D1632C">
        <w:rPr>
          <w:szCs w:val="20"/>
        </w:rPr>
        <w:t>P</w:t>
      </w:r>
      <w:r w:rsidRPr="00944FEF">
        <w:rPr>
          <w:szCs w:val="20"/>
        </w:rPr>
        <w:t xml:space="preserve">rodávající převést na jinou osobu jen s předchozím souhlasem </w:t>
      </w:r>
      <w:r w:rsidR="00D1632C">
        <w:rPr>
          <w:szCs w:val="20"/>
        </w:rPr>
        <w:t>K</w:t>
      </w:r>
      <w:r w:rsidRPr="00944FEF">
        <w:rPr>
          <w:szCs w:val="20"/>
        </w:rPr>
        <w:t>upujícího.</w:t>
      </w:r>
    </w:p>
    <w:p w14:paraId="00AA3EE8" w14:textId="0DEB1231" w:rsidR="005955EF" w:rsidRPr="00B02E61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765A60">
        <w:t xml:space="preserve">Prodávající a jeho zaměstnanci se zavazují k zajištění ochrany informací, osobních údajů a údajů zvláštní kategorie Kupujícího nebo jeho pacientů, se kterými při plnění této smlouvy přijde do styku. </w:t>
      </w:r>
      <w:r w:rsidRPr="00540212">
        <w:t>Prodávající se zavazuje k zabezpečení mlčenlivosti všech jeho zaměstnanců o těchto údajích i o</w:t>
      </w:r>
      <w:r w:rsidR="00AF2425">
        <w:t> </w:t>
      </w:r>
      <w:r w:rsidRPr="00540212">
        <w:t xml:space="preserve">zajištění dalších technických a organizačních prostředků vedoucí k ochraně těchto údajů, aby </w:t>
      </w:r>
      <w:r w:rsidR="00D1632C" w:rsidRPr="00540212">
        <w:t>se zabránilo</w:t>
      </w:r>
      <w:r w:rsidRPr="00540212">
        <w:t xml:space="preserve"> jakémukoli zneužití dat a osobních údajů. Smluvní strany se zavazují k dodržení veškerých ujednání tohoto článku smlouvy i po ukončení účinnosti tohoto smluvního vztahu. Tento závaze</w:t>
      </w:r>
      <w:r w:rsidRPr="00765A60">
        <w:t>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>
        <w:t> </w:t>
      </w:r>
      <w:r w:rsidRPr="00765A60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765A6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765A60">
        <w:t xml:space="preserve">Prodávající prohlašuje, že v předmětu dodávky: </w:t>
      </w:r>
    </w:p>
    <w:p w14:paraId="7EA54B98" w14:textId="0121A24C" w:rsidR="005955EF" w:rsidRPr="00765A60" w:rsidRDefault="00711723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BF0543">
        <w:rPr>
          <w:rFonts w:cs="Arial"/>
        </w:rPr>
      </w:r>
      <w:r w:rsidR="00BF0543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765A60">
        <w:rPr>
          <w:rFonts w:cs="Arial"/>
        </w:rPr>
        <w:t xml:space="preserve"> jsou uchovávány osobní údaje a údaje zvláštní kategorie pacientů.</w:t>
      </w:r>
    </w:p>
    <w:p w14:paraId="26520663" w14:textId="611FE38B" w:rsidR="005955EF" w:rsidRPr="00765A60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765A60">
        <w:rPr>
          <w:rFonts w:cs="Arial"/>
        </w:rPr>
        <w:t xml:space="preserve">     </w:t>
      </w:r>
      <w:r w:rsidR="0071172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11723">
        <w:rPr>
          <w:rFonts w:cs="Arial"/>
        </w:rPr>
        <w:instrText xml:space="preserve"> FORMCHECKBOX </w:instrText>
      </w:r>
      <w:r w:rsidR="00BF0543">
        <w:rPr>
          <w:rFonts w:cs="Arial"/>
        </w:rPr>
      </w:r>
      <w:r w:rsidR="00BF0543">
        <w:rPr>
          <w:rFonts w:cs="Arial"/>
        </w:rPr>
        <w:fldChar w:fldCharType="separate"/>
      </w:r>
      <w:r w:rsidR="00711723">
        <w:rPr>
          <w:rFonts w:cs="Arial"/>
        </w:rPr>
        <w:fldChar w:fldCharType="end"/>
      </w:r>
      <w:r w:rsidRPr="00765A60">
        <w:rPr>
          <w:rFonts w:cs="Arial"/>
        </w:rPr>
        <w:t xml:space="preserve"> Jméno, příjmení, rodné číslo</w:t>
      </w:r>
    </w:p>
    <w:p w14:paraId="33CBBF16" w14:textId="02852390" w:rsidR="005955EF" w:rsidRPr="00765A60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765A60">
        <w:rPr>
          <w:rFonts w:cs="Arial"/>
        </w:rPr>
        <w:t xml:space="preserve">     </w:t>
      </w:r>
      <w:r w:rsidR="0071172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11723">
        <w:rPr>
          <w:rFonts w:cs="Arial"/>
        </w:rPr>
        <w:instrText xml:space="preserve"> FORMCHECKBOX </w:instrText>
      </w:r>
      <w:r w:rsidR="00BF0543">
        <w:rPr>
          <w:rFonts w:cs="Arial"/>
        </w:rPr>
      </w:r>
      <w:r w:rsidR="00BF0543">
        <w:rPr>
          <w:rFonts w:cs="Arial"/>
        </w:rPr>
        <w:fldChar w:fldCharType="separate"/>
      </w:r>
      <w:r w:rsidR="00711723">
        <w:rPr>
          <w:rFonts w:cs="Arial"/>
        </w:rPr>
        <w:fldChar w:fldCharType="end"/>
      </w:r>
      <w:r w:rsidRPr="00765A60">
        <w:rPr>
          <w:rFonts w:cs="Arial"/>
        </w:rPr>
        <w:t xml:space="preserve"> Údaje o zdravotním stavu</w:t>
      </w:r>
    </w:p>
    <w:p w14:paraId="2A6E6E88" w14:textId="632A4CC3" w:rsidR="005955EF" w:rsidRPr="00CB5C59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765A60">
        <w:rPr>
          <w:rFonts w:cs="Arial"/>
        </w:rPr>
        <w:t xml:space="preserve">     </w:t>
      </w:r>
      <w:r w:rsidR="00920DD1" w:rsidRPr="00765A60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765A60">
        <w:rPr>
          <w:rFonts w:cs="Arial"/>
        </w:rPr>
        <w:instrText xml:space="preserve"> FORMCHECKBOX </w:instrText>
      </w:r>
      <w:r w:rsidR="00BF0543">
        <w:rPr>
          <w:rFonts w:cs="Arial"/>
        </w:rPr>
      </w:r>
      <w:r w:rsidR="00BF0543">
        <w:rPr>
          <w:rFonts w:cs="Arial"/>
        </w:rPr>
        <w:fldChar w:fldCharType="separate"/>
      </w:r>
      <w:r w:rsidR="00920DD1" w:rsidRPr="00765A60">
        <w:rPr>
          <w:rFonts w:cs="Arial"/>
        </w:rPr>
        <w:fldChar w:fldCharType="end"/>
      </w:r>
      <w:r w:rsidRPr="00765A60">
        <w:rPr>
          <w:rFonts w:cs="Arial"/>
        </w:rPr>
        <w:t xml:space="preserve"> Jiné: </w:t>
      </w:r>
      <w:r w:rsidR="00CB5C59" w:rsidRPr="00CB5C59"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CB5C59" w:rsidRPr="00CB5C59">
        <w:instrText xml:space="preserve"> FORMTEXT </w:instrText>
      </w:r>
      <w:r w:rsidR="00CB5C59" w:rsidRPr="00CB5C59">
        <w:fldChar w:fldCharType="separate"/>
      </w:r>
      <w:r w:rsidR="00CB5C59">
        <w:rPr>
          <w:noProof/>
        </w:rPr>
        <w:t>………………………………………..</w:t>
      </w:r>
      <w:r w:rsidR="00CB5C59" w:rsidRPr="00CB5C59">
        <w:rPr>
          <w:noProof/>
        </w:rPr>
        <w:t>...................</w:t>
      </w:r>
      <w:r w:rsidR="00CB5C59" w:rsidRPr="00CB5C59">
        <w:fldChar w:fldCharType="end"/>
      </w:r>
    </w:p>
    <w:p w14:paraId="69933271" w14:textId="77777777" w:rsidR="005955EF" w:rsidRPr="00765A60" w:rsidRDefault="00920DD1" w:rsidP="00B02E61">
      <w:pPr>
        <w:tabs>
          <w:tab w:val="left" w:pos="426"/>
        </w:tabs>
        <w:spacing w:before="120"/>
        <w:ind w:left="425"/>
        <w:jc w:val="both"/>
      </w:pPr>
      <w:r w:rsidRPr="00765A60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65A60">
        <w:rPr>
          <w:rFonts w:cs="Arial"/>
        </w:rPr>
        <w:instrText xml:space="preserve"> FORMCHECKBOX </w:instrText>
      </w:r>
      <w:r w:rsidR="00BF0543">
        <w:rPr>
          <w:rFonts w:cs="Arial"/>
        </w:rPr>
      </w:r>
      <w:r w:rsidR="00BF0543">
        <w:rPr>
          <w:rFonts w:cs="Arial"/>
        </w:rPr>
        <w:fldChar w:fldCharType="separate"/>
      </w:r>
      <w:r w:rsidRPr="00765A60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5955EF" w:rsidRPr="00765A60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429B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 xml:space="preserve">V případě, že je předmětem dodávky počítačové vybavení uchovávající jakékoliv osobní údaje a údaje zvláštní kategorie, je prodávající povinen Kupujícího na tuto skutečnost upozornit a zajistit </w:t>
      </w:r>
      <w:r w:rsidRPr="00B429B0">
        <w:t>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 xml:space="preserve">Tato smlouva, včetně příloh </w:t>
      </w:r>
      <w:r w:rsidRPr="00765A60">
        <w:rPr>
          <w:szCs w:val="20"/>
        </w:rPr>
        <w:t xml:space="preserve">je vyhotovena ve dvou exemplářích, z nichž každá smluvní strana obdrží </w:t>
      </w:r>
      <w:r w:rsidRPr="00B429B0">
        <w:rPr>
          <w:szCs w:val="20"/>
        </w:rPr>
        <w:t>po jednom.</w:t>
      </w:r>
      <w:r w:rsidR="008C6861" w:rsidRPr="00B429B0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5C10B3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t xml:space="preserve">Tato smlouva nabývá platnosti </w:t>
      </w:r>
      <w:r w:rsidRPr="00765A60">
        <w:t xml:space="preserve">dnem jejího uzavření, tj. dnem podpisu smlouvy oprávněnými zástupci obou </w:t>
      </w:r>
      <w:r w:rsidRPr="005C10B3">
        <w:t>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765A60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Smluvní strany souhlasí se zveřejněním údajů o identifikaci smluvních stran, předmětu a účelu smlouvy, její ceně či hodnotě a datu uzavření této smlouvy</w:t>
      </w:r>
      <w:r>
        <w:t xml:space="preserve"> a </w:t>
      </w:r>
      <w:r w:rsidRPr="00944FEF">
        <w:rPr>
          <w:szCs w:val="20"/>
        </w:rPr>
        <w:t xml:space="preserve">všech </w:t>
      </w:r>
      <w:r>
        <w:rPr>
          <w:szCs w:val="20"/>
        </w:rPr>
        <w:t xml:space="preserve">dalších </w:t>
      </w:r>
      <w:r w:rsidRPr="00944FEF">
        <w:rPr>
          <w:szCs w:val="20"/>
        </w:rPr>
        <w:t>náležitostí smluvního vztahu (podmínky smlouvy, podmínky servisní smlouvy vážící se na předmět plnění atd.)</w:t>
      </w:r>
      <w:r w:rsidRPr="00765A60">
        <w:t>.</w:t>
      </w:r>
    </w:p>
    <w:p w14:paraId="414E6AC9" w14:textId="3B5E52A5" w:rsidR="00DC2397" w:rsidRPr="00AE3533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765A60">
        <w:rPr>
          <w:szCs w:val="20"/>
        </w:rPr>
        <w:lastRenderedPageBreak/>
        <w:t xml:space="preserve">Prodávající je povinen uchovávat </w:t>
      </w:r>
      <w:r w:rsidRPr="00540212">
        <w:rPr>
          <w:szCs w:val="20"/>
        </w:rPr>
        <w:t xml:space="preserve">veškerou </w:t>
      </w:r>
      <w:r w:rsidRPr="00AE3533">
        <w:rPr>
          <w:szCs w:val="20"/>
        </w:rPr>
        <w:t>dokumentaci související s realizací projektu včetně účetních dokladů minimálně do konce roku 20</w:t>
      </w:r>
      <w:r w:rsidR="006875D2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AE2F89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AE3533">
        <w:rPr>
          <w:szCs w:val="20"/>
        </w:rPr>
        <w:t>Prodávající je povinen minimálně do konce roku 20</w:t>
      </w:r>
      <w:r w:rsidR="0049671F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 xml:space="preserve"> poskytovat požadované informace a dokumentaci </w:t>
      </w:r>
      <w:r w:rsidR="009F7DC2" w:rsidRPr="00AE3533">
        <w:rPr>
          <w:szCs w:val="20"/>
        </w:rPr>
        <w:t xml:space="preserve">(včetně účetních dokladů) </w:t>
      </w:r>
      <w:r w:rsidRPr="00AE3533">
        <w:rPr>
          <w:szCs w:val="20"/>
        </w:rPr>
        <w:t>související s realizací</w:t>
      </w:r>
      <w:r w:rsidRPr="00B429B0">
        <w:rPr>
          <w:szCs w:val="20"/>
        </w:rPr>
        <w:t xml:space="preserve"> projektu zaměstnancům </w:t>
      </w:r>
      <w:r w:rsidRPr="00540212">
        <w:rPr>
          <w:szCs w:val="20"/>
        </w:rPr>
        <w:t>nebo</w:t>
      </w:r>
      <w:r w:rsidRPr="00944FEF">
        <w:rPr>
          <w:szCs w:val="20"/>
        </w:rPr>
        <w:t xml:space="preserve"> zmocněncům pověřených orgánů (</w:t>
      </w:r>
      <w:r w:rsidR="009F7DC2">
        <w:rPr>
          <w:color w:val="000000" w:themeColor="text1"/>
        </w:rPr>
        <w:t xml:space="preserve">OLAF – </w:t>
      </w:r>
      <w:r w:rsidR="009F7DC2">
        <w:t>Evropského úřadu pro boj proti podvodům</w:t>
      </w:r>
      <w:r w:rsidR="009F7DC2" w:rsidRPr="00BB6D22">
        <w:rPr>
          <w:color w:val="000000" w:themeColor="text1"/>
        </w:rPr>
        <w:t>, Úřad</w:t>
      </w:r>
      <w:r w:rsidR="009F7DC2">
        <w:rPr>
          <w:color w:val="000000" w:themeColor="text1"/>
        </w:rPr>
        <w:t>u</w:t>
      </w:r>
      <w:r w:rsidR="009F7DC2" w:rsidRPr="00BB6D22">
        <w:rPr>
          <w:color w:val="000000" w:themeColor="text1"/>
        </w:rPr>
        <w:t xml:space="preserve"> evropského veřejného žalobce, M</w:t>
      </w:r>
      <w:r w:rsidR="009F7DC2">
        <w:rPr>
          <w:color w:val="000000" w:themeColor="text1"/>
        </w:rPr>
        <w:t>inisterstva financí ČR</w:t>
      </w:r>
      <w:r w:rsidR="009F7DC2" w:rsidRPr="00BB6D22">
        <w:rPr>
          <w:color w:val="000000" w:themeColor="text1"/>
        </w:rPr>
        <w:t xml:space="preserve">, Evropské komise, Evropského účetního dvora, </w:t>
      </w:r>
      <w:r w:rsidR="009F7DC2">
        <w:rPr>
          <w:color w:val="000000" w:themeColor="text1"/>
        </w:rPr>
        <w:t>Ministerstva zdravotnictví ČR</w:t>
      </w:r>
      <w:r w:rsidR="009F7DC2" w:rsidRPr="00BB6D22">
        <w:rPr>
          <w:color w:val="000000" w:themeColor="text1"/>
        </w:rPr>
        <w:t>, Nejvyššího kontrolního úřadu</w:t>
      </w:r>
      <w:r w:rsidR="009F7DC2">
        <w:rPr>
          <w:color w:val="000000" w:themeColor="text1"/>
        </w:rPr>
        <w:t xml:space="preserve"> a dalších </w:t>
      </w:r>
      <w:r w:rsidR="009F7DC2" w:rsidRPr="00096A9F">
        <w:rPr>
          <w:color w:val="000000" w:themeColor="text1"/>
        </w:rPr>
        <w:t>příslušný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vnitrostátní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orgánů</w:t>
      </w:r>
      <w:r w:rsidRPr="00944FEF">
        <w:rPr>
          <w:szCs w:val="20"/>
        </w:rPr>
        <w:t>) a je povinen vytvořit výše uvedeným osobám podmínky k provedení kontroly vztahující se k</w:t>
      </w:r>
      <w:r w:rsidR="006B0625">
        <w:rPr>
          <w:szCs w:val="20"/>
        </w:rPr>
        <w:t> </w:t>
      </w:r>
      <w:r w:rsidRPr="00944FEF">
        <w:rPr>
          <w:szCs w:val="20"/>
        </w:rPr>
        <w:t>realizaci projektu a poskytnout jim při provádění kontroly součinnost.</w:t>
      </w:r>
    </w:p>
    <w:p w14:paraId="5976D58E" w14:textId="24B1467B" w:rsidR="00AE2F89" w:rsidRPr="00E3082D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E3082D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E3082D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124C79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CF7E18" w:rsidRDefault="00C25E82" w:rsidP="00AA0ED3">
      <w:pPr>
        <w:jc w:val="center"/>
        <w:rPr>
          <w:b/>
        </w:rPr>
      </w:pPr>
    </w:p>
    <w:p w14:paraId="1694A247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7"/>
        <w:gridCol w:w="282"/>
        <w:gridCol w:w="639"/>
        <w:gridCol w:w="3718"/>
      </w:tblGrid>
      <w:tr w:rsidR="00542DF9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Default="00542DF9" w:rsidP="00542DF9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67787B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Default="00542DF9" w:rsidP="00AA0ED3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45250556" w:rsidR="00542DF9" w:rsidRPr="0067787B" w:rsidRDefault="001D4AD8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Dle data el. podpisu</w:t>
            </w:r>
          </w:p>
        </w:tc>
      </w:tr>
    </w:tbl>
    <w:p w14:paraId="7117FB22" w14:textId="77777777" w:rsidR="00542DF9" w:rsidRDefault="00542DF9" w:rsidP="00AA0ED3"/>
    <w:p w14:paraId="400A4588" w14:textId="77777777" w:rsidR="0071163F" w:rsidRDefault="0071163F" w:rsidP="00AA0ED3"/>
    <w:p w14:paraId="651A47BF" w14:textId="77777777" w:rsidR="00B2454D" w:rsidRDefault="00B2454D" w:rsidP="00AA0ED3"/>
    <w:p w14:paraId="3C3F6652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1735830" w14:textId="762D64EE" w:rsidR="00B2454D" w:rsidRDefault="00755B53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210B042E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50C866C" w14:textId="596D7452" w:rsidR="00B2454D" w:rsidRDefault="001D4AD8" w:rsidP="001525B1">
            <w:pPr>
              <w:jc w:val="center"/>
            </w:pPr>
            <w:r>
              <w:t>Ing. Marek Češpivo</w:t>
            </w:r>
          </w:p>
          <w:p w14:paraId="0C8DA518" w14:textId="363786FD" w:rsidR="00B2454D" w:rsidRDefault="001D4AD8" w:rsidP="001525B1">
            <w:pPr>
              <w:jc w:val="center"/>
            </w:pPr>
            <w:r>
              <w:t>jednatel</w:t>
            </w:r>
          </w:p>
        </w:tc>
      </w:tr>
    </w:tbl>
    <w:p w14:paraId="656C0C08" w14:textId="77777777" w:rsidR="004C241E" w:rsidRDefault="004C241E" w:rsidP="00B2454D">
      <w:pPr>
        <w:rPr>
          <w:sz w:val="2"/>
          <w:szCs w:val="2"/>
        </w:rPr>
      </w:pPr>
    </w:p>
    <w:p w14:paraId="7D16764E" w14:textId="68FE64BE" w:rsidR="001377FA" w:rsidRDefault="004C241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A43DB3E" w14:textId="77777777" w:rsidR="001377FA" w:rsidRDefault="001377FA" w:rsidP="001377FA">
      <w:pPr>
        <w:pStyle w:val="Zhlav"/>
        <w:jc w:val="right"/>
      </w:pPr>
      <w:r w:rsidRPr="002F5223">
        <w:rPr>
          <w:b/>
          <w:caps/>
        </w:rPr>
        <w:lastRenderedPageBreak/>
        <w:t xml:space="preserve">Příloha č. 1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683E90D2" w14:textId="77777777" w:rsidR="001377FA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 xml:space="preserve">Specifikace </w:t>
      </w:r>
      <w:r w:rsidRPr="004C241E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>
        <w:rPr>
          <w:b/>
          <w:caps/>
          <w:color w:val="000000"/>
          <w:sz w:val="32"/>
        </w:rPr>
        <w:t xml:space="preserve"> plnění a ceny díla</w:t>
      </w:r>
    </w:p>
    <w:p w14:paraId="34EEF355" w14:textId="7ED19C63" w:rsidR="00F33979" w:rsidRPr="00E95A46" w:rsidRDefault="001377FA" w:rsidP="00E95A46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Předmět plnění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–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 kvalitativní a množstevní specifikace dodávky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předmětu plnění, zboží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547"/>
        <w:gridCol w:w="1451"/>
        <w:gridCol w:w="1404"/>
        <w:gridCol w:w="976"/>
      </w:tblGrid>
      <w:tr w:rsidR="00E15BAC" w:rsidRPr="00FF219E" w14:paraId="4E641B5F" w14:textId="77777777" w:rsidTr="00E15BAC">
        <w:trPr>
          <w:trHeight w:val="5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1315" w14:textId="2EF46CCA" w:rsidR="00027523" w:rsidRPr="00251F51" w:rsidRDefault="002451E5" w:rsidP="0002752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F23" w14:textId="417D1FDE" w:rsidR="00027523" w:rsidRPr="00251F51" w:rsidRDefault="00027523" w:rsidP="002451E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 xml:space="preserve">Zboží, příslušenství – typ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B10C" w14:textId="5297A2CA" w:rsidR="00027523" w:rsidRPr="00FF219E" w:rsidRDefault="00027523" w:rsidP="0002752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F219E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D779" w14:textId="77777777" w:rsidR="00027523" w:rsidRPr="00FF219E" w:rsidRDefault="00027523" w:rsidP="00027523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FF219E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0E" w14:textId="77777777" w:rsidR="00027523" w:rsidRPr="00FF219E" w:rsidRDefault="00027523" w:rsidP="0002752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F219E">
              <w:rPr>
                <w:b/>
                <w:sz w:val="18"/>
                <w:szCs w:val="18"/>
              </w:rPr>
              <w:t>Počet</w:t>
            </w:r>
          </w:p>
        </w:tc>
      </w:tr>
      <w:tr w:rsidR="001335B4" w:rsidRPr="00FF219E" w14:paraId="1635EE82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19CF" w14:textId="13C93DAA" w:rsidR="00E15BAC" w:rsidRPr="00E15BAC" w:rsidRDefault="001335B4" w:rsidP="00E15BAC">
            <w:pPr>
              <w:rPr>
                <w:b/>
                <w:sz w:val="18"/>
                <w:szCs w:val="18"/>
              </w:rPr>
            </w:pPr>
            <w:r w:rsidRPr="001335B4">
              <w:rPr>
                <w:b/>
                <w:sz w:val="18"/>
                <w:szCs w:val="18"/>
              </w:rPr>
              <w:t>Terapeutický RTG</w:t>
            </w:r>
            <w:r w:rsidR="00E15BAC">
              <w:rPr>
                <w:b/>
                <w:sz w:val="18"/>
                <w:szCs w:val="18"/>
              </w:rPr>
              <w:t xml:space="preserve"> portálový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033" w14:textId="77777777" w:rsidR="00E15BAC" w:rsidRPr="00E15BAC" w:rsidRDefault="001335B4" w:rsidP="003D515E">
            <w:pPr>
              <w:rPr>
                <w:b/>
                <w:sz w:val="18"/>
                <w:szCs w:val="18"/>
              </w:rPr>
            </w:pPr>
            <w:proofErr w:type="spellStart"/>
            <w:r w:rsidRPr="00E15BAC">
              <w:rPr>
                <w:b/>
                <w:sz w:val="18"/>
                <w:szCs w:val="18"/>
              </w:rPr>
              <w:t>Xstrahl</w:t>
            </w:r>
            <w:proofErr w:type="spellEnd"/>
            <w:r w:rsidRPr="00E15BAC">
              <w:rPr>
                <w:b/>
                <w:sz w:val="18"/>
                <w:szCs w:val="18"/>
              </w:rPr>
              <w:t xml:space="preserve"> 200  </w:t>
            </w:r>
          </w:p>
          <w:p w14:paraId="5630AF47" w14:textId="2635394A" w:rsidR="001335B4" w:rsidRPr="00E15BAC" w:rsidRDefault="00E15BAC" w:rsidP="00E15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f</w:t>
            </w:r>
            <w:r w:rsidR="001335B4" w:rsidRPr="00E15BAC">
              <w:rPr>
                <w:sz w:val="16"/>
                <w:szCs w:val="16"/>
              </w:rPr>
              <w:t>loor</w:t>
            </w:r>
            <w:proofErr w:type="spellEnd"/>
            <w:r w:rsidR="001335B4" w:rsidRPr="00E15BA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</w:t>
            </w:r>
            <w:r w:rsidR="001335B4" w:rsidRPr="00E15BAC">
              <w:rPr>
                <w:sz w:val="16"/>
                <w:szCs w:val="16"/>
              </w:rPr>
              <w:t>ounted</w:t>
            </w:r>
            <w:proofErr w:type="spellEnd"/>
            <w:r w:rsidR="001335B4" w:rsidRPr="00E15BA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</w:t>
            </w:r>
            <w:r w:rsidR="001335B4" w:rsidRPr="00E15BAC">
              <w:rPr>
                <w:sz w:val="16"/>
                <w:szCs w:val="16"/>
              </w:rPr>
              <w:t>ystem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056AF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0C5D2488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18E573C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C44F6E1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83365CE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00381C0A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627C4628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5C04327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6768ADD5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69D3632C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C04476F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2EEF272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61DBA15F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1B30C45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69B835A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A1F3BC1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574E15CD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09FDBEA" w14:textId="07D025FD" w:rsidR="001335B4" w:rsidRPr="00251F51" w:rsidRDefault="001335B4" w:rsidP="00027523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>XS9005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9EB6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31C52F4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0731A35C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969EB1E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389476F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42B15D1E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7F0C5CAD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3175F6C5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7624A93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B9ABFAF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03BEBAB6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65CA156E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281AD3DE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2DE469C4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0B9F8023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5FEE523B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17E27D21" w14:textId="77777777" w:rsidR="001335B4" w:rsidRPr="00251F51" w:rsidRDefault="001335B4" w:rsidP="00027523">
            <w:pPr>
              <w:rPr>
                <w:b/>
                <w:sz w:val="18"/>
                <w:szCs w:val="18"/>
              </w:rPr>
            </w:pPr>
          </w:p>
          <w:p w14:paraId="2EE8D91F" w14:textId="1CB64785" w:rsidR="001335B4" w:rsidRPr="00251F51" w:rsidRDefault="001335B4" w:rsidP="00027523">
            <w:pPr>
              <w:rPr>
                <w:b/>
                <w:sz w:val="18"/>
                <w:szCs w:val="18"/>
              </w:rPr>
            </w:pPr>
            <w:proofErr w:type="spellStart"/>
            <w:r w:rsidRPr="00251F51">
              <w:rPr>
                <w:b/>
                <w:sz w:val="18"/>
                <w:szCs w:val="18"/>
              </w:rPr>
              <w:t>Xstrahl</w:t>
            </w:r>
            <w:proofErr w:type="spellEnd"/>
            <w:r w:rsidRPr="00251F51">
              <w:rPr>
                <w:b/>
                <w:sz w:val="18"/>
                <w:szCs w:val="18"/>
              </w:rPr>
              <w:t>, LDT</w:t>
            </w:r>
          </w:p>
          <w:p w14:paraId="5FC45EF2" w14:textId="5DF9D8A3" w:rsidR="001335B4" w:rsidRPr="00251F51" w:rsidRDefault="001335B4" w:rsidP="007E0142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59EF" w14:textId="266DAE90" w:rsidR="001335B4" w:rsidRPr="00E15BAC" w:rsidRDefault="001335B4" w:rsidP="00027523">
            <w:pPr>
              <w:jc w:val="center"/>
              <w:rPr>
                <w:b/>
                <w:szCs w:val="20"/>
              </w:rPr>
            </w:pPr>
            <w:r w:rsidRPr="00E15BAC">
              <w:rPr>
                <w:b/>
                <w:szCs w:val="20"/>
              </w:rPr>
              <w:t>1</w:t>
            </w:r>
          </w:p>
        </w:tc>
      </w:tr>
      <w:tr w:rsidR="001335B4" w:rsidRPr="00FF219E" w14:paraId="1094515A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AD79" w14:textId="61BAD5D5" w:rsidR="001335B4" w:rsidRPr="00251F51" w:rsidRDefault="001335B4" w:rsidP="00592651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Generátor vysokého napětí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703" w14:textId="74BEFFED" w:rsidR="001335B4" w:rsidRPr="00251F51" w:rsidRDefault="001335B4" w:rsidP="002451E5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Generátor 225 </w:t>
            </w:r>
            <w:proofErr w:type="spellStart"/>
            <w:r w:rsidRPr="00251F51">
              <w:rPr>
                <w:i/>
                <w:sz w:val="16"/>
                <w:szCs w:val="16"/>
              </w:rPr>
              <w:t>kV</w:t>
            </w:r>
            <w:proofErr w:type="spellEnd"/>
            <w:r w:rsidRPr="00251F51">
              <w:rPr>
                <w:i/>
                <w:sz w:val="16"/>
                <w:szCs w:val="16"/>
              </w:rPr>
              <w:t xml:space="preserve"> / 3200 W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27F93" w14:textId="77777777" w:rsidR="001335B4" w:rsidRPr="00E15BAC" w:rsidRDefault="001335B4" w:rsidP="002451E5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5212B" w14:textId="5CE0960A" w:rsidR="001335B4" w:rsidRPr="00E15BAC" w:rsidRDefault="001335B4" w:rsidP="007E0142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1E46" w14:textId="51E4722C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66A73D61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AF15" w14:textId="21F8AC11" w:rsidR="001335B4" w:rsidRPr="00251F51" w:rsidRDefault="001335B4" w:rsidP="00592651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Trubice X-záření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3BF" w14:textId="053952AB" w:rsidR="001335B4" w:rsidRPr="00251F51" w:rsidRDefault="001335B4" w:rsidP="002451E5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RTG zářič 225 </w:t>
            </w:r>
            <w:proofErr w:type="spellStart"/>
            <w:r w:rsidRPr="00251F51">
              <w:rPr>
                <w:i/>
                <w:sz w:val="16"/>
                <w:szCs w:val="16"/>
              </w:rPr>
              <w:t>kV</w:t>
            </w:r>
            <w:proofErr w:type="spellEnd"/>
            <w:r w:rsidRPr="00251F51">
              <w:rPr>
                <w:i/>
                <w:sz w:val="16"/>
                <w:szCs w:val="16"/>
              </w:rPr>
              <w:t xml:space="preserve"> / 3000 W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4C4A" w14:textId="77777777" w:rsidR="001335B4" w:rsidRPr="00E15BAC" w:rsidRDefault="001335B4" w:rsidP="002451E5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28DED" w14:textId="7CC6D152" w:rsidR="001335B4" w:rsidRPr="00E15BAC" w:rsidRDefault="001335B4" w:rsidP="007E0142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64D0" w14:textId="1FF6AD94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7016BFE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91F6" w14:textId="31FF1BF3" w:rsidR="001335B4" w:rsidRPr="00251F51" w:rsidRDefault="001335B4" w:rsidP="002451E5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Konzole pro obsluhu -spuštění a zastavení záření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2C0" w14:textId="6EF8DDE6" w:rsidR="001335B4" w:rsidRPr="00251F51" w:rsidRDefault="001335B4" w:rsidP="002451E5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Ovládací konzole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9550E" w14:textId="77777777" w:rsidR="001335B4" w:rsidRPr="00E15BAC" w:rsidRDefault="001335B4" w:rsidP="002451E5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FAF7" w14:textId="17481122" w:rsidR="001335B4" w:rsidRPr="00E15BAC" w:rsidRDefault="001335B4" w:rsidP="007E0142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9964" w14:textId="437BC86F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7D44B137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C0DF" w14:textId="59BC00C0" w:rsidR="001335B4" w:rsidRPr="00251F51" w:rsidRDefault="001335B4" w:rsidP="003D515E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Ovládací a databázová PC stanice, monitor 23“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6B5" w14:textId="6E9A2E39" w:rsidR="001335B4" w:rsidRPr="00251F51" w:rsidRDefault="001335B4" w:rsidP="003D515E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HW </w:t>
            </w:r>
            <w:proofErr w:type="spellStart"/>
            <w:r w:rsidRPr="00251F51">
              <w:rPr>
                <w:i/>
                <w:sz w:val="16"/>
                <w:szCs w:val="16"/>
              </w:rPr>
              <w:t>Autocont</w:t>
            </w:r>
            <w:proofErr w:type="spellEnd"/>
            <w:r w:rsidRPr="00251F51">
              <w:rPr>
                <w:i/>
                <w:sz w:val="16"/>
                <w:szCs w:val="16"/>
              </w:rPr>
              <w:t>, OS Windows 11 Pro</w:t>
            </w:r>
          </w:p>
          <w:p w14:paraId="2B2BFD6F" w14:textId="4B309D6D" w:rsidR="001335B4" w:rsidRPr="00251F51" w:rsidRDefault="001335B4" w:rsidP="003D515E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SW Concerto, </w:t>
            </w:r>
            <w:proofErr w:type="spellStart"/>
            <w:r w:rsidRPr="00251F51">
              <w:rPr>
                <w:i/>
                <w:sz w:val="16"/>
                <w:szCs w:val="16"/>
              </w:rPr>
              <w:t>Fysica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65DAB" w14:textId="77777777" w:rsidR="001335B4" w:rsidRPr="00E15BAC" w:rsidRDefault="001335B4" w:rsidP="002451E5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45ADC" w14:textId="223EBF5B" w:rsidR="001335B4" w:rsidRPr="00E15BAC" w:rsidRDefault="001335B4" w:rsidP="007E0142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FCA" w14:textId="6F80DD28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25370373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98A5" w14:textId="4D1BFFA6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A1E" w14:textId="60DE3E41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4x4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3C4BE" w14:textId="2D583EC2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F557C" w14:textId="1ECF318C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532F" w14:textId="58A246FB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6815056C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70F3" w14:textId="34A9584F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5BD" w14:textId="49072C3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6x6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71396" w14:textId="32C6B1F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73E40" w14:textId="2CDE1EED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1882" w14:textId="6489F79A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29F98840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6E49" w14:textId="3FC2DD5E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C77" w14:textId="33380356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8x8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3F004" w14:textId="15D8019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88EB" w14:textId="1A2C5BC1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7370" w14:textId="1BECC8C8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0C3F3B67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8D94" w14:textId="012D4633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84A" w14:textId="06E4CD6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10x10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281B" w14:textId="08711DA8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5644" w14:textId="1FD104C1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7354" w14:textId="65DF6178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12EF0D5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D811" w14:textId="67C445B0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1E8" w14:textId="12A926D0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15x15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5D1E0" w14:textId="5DABEE4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16614" w14:textId="5CCF6F2B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CFBA" w14:textId="45AB1701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8F58190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934" w14:textId="060C70F1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2CB" w14:textId="7E42C21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20x20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1906E" w14:textId="7BD8608E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EC56C" w14:textId="1A074F83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84A5" w14:textId="4F9E561B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5AE7623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AAFA" w14:textId="00F8A03D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99E" w14:textId="621CE5F6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6x10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F12A" w14:textId="280C0C38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AC8E0" w14:textId="10D4A083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1384" w14:textId="085A345C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0992CBF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A84F" w14:textId="6BBA9B2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DE1" w14:textId="09AF071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10x15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6AF19" w14:textId="60B8CC9E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82819" w14:textId="595AC2F0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3500" w14:textId="07976C24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3727287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B130" w14:textId="605267F8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FSD=50cm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928" w14:textId="1AAF55A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Pravoúhlý, uzavřený – 10x20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77A25" w14:textId="7BB9778C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B316" w14:textId="2EB4DF23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E11" w14:textId="571C55D4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646DF70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62BF" w14:textId="5F2103CC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FSD=20cm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D8B" w14:textId="53756A71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 xml:space="preserve">Kruhový, otevřený – </w:t>
            </w:r>
            <w:r w:rsidRPr="00E15BAC">
              <w:rPr>
                <w:i/>
                <w:sz w:val="16"/>
                <w:szCs w:val="16"/>
                <w:lang w:val="en-US"/>
              </w:rPr>
              <w:t>ø 3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9E54B" w14:textId="5A962768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5904" w14:textId="32DED50D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E870" w14:textId="541ECE82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74E0C85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9269" w14:textId="3A433598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FSD=20cm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EC" w14:textId="5A81402C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 xml:space="preserve">Kruhový, otevřený – </w:t>
            </w:r>
            <w:r w:rsidRPr="00E15BAC">
              <w:rPr>
                <w:i/>
                <w:sz w:val="16"/>
                <w:szCs w:val="16"/>
                <w:lang w:val="en-US"/>
              </w:rPr>
              <w:t>ø 4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C9A70" w14:textId="4099F7D2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A1CB" w14:textId="0B300CD5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99D3" w14:textId="3CE525F9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7B144272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B12" w14:textId="5BD3F626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FSD=20cm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9FF" w14:textId="2B87D0FF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 xml:space="preserve">Kruhový, otevřený – </w:t>
            </w:r>
            <w:r w:rsidRPr="00E15BAC">
              <w:rPr>
                <w:i/>
                <w:sz w:val="16"/>
                <w:szCs w:val="16"/>
                <w:lang w:val="en-US"/>
              </w:rPr>
              <w:t>ø 5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E4431" w14:textId="3D5E8819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ADD8C" w14:textId="7525E814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2438" w14:textId="3DEE85A4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789D23E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597F" w14:textId="5526073A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aplikátor FSD=20cm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D85" w14:textId="1469878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 xml:space="preserve">Kruhový, otevřený – </w:t>
            </w:r>
            <w:r w:rsidRPr="00E15BAC">
              <w:rPr>
                <w:i/>
                <w:sz w:val="16"/>
                <w:szCs w:val="16"/>
                <w:lang w:val="en-US"/>
              </w:rPr>
              <w:t>ø 10 cm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1ACE" w14:textId="57E3F55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1171F" w14:textId="6F191DBA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C246" w14:textId="0289C9A9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58447CB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7DB2" w14:textId="35597C0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0D9" w14:textId="2F81050F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0,8 mm Al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5EC0E" w14:textId="7AAB36E1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DBF7D" w14:textId="188B71E9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CF2F" w14:textId="7A1B4D40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DC1BE4B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94AF" w14:textId="75BA47B3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6EF" w14:textId="03ABE113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1,0 mm Al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E845" w14:textId="6ACA19DE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89215" w14:textId="2B6E5A80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0281" w14:textId="046F8418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7ABCA353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7674" w14:textId="51C56102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43E" w14:textId="73E65A7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2,0 mm Al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72AEA" w14:textId="08266C32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626A1" w14:textId="58C0FAC9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BD3C" w14:textId="452B394D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2A97D97C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159E" w14:textId="2FBE90D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C8F" w14:textId="6729426C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2,0 mm Al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5386D" w14:textId="4B290169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61F9" w14:textId="41CE7D99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6606" w14:textId="26421BBC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AC5AF7F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B776" w14:textId="5CDF426D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88D" w14:textId="34E61642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0,5 mm Al + 0,10 mm </w:t>
            </w:r>
            <w:proofErr w:type="spellStart"/>
            <w:r w:rsidRPr="00E15BAC">
              <w:rPr>
                <w:i/>
                <w:sz w:val="16"/>
                <w:szCs w:val="16"/>
              </w:rPr>
              <w:t>Cu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3D1F5" w14:textId="3AD25D05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5E4D" w14:textId="49C1995D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6F95" w14:textId="512ED031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CAB1105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C422" w14:textId="499EFDDD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95A" w14:textId="79F0A07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1,0 mm Al + 0,10 mm </w:t>
            </w:r>
            <w:proofErr w:type="spellStart"/>
            <w:r w:rsidRPr="00E15BAC">
              <w:rPr>
                <w:i/>
                <w:sz w:val="16"/>
                <w:szCs w:val="16"/>
              </w:rPr>
              <w:t>Cu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A4B5A" w14:textId="55920DD7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9B767" w14:textId="660F7FC4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BFFC" w14:textId="0BF5B9ED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1DE77534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B8DA" w14:textId="40298F2D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9E1" w14:textId="1F48E1CE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1,5 mm Al + 0,15 mm </w:t>
            </w:r>
            <w:proofErr w:type="spellStart"/>
            <w:r w:rsidRPr="00E15BAC">
              <w:rPr>
                <w:i/>
                <w:sz w:val="16"/>
                <w:szCs w:val="16"/>
              </w:rPr>
              <w:t>Cu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631A" w14:textId="6127B9E9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7C978" w14:textId="7CC2CF2D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F16" w14:textId="6CEA6F91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116179E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DFB3" w14:textId="188692AA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6C0" w14:textId="4A0B56F4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1,0 mm Al + 0,45 mm </w:t>
            </w:r>
            <w:proofErr w:type="spellStart"/>
            <w:r w:rsidRPr="00E15BAC">
              <w:rPr>
                <w:i/>
                <w:sz w:val="16"/>
                <w:szCs w:val="16"/>
              </w:rPr>
              <w:t>Cu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696FE" w14:textId="3AA39EAD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B5442" w14:textId="63807700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47B" w14:textId="78C70FE6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FC866BD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80A0" w14:textId="30535996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RTG filtr č.9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A03" w14:textId="3013B48B" w:rsidR="001335B4" w:rsidRPr="00E15BAC" w:rsidRDefault="001335B4" w:rsidP="002451E5">
            <w:pPr>
              <w:rPr>
                <w:i/>
                <w:sz w:val="16"/>
                <w:szCs w:val="16"/>
              </w:rPr>
            </w:pPr>
            <w:proofErr w:type="spellStart"/>
            <w:r w:rsidRPr="00E15BAC">
              <w:rPr>
                <w:i/>
                <w:sz w:val="16"/>
                <w:szCs w:val="16"/>
              </w:rPr>
              <w:t>Filter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1,0 mm Al + 0,25 mm </w:t>
            </w:r>
            <w:proofErr w:type="spellStart"/>
            <w:r w:rsidRPr="00E15BAC">
              <w:rPr>
                <w:i/>
                <w:sz w:val="16"/>
                <w:szCs w:val="16"/>
              </w:rPr>
              <w:t>Cu</w:t>
            </w:r>
            <w:proofErr w:type="spellEnd"/>
            <w:r w:rsidRPr="00E15BAC">
              <w:rPr>
                <w:i/>
                <w:sz w:val="16"/>
                <w:szCs w:val="16"/>
              </w:rPr>
              <w:t xml:space="preserve"> + 0,45 mm </w:t>
            </w:r>
            <w:proofErr w:type="spellStart"/>
            <w:r w:rsidRPr="00E15BAC">
              <w:rPr>
                <w:i/>
                <w:sz w:val="16"/>
                <w:szCs w:val="16"/>
              </w:rPr>
              <w:t>Sn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38545" w14:textId="7361DABA" w:rsidR="001335B4" w:rsidRPr="00E15BAC" w:rsidRDefault="001335B4" w:rsidP="002451E5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C6763" w14:textId="24C3DBC5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E0BD" w14:textId="07B9DF12" w:rsidR="001335B4" w:rsidRPr="00E15BAC" w:rsidRDefault="001335B4" w:rsidP="002451E5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39A2FF8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69F2" w14:textId="1CD3D967" w:rsidR="001335B4" w:rsidRPr="00251F51" w:rsidRDefault="001335B4" w:rsidP="007E0142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Systém pro bezpečné uložení a manipulaci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EA2" w14:textId="0647FC51" w:rsidR="001335B4" w:rsidRPr="00251F51" w:rsidRDefault="001335B4" w:rsidP="007E0142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Úložný systém pro aplikátory a filtry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99EE6" w14:textId="77777777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BB392" w14:textId="77777777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  <w:p w14:paraId="0067104F" w14:textId="77777777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  <w:p w14:paraId="4541B36C" w14:textId="4A462786" w:rsidR="001335B4" w:rsidRPr="00E15BAC" w:rsidRDefault="001335B4" w:rsidP="007E0142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CPCZ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1639" w14:textId="12A7763C" w:rsidR="001335B4" w:rsidRPr="00E15BAC" w:rsidRDefault="001335B4" w:rsidP="007E0142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303F61FF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BA2C" w14:textId="466EB2A6" w:rsidR="001335B4" w:rsidRPr="00E15BAC" w:rsidRDefault="001335B4" w:rsidP="007E0142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Chladič voda-voda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1B2" w14:textId="1FC859F5" w:rsidR="001335B4" w:rsidRPr="00E15BAC" w:rsidRDefault="001335B4" w:rsidP="007E0142">
            <w:pPr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Chladící systém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21F1" w14:textId="48A91648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81369" w14:textId="6F31D7B6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7C89" w14:textId="174D3DCC" w:rsidR="001335B4" w:rsidRPr="00E15BAC" w:rsidRDefault="001335B4" w:rsidP="007E0142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551DD7D8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F1BB88" w14:textId="481860F2" w:rsidR="001335B4" w:rsidRPr="00251F51" w:rsidRDefault="001335B4" w:rsidP="00592651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Centrální ovládací jednotka - el. rozvaděč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118C5" w14:textId="5BCA2F8F" w:rsidR="001335B4" w:rsidRPr="00251F51" w:rsidRDefault="001335B4" w:rsidP="007E0142">
            <w:pPr>
              <w:rPr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RTG-EL-001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B42A9F" w14:textId="429F326D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ED3E3E9" w14:textId="0A4BF8CB" w:rsidR="001335B4" w:rsidRPr="00E15BAC" w:rsidRDefault="001335B4" w:rsidP="007E0142">
            <w:pPr>
              <w:rPr>
                <w:i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DB4CCC" w14:textId="792134EF" w:rsidR="001335B4" w:rsidRPr="00E15BAC" w:rsidRDefault="001335B4" w:rsidP="007E0142">
            <w:pPr>
              <w:jc w:val="center"/>
              <w:rPr>
                <w:i/>
                <w:sz w:val="16"/>
                <w:szCs w:val="16"/>
              </w:rPr>
            </w:pPr>
            <w:r w:rsidRPr="00E15BAC">
              <w:rPr>
                <w:i/>
                <w:sz w:val="16"/>
                <w:szCs w:val="16"/>
              </w:rPr>
              <w:t>1</w:t>
            </w:r>
          </w:p>
        </w:tc>
      </w:tr>
      <w:tr w:rsidR="001335B4" w:rsidRPr="00FF219E" w14:paraId="4F6864CF" w14:textId="77777777" w:rsidTr="00E15BAC">
        <w:trPr>
          <w:trHeight w:val="187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5715" w14:textId="60CE8945" w:rsidR="007E0142" w:rsidRDefault="007E0142" w:rsidP="007E0142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C49" w14:textId="682B50FB" w:rsidR="007E0142" w:rsidRDefault="007E0142" w:rsidP="007E0142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B73F" w14:textId="37BB1A3C" w:rsidR="007E0142" w:rsidRDefault="007E0142" w:rsidP="007E0142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8D9B" w14:textId="7241FA46" w:rsidR="007E0142" w:rsidRDefault="007E0142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431B" w14:textId="73ED50CF" w:rsidR="007E0142" w:rsidRDefault="007E0142" w:rsidP="007E0142">
            <w:pPr>
              <w:jc w:val="center"/>
              <w:rPr>
                <w:sz w:val="16"/>
                <w:szCs w:val="16"/>
              </w:rPr>
            </w:pPr>
          </w:p>
        </w:tc>
      </w:tr>
      <w:tr w:rsidR="001335B4" w:rsidRPr="00FF219E" w14:paraId="68953C79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D41264" w14:textId="2C35E386" w:rsidR="007E0142" w:rsidRPr="00E15BAC" w:rsidRDefault="007E0142" w:rsidP="007E0142">
            <w:pPr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Ozařovací lůžko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054734" w14:textId="0F2863DB" w:rsidR="007E0142" w:rsidRPr="00E15BAC" w:rsidRDefault="007E0142" w:rsidP="007E0142">
            <w:pPr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 xml:space="preserve">Golem 2 </w:t>
            </w:r>
            <w:proofErr w:type="spellStart"/>
            <w:r w:rsidRPr="00E15BAC">
              <w:rPr>
                <w:b/>
                <w:sz w:val="18"/>
                <w:szCs w:val="18"/>
              </w:rPr>
              <w:t>Exclusive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D24B7D" w14:textId="7BB2D164" w:rsidR="007E0142" w:rsidRPr="00E15BAC" w:rsidRDefault="007E0142" w:rsidP="007E0142">
            <w:pPr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G 02 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A6C6FD" w14:textId="718D985E" w:rsidR="007E0142" w:rsidRPr="00E15BAC" w:rsidRDefault="007E0142" w:rsidP="007E0142">
            <w:pPr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RQL s.r.o.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2CA3D0" w14:textId="0E6694D0" w:rsidR="007E0142" w:rsidRPr="00E15BAC" w:rsidRDefault="007E0142" w:rsidP="007E0142">
            <w:pPr>
              <w:jc w:val="center"/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1</w:t>
            </w:r>
          </w:p>
        </w:tc>
      </w:tr>
      <w:tr w:rsidR="007E0142" w:rsidRPr="00027523" w14:paraId="0D194232" w14:textId="77777777" w:rsidTr="00E15BAC">
        <w:trPr>
          <w:trHeight w:val="187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A4E4" w14:textId="42282F68" w:rsidR="007E0142" w:rsidRPr="00E15BAC" w:rsidRDefault="007E0142" w:rsidP="007E014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1CF" w14:textId="7FA398C1" w:rsidR="007E0142" w:rsidRPr="00E15BAC" w:rsidRDefault="007E0142" w:rsidP="007E014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5A03" w14:textId="77777777" w:rsidR="007E0142" w:rsidRPr="00E15BAC" w:rsidRDefault="007E0142" w:rsidP="007E014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20CC" w14:textId="6B6793F2" w:rsidR="007E0142" w:rsidRPr="00E15BAC" w:rsidRDefault="007E0142" w:rsidP="007E014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07C2" w14:textId="31D249D7" w:rsidR="007E0142" w:rsidRPr="00E15BAC" w:rsidRDefault="007E0142" w:rsidP="007E0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335B4" w:rsidRPr="00027523" w14:paraId="54DFB956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542705" w14:textId="7521F66E" w:rsidR="007E0142" w:rsidRPr="00251F51" w:rsidRDefault="007E0142" w:rsidP="001335B4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>AV komunikační zařízení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45AB" w14:textId="5210B6F6" w:rsidR="007E0142" w:rsidRPr="00251F51" w:rsidRDefault="007E0142" w:rsidP="007E0142">
            <w:pPr>
              <w:rPr>
                <w:b/>
                <w:sz w:val="18"/>
                <w:szCs w:val="18"/>
              </w:rPr>
            </w:pPr>
            <w:proofErr w:type="spellStart"/>
            <w:r w:rsidRPr="00251F51">
              <w:rPr>
                <w:b/>
                <w:sz w:val="18"/>
                <w:szCs w:val="18"/>
              </w:rPr>
              <w:t>Hikvision</w:t>
            </w:r>
            <w:proofErr w:type="spellEnd"/>
            <w:r w:rsidRPr="00251F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1F51">
              <w:rPr>
                <w:b/>
                <w:sz w:val="18"/>
                <w:szCs w:val="18"/>
              </w:rPr>
              <w:t>Intercom</w:t>
            </w:r>
            <w:proofErr w:type="spellEnd"/>
          </w:p>
          <w:p w14:paraId="489230ED" w14:textId="1B112AD2" w:rsidR="001335B4" w:rsidRPr="00251F51" w:rsidRDefault="001335B4" w:rsidP="001335B4">
            <w:pPr>
              <w:rPr>
                <w:b/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 xml:space="preserve">- kamera, monitor, </w:t>
            </w:r>
            <w:proofErr w:type="spellStart"/>
            <w:r w:rsidRPr="00251F51">
              <w:rPr>
                <w:i/>
                <w:sz w:val="16"/>
                <w:szCs w:val="16"/>
              </w:rPr>
              <w:t>ovl</w:t>
            </w:r>
            <w:proofErr w:type="spellEnd"/>
            <w:r w:rsidRPr="00251F51">
              <w:rPr>
                <w:i/>
                <w:sz w:val="16"/>
                <w:szCs w:val="16"/>
              </w:rPr>
              <w:t>. konzola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69D178" w14:textId="06A32C8B" w:rsidR="007E0142" w:rsidRPr="00251F51" w:rsidRDefault="007E0142" w:rsidP="007E0142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>HIK-I-4.4.1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A95BCBD" w14:textId="0F599D3F" w:rsidR="007E0142" w:rsidRPr="00E15BAC" w:rsidRDefault="007E0142" w:rsidP="007E0142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E15BAC">
              <w:rPr>
                <w:b/>
                <w:sz w:val="18"/>
                <w:szCs w:val="18"/>
              </w:rPr>
              <w:t>Hikvision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11A1EDB" w14:textId="77777777" w:rsidR="007E0142" w:rsidRPr="00E15BAC" w:rsidRDefault="007E0142" w:rsidP="007E0142">
            <w:pPr>
              <w:jc w:val="center"/>
              <w:rPr>
                <w:b/>
                <w:sz w:val="18"/>
                <w:szCs w:val="18"/>
              </w:rPr>
            </w:pPr>
          </w:p>
          <w:p w14:paraId="4D7677D3" w14:textId="4E47BC92" w:rsidR="007E0142" w:rsidRPr="00E15BAC" w:rsidRDefault="007E0142" w:rsidP="007E014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1</w:t>
            </w:r>
          </w:p>
        </w:tc>
      </w:tr>
      <w:tr w:rsidR="001335B4" w:rsidRPr="00FF219E" w14:paraId="14115E89" w14:textId="77777777" w:rsidTr="00E15BAC">
        <w:trPr>
          <w:trHeight w:val="187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A3" w14:textId="42BC2CEB" w:rsidR="007E0142" w:rsidRPr="00251F51" w:rsidRDefault="007E0142" w:rsidP="007E0142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CAF" w14:textId="7BDF5B3D" w:rsidR="007E0142" w:rsidRPr="00251F51" w:rsidRDefault="007E0142" w:rsidP="007E0142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31D1" w14:textId="2C77680C" w:rsidR="007E0142" w:rsidRPr="00251F51" w:rsidRDefault="007E0142" w:rsidP="007E0142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727" w14:textId="0BBB534D" w:rsidR="007E0142" w:rsidRPr="00E15BAC" w:rsidRDefault="007E0142" w:rsidP="007E014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C744" w14:textId="35620089" w:rsidR="007E0142" w:rsidRPr="00E15BAC" w:rsidRDefault="007E0142" w:rsidP="007E0142">
            <w:pPr>
              <w:jc w:val="center"/>
              <w:rPr>
                <w:sz w:val="18"/>
                <w:szCs w:val="18"/>
              </w:rPr>
            </w:pPr>
          </w:p>
        </w:tc>
      </w:tr>
      <w:tr w:rsidR="001335B4" w:rsidRPr="00FF219E" w14:paraId="2142B58F" w14:textId="77777777" w:rsidTr="00E15BAC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F8E4" w14:textId="038B1764" w:rsidR="007E0142" w:rsidRPr="00251F51" w:rsidRDefault="007E0142" w:rsidP="001335B4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 xml:space="preserve">Pomůcky pro provádění </w:t>
            </w:r>
            <w:r w:rsidR="001335B4" w:rsidRPr="00251F51">
              <w:rPr>
                <w:b/>
                <w:sz w:val="18"/>
                <w:szCs w:val="18"/>
              </w:rPr>
              <w:t>ZPS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2D98" w14:textId="77777777" w:rsidR="001335B4" w:rsidRPr="00251F51" w:rsidRDefault="007E0142" w:rsidP="001335B4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 xml:space="preserve">HVL </w:t>
            </w:r>
            <w:proofErr w:type="spellStart"/>
            <w:r w:rsidRPr="00251F51">
              <w:rPr>
                <w:b/>
                <w:sz w:val="18"/>
                <w:szCs w:val="18"/>
              </w:rPr>
              <w:t>filter</w:t>
            </w:r>
            <w:proofErr w:type="spellEnd"/>
            <w:r w:rsidRPr="00251F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1F51">
              <w:rPr>
                <w:b/>
                <w:sz w:val="18"/>
                <w:szCs w:val="18"/>
              </w:rPr>
              <w:t>stand</w:t>
            </w:r>
            <w:proofErr w:type="spellEnd"/>
          </w:p>
          <w:p w14:paraId="68E84965" w14:textId="7C2A6054" w:rsidR="007E0142" w:rsidRPr="00251F51" w:rsidRDefault="001335B4" w:rsidP="001335B4">
            <w:pPr>
              <w:rPr>
                <w:b/>
                <w:i/>
                <w:sz w:val="16"/>
                <w:szCs w:val="16"/>
              </w:rPr>
            </w:pPr>
            <w:r w:rsidRPr="00251F51">
              <w:rPr>
                <w:i/>
                <w:sz w:val="16"/>
                <w:szCs w:val="16"/>
              </w:rPr>
              <w:t>– měřicí stojan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8016" w14:textId="77777777" w:rsidR="007E0142" w:rsidRPr="00251F51" w:rsidRDefault="007E0142" w:rsidP="007E0142">
            <w:pPr>
              <w:rPr>
                <w:b/>
                <w:sz w:val="18"/>
                <w:szCs w:val="18"/>
              </w:rPr>
            </w:pPr>
            <w:r w:rsidRPr="00251F51">
              <w:rPr>
                <w:b/>
                <w:sz w:val="18"/>
                <w:szCs w:val="18"/>
              </w:rPr>
              <w:t>T20008</w:t>
            </w:r>
          </w:p>
          <w:p w14:paraId="56AF17B9" w14:textId="609ED288" w:rsidR="007E0142" w:rsidRPr="00251F51" w:rsidRDefault="007E0142" w:rsidP="007E0142">
            <w:pPr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655" w14:textId="37B3B85C" w:rsidR="007E0142" w:rsidRPr="00E15BAC" w:rsidRDefault="007E0142" w:rsidP="007E0142">
            <w:pPr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CPCZ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0159" w14:textId="6799E602" w:rsidR="007E0142" w:rsidRPr="00E15BAC" w:rsidRDefault="007E0142" w:rsidP="007E0142">
            <w:pPr>
              <w:jc w:val="center"/>
              <w:rPr>
                <w:b/>
                <w:sz w:val="18"/>
                <w:szCs w:val="18"/>
              </w:rPr>
            </w:pPr>
            <w:r w:rsidRPr="00E15BAC">
              <w:rPr>
                <w:b/>
                <w:sz w:val="18"/>
                <w:szCs w:val="18"/>
              </w:rPr>
              <w:t>1</w:t>
            </w:r>
          </w:p>
        </w:tc>
      </w:tr>
      <w:tr w:rsidR="00E15BAC" w:rsidRPr="00FF219E" w14:paraId="5DF675E1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D05B" w14:textId="402F13CC" w:rsidR="00E15BAC" w:rsidRPr="00251F51" w:rsidRDefault="00E15BAC" w:rsidP="007E0142">
            <w:pPr>
              <w:rPr>
                <w:sz w:val="16"/>
                <w:szCs w:val="16"/>
              </w:rPr>
            </w:pPr>
            <w:r w:rsidRPr="00251F51"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05072" w14:textId="6CE3CDCD" w:rsidR="00E15BAC" w:rsidRPr="00251F51" w:rsidRDefault="00E15BAC" w:rsidP="007E0142">
            <w:pPr>
              <w:rPr>
                <w:sz w:val="16"/>
                <w:szCs w:val="16"/>
              </w:rPr>
            </w:pPr>
            <w:r w:rsidRPr="00251F51">
              <w:rPr>
                <w:sz w:val="16"/>
                <w:szCs w:val="16"/>
              </w:rPr>
              <w:t>0,1 mm Al 99,5% 100x100mm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333D8" w14:textId="19919974" w:rsidR="00E15BAC" w:rsidRPr="00251F51" w:rsidRDefault="00E15BAC" w:rsidP="007E0142">
            <w:pPr>
              <w:rPr>
                <w:sz w:val="16"/>
                <w:szCs w:val="16"/>
              </w:rPr>
            </w:pPr>
          </w:p>
          <w:p w14:paraId="35A1E1EA" w14:textId="77777777" w:rsidR="00E15BAC" w:rsidRPr="00251F51" w:rsidRDefault="00E15BAC" w:rsidP="007E0142">
            <w:pPr>
              <w:rPr>
                <w:sz w:val="16"/>
                <w:szCs w:val="16"/>
              </w:rPr>
            </w:pPr>
          </w:p>
          <w:p w14:paraId="6283F2E5" w14:textId="2ACB9EFB" w:rsidR="00E15BAC" w:rsidRPr="00251F51" w:rsidRDefault="00251F51" w:rsidP="007E0142">
            <w:pPr>
              <w:rPr>
                <w:sz w:val="16"/>
                <w:szCs w:val="16"/>
              </w:rPr>
            </w:pPr>
            <w:r w:rsidRPr="00251F51">
              <w:rPr>
                <w:sz w:val="16"/>
                <w:szCs w:val="16"/>
              </w:rPr>
              <w:t>T43026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3E0F0" w14:textId="77777777" w:rsidR="00E15BAC" w:rsidRDefault="00E15BAC" w:rsidP="007E0142">
            <w:pPr>
              <w:rPr>
                <w:sz w:val="16"/>
                <w:szCs w:val="16"/>
              </w:rPr>
            </w:pPr>
          </w:p>
          <w:p w14:paraId="0E565ADF" w14:textId="77777777" w:rsidR="00E15BAC" w:rsidRDefault="00E15BAC" w:rsidP="007E0142">
            <w:pPr>
              <w:rPr>
                <w:sz w:val="16"/>
                <w:szCs w:val="16"/>
              </w:rPr>
            </w:pPr>
          </w:p>
          <w:p w14:paraId="3817EC3D" w14:textId="77777777" w:rsidR="00E15BAC" w:rsidRDefault="00E15BAC" w:rsidP="007E0142">
            <w:pPr>
              <w:rPr>
                <w:sz w:val="16"/>
                <w:szCs w:val="16"/>
              </w:rPr>
            </w:pPr>
          </w:p>
          <w:p w14:paraId="17971018" w14:textId="77777777" w:rsidR="00E15BAC" w:rsidRDefault="00E15BAC" w:rsidP="007E0142">
            <w:pPr>
              <w:rPr>
                <w:sz w:val="16"/>
                <w:szCs w:val="16"/>
              </w:rPr>
            </w:pPr>
          </w:p>
          <w:p w14:paraId="5AE68152" w14:textId="77777777" w:rsidR="00E15BAC" w:rsidRDefault="00E15BAC" w:rsidP="007E0142">
            <w:pPr>
              <w:rPr>
                <w:sz w:val="16"/>
                <w:szCs w:val="16"/>
              </w:rPr>
            </w:pPr>
          </w:p>
          <w:p w14:paraId="7B0A3219" w14:textId="23FDCE77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PTW Freiburg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F366" w14:textId="74DCF5E4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57F8A3C5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10CD" w14:textId="7C5D340F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0C82717" w14:textId="7A5B29E1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 mm Al 99,5% 100x100mm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E31C3" w14:textId="28B4D030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7BC8A" w14:textId="08CB84FE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C48A" w14:textId="5BD22057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15BAC" w:rsidRPr="00FF219E" w14:paraId="1FAFF674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5203" w14:textId="36ABE2FB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9F99FA5" w14:textId="1662990C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 mm Al 99,5% 100x100mm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F67C" w14:textId="0AFC8457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1D223" w14:textId="669526EB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916" w14:textId="272F94D4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71E81538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F494" w14:textId="64F9DA58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6E5434C" w14:textId="5F962205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 mm Al 99,5% 100x100mm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68AF0" w14:textId="4D71B859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CE35E" w14:textId="50B82EA2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603F" w14:textId="676D6015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309520D5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E72F" w14:textId="378996B0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10C" w14:textId="1DA410A8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 mm Al 99,5% 100x100mm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CC18" w14:textId="5FC48994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57C47" w14:textId="00FC583A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52D" w14:textId="6A0BE203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15BAC" w:rsidRPr="00FF219E" w14:paraId="3D4A22C0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5A36" w14:textId="551A2991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ED2" w14:textId="3A1FB3A8" w:rsidR="00E15BAC" w:rsidRPr="006F789E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 mm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 xml:space="preserve"> 99,9% 100x100mm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C03B" w14:textId="304FCEF3" w:rsidR="00E15BAC" w:rsidRDefault="00E15BAC" w:rsidP="007E0142">
            <w:pPr>
              <w:rPr>
                <w:sz w:val="16"/>
                <w:szCs w:val="16"/>
              </w:rPr>
            </w:pPr>
            <w:r w:rsidRPr="006F789E">
              <w:rPr>
                <w:sz w:val="16"/>
                <w:szCs w:val="16"/>
              </w:rPr>
              <w:t>T43009.1.914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5F84" w14:textId="747564B4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1AC0" w14:textId="530CDC64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44E30358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49F2" w14:textId="78827EF2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E9F" w14:textId="6D3BF777" w:rsidR="00E15BAC" w:rsidRPr="006F789E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0,2 mm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 xml:space="preserve"> 99,9% 100x100mm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D2C9" w14:textId="55977C0C" w:rsidR="00E15BAC" w:rsidRDefault="00E15BAC" w:rsidP="007E0142">
            <w:pPr>
              <w:rPr>
                <w:sz w:val="16"/>
                <w:szCs w:val="16"/>
              </w:rPr>
            </w:pPr>
            <w:r w:rsidRPr="006F789E">
              <w:rPr>
                <w:sz w:val="16"/>
                <w:szCs w:val="16"/>
              </w:rPr>
              <w:t>T43009.1.915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724E3" w14:textId="0B350BE2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F752" w14:textId="00E9978B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15BAC" w:rsidRPr="00FF219E" w14:paraId="7EE98A89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CB0E" w14:textId="750C9581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BF4" w14:textId="30917C5A" w:rsidR="00E15BAC" w:rsidRPr="006F789E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 mm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 xml:space="preserve"> 99,9% 100x100mm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9F31" w14:textId="2B6481B5" w:rsidR="00E15BAC" w:rsidRDefault="00E15BAC" w:rsidP="007E0142">
            <w:pPr>
              <w:rPr>
                <w:sz w:val="16"/>
                <w:szCs w:val="16"/>
              </w:rPr>
            </w:pPr>
            <w:r w:rsidRPr="006F789E">
              <w:rPr>
                <w:sz w:val="16"/>
                <w:szCs w:val="16"/>
              </w:rPr>
              <w:t>T43009.1.916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031B" w14:textId="1E3A2481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04B" w14:textId="1C03D64F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50286A0C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29D" w14:textId="09C9AB71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366" w14:textId="585C66BB" w:rsidR="00E15BAC" w:rsidRPr="006F789E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1,0 mm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 xml:space="preserve"> 99,9% 100x100mm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AA6D" w14:textId="68F0F77B" w:rsidR="00E15BAC" w:rsidRDefault="00E15BAC" w:rsidP="007E0142">
            <w:pPr>
              <w:rPr>
                <w:sz w:val="16"/>
                <w:szCs w:val="16"/>
              </w:rPr>
            </w:pPr>
            <w:r w:rsidRPr="006F789E">
              <w:rPr>
                <w:sz w:val="16"/>
                <w:szCs w:val="16"/>
              </w:rPr>
              <w:t>T43009.1.917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81D0B" w14:textId="6EEFCAC8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1C2B" w14:textId="009B9FD5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15BAC" w:rsidRPr="00FF219E" w14:paraId="097C2851" w14:textId="77777777" w:rsidTr="0013791A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1C3D" w14:textId="32144918" w:rsidR="00E15BAC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Filtr pro HVL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AD1" w14:textId="6BDDEC32" w:rsidR="00E15BAC" w:rsidRPr="006F789E" w:rsidRDefault="00E15BAC" w:rsidP="007E0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2,0 mm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 xml:space="preserve"> 99,9% 100x100mm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2223" w14:textId="2F113979" w:rsidR="00E15BAC" w:rsidRDefault="00E15BAC" w:rsidP="007E0142">
            <w:pPr>
              <w:rPr>
                <w:sz w:val="16"/>
                <w:szCs w:val="16"/>
              </w:rPr>
            </w:pPr>
            <w:r w:rsidRPr="006F789E">
              <w:rPr>
                <w:sz w:val="16"/>
                <w:szCs w:val="16"/>
              </w:rPr>
              <w:t>T43009.1.918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4141" w14:textId="108D1F19" w:rsidR="00E15BAC" w:rsidRDefault="00E15BAC" w:rsidP="007E0142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85B" w14:textId="235B8050" w:rsidR="00E15BAC" w:rsidRDefault="00E15BAC" w:rsidP="007E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436D3C14" w14:textId="77777777" w:rsidR="00F33979" w:rsidRDefault="00F3397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E2D5664" w14:textId="77777777" w:rsidR="00103868" w:rsidRDefault="00103868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20FDF925" w:rsidR="00F33979" w:rsidRPr="004C241E" w:rsidRDefault="00F33979" w:rsidP="00CB01D3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lastRenderedPageBreak/>
        <w:t>Smluvní ceny</w:t>
      </w:r>
    </w:p>
    <w:p w14:paraId="3EF8B54D" w14:textId="77777777" w:rsidR="00F33979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18"/>
        <w:gridCol w:w="585"/>
        <w:gridCol w:w="1119"/>
        <w:gridCol w:w="1164"/>
        <w:gridCol w:w="683"/>
        <w:gridCol w:w="1075"/>
        <w:gridCol w:w="1339"/>
      </w:tblGrid>
      <w:tr w:rsidR="00F33979" w:rsidRPr="00374502" w14:paraId="2D2CADDF" w14:textId="77777777" w:rsidTr="008B6B75">
        <w:trPr>
          <w:trHeight w:val="345"/>
          <w:jc w:val="center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5013A7" w14:textId="77777777" w:rsidR="00F33979" w:rsidRPr="0037450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7450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3745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EDA" w14:textId="77777777" w:rsidR="00F33979" w:rsidRPr="0037450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B3A" w14:textId="77777777" w:rsidR="00F33979" w:rsidRPr="0037450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53B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2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D44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F4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5C6E" w14:textId="77777777" w:rsidR="00F33979" w:rsidRPr="0037450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 xml:space="preserve">Cena celkem </w:t>
            </w:r>
            <w:r w:rsidRPr="0037450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0C5F3D" w:rsidRPr="00374502" w14:paraId="60373750" w14:textId="77777777" w:rsidTr="008B6B75">
        <w:trPr>
          <w:trHeight w:val="27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098C" w14:textId="77777777" w:rsidR="000C5F3D" w:rsidRPr="00374502" w:rsidRDefault="000C5F3D" w:rsidP="000C5F3D">
            <w:pPr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08EA" w14:textId="5E08E9DF" w:rsidR="000C5F3D" w:rsidRPr="00374502" w:rsidRDefault="000C5F3D" w:rsidP="000C5F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Xstrahl</w:t>
            </w:r>
            <w:proofErr w:type="spellEnd"/>
            <w:r>
              <w:rPr>
                <w:sz w:val="16"/>
                <w:szCs w:val="16"/>
              </w:rPr>
              <w:t xml:space="preserve"> 200 </w:t>
            </w:r>
            <w:proofErr w:type="spellStart"/>
            <w:r>
              <w:rPr>
                <w:sz w:val="16"/>
                <w:szCs w:val="16"/>
              </w:rPr>
              <w:t>Floor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Mounted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AC" w14:textId="1F98DA1C" w:rsidR="000C5F3D" w:rsidRPr="00374502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E8" w14:textId="275CD27E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9 804 000,00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6AE" w14:textId="22BA033A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9 804 000,00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C2F" w14:textId="1FA39D40" w:rsidR="000C5F3D" w:rsidRPr="00374502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21 %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AE" w14:textId="2485FCE8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2 058 840,00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D820" w14:textId="04D9525D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11 862 840,00</w:t>
            </w:r>
          </w:p>
        </w:tc>
      </w:tr>
      <w:tr w:rsidR="000C5F3D" w:rsidRPr="00374502" w14:paraId="5A8032B4" w14:textId="77777777" w:rsidTr="008B6B75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1E349" w14:textId="77777777" w:rsidR="000C5F3D" w:rsidRPr="00374502" w:rsidRDefault="000C5F3D" w:rsidP="000C5F3D">
            <w:pPr>
              <w:rPr>
                <w:b/>
                <w:bCs/>
                <w:sz w:val="16"/>
                <w:szCs w:val="16"/>
              </w:rPr>
            </w:pPr>
            <w:r w:rsidRPr="003745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3E95" w14:textId="2D2420BE" w:rsidR="000C5F3D" w:rsidRPr="00374502" w:rsidRDefault="000C5F3D" w:rsidP="000C5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Ozařovací lůžko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DCE2" w14:textId="4C680382" w:rsidR="000C5F3D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7C3A" w14:textId="433D6AAD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AAC4" w14:textId="77D6AF6E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F80B" w14:textId="37552D73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21 %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BD8" w14:textId="3974AB0A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15 750,00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23BE2" w14:textId="706C9022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90 750,00</w:t>
            </w:r>
          </w:p>
        </w:tc>
      </w:tr>
      <w:tr w:rsidR="000C5F3D" w:rsidRPr="00374502" w14:paraId="505A1345" w14:textId="77777777" w:rsidTr="008B6B75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08EC" w14:textId="77777777" w:rsidR="000C5F3D" w:rsidRPr="00374502" w:rsidRDefault="000C5F3D" w:rsidP="000C5F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DEE" w14:textId="1BB5EBCF" w:rsidR="000C5F3D" w:rsidRPr="00374502" w:rsidRDefault="000C5F3D" w:rsidP="000C5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 komunikační zařízení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625" w14:textId="462E26C8" w:rsidR="000C5F3D" w:rsidRPr="00374502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C64" w14:textId="6FADA4A2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EBA" w14:textId="7941DAA0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A77" w14:textId="1A118E8E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21 %</w:t>
            </w: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95A" w14:textId="34833B9B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5 250,00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CE89" w14:textId="46312A10" w:rsidR="000C5F3D" w:rsidRPr="00374502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30 250,00</w:t>
            </w:r>
          </w:p>
        </w:tc>
      </w:tr>
      <w:tr w:rsidR="000C5F3D" w:rsidRPr="00374502" w14:paraId="61C21295" w14:textId="77777777" w:rsidTr="008B6B75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8E7054" w14:textId="3A9BA166" w:rsidR="000C5F3D" w:rsidRDefault="000C5F3D" w:rsidP="000C5F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7F558" w14:textId="26780996" w:rsidR="000C5F3D" w:rsidRPr="00374502" w:rsidRDefault="000C5F3D" w:rsidP="000C5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Pomůcky pro provádění ZPS (stojan + sada filtrů)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1EF7" w14:textId="73929627" w:rsidR="000C5F3D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B616" w14:textId="175BFF23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20FE" w14:textId="6E6D2090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7031" w14:textId="783ACC23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21 %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C69D" w14:textId="41EB984F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27 300,00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428E8" w14:textId="3743B1A3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157 300,00</w:t>
            </w:r>
          </w:p>
        </w:tc>
      </w:tr>
      <w:tr w:rsidR="000C5F3D" w:rsidRPr="00374502" w14:paraId="4A779DEA" w14:textId="77777777" w:rsidTr="008B6B75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8E28E" w14:textId="7E891958" w:rsidR="000C5F3D" w:rsidRDefault="000C5F3D" w:rsidP="000C5F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843AC" w14:textId="0448DCE9" w:rsidR="000C5F3D" w:rsidRPr="00374502" w:rsidRDefault="000C5F3D" w:rsidP="000C5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Transport, Instalace, Zaškolení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C81E" w14:textId="59974BA7" w:rsidR="000C5F3D" w:rsidRDefault="000C5F3D" w:rsidP="000C5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0E4D" w14:textId="7F27A907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6CED" w14:textId="6B872F91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887A" w14:textId="7FB22659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21 %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9BFF" w14:textId="1E5FFE27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B39DC" w14:textId="40855541" w:rsidR="000C5F3D" w:rsidRDefault="000C5F3D" w:rsidP="000C5F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181 500,00</w:t>
            </w:r>
          </w:p>
        </w:tc>
      </w:tr>
      <w:tr w:rsidR="00F33979" w:rsidRPr="00374502" w14:paraId="6F3E0D92" w14:textId="77777777" w:rsidTr="008B6B75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8DD8" w14:textId="77777777" w:rsidR="00F33979" w:rsidRPr="00374502" w:rsidRDefault="00F33979" w:rsidP="00865FC0">
            <w:pPr>
              <w:rPr>
                <w:sz w:val="16"/>
                <w:szCs w:val="16"/>
              </w:rPr>
            </w:pPr>
            <w:r w:rsidRPr="00374502">
              <w:rPr>
                <w:sz w:val="16"/>
                <w:szCs w:val="16"/>
              </w:rP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207" w14:textId="77777777" w:rsidR="00F33979" w:rsidRPr="00251F51" w:rsidRDefault="00F33979" w:rsidP="00865FC0">
            <w:pPr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Za smlouvu celkem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FC1" w14:textId="77777777" w:rsidR="00F33979" w:rsidRPr="00251F51" w:rsidRDefault="00F33979" w:rsidP="00865F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34" w14:textId="77777777" w:rsidR="00F33979" w:rsidRPr="00251F51" w:rsidRDefault="00F33979" w:rsidP="00865FC0">
            <w:pPr>
              <w:jc w:val="right"/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C8" w14:textId="7BAB6104" w:rsidR="00F33979" w:rsidRPr="00251F51" w:rsidRDefault="000C5F3D" w:rsidP="00865FC0">
            <w:pPr>
              <w:jc w:val="right"/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1</w:t>
            </w:r>
            <w:r w:rsidR="00BE2A95" w:rsidRPr="00251F51">
              <w:rPr>
                <w:b/>
                <w:sz w:val="16"/>
                <w:szCs w:val="16"/>
              </w:rPr>
              <w:t>0</w:t>
            </w:r>
            <w:r w:rsidRPr="00251F51">
              <w:rPr>
                <w:b/>
                <w:sz w:val="16"/>
                <w:szCs w:val="16"/>
              </w:rPr>
              <w:t> </w:t>
            </w:r>
            <w:r w:rsidR="00BE2A95" w:rsidRPr="00251F51">
              <w:rPr>
                <w:b/>
                <w:sz w:val="16"/>
                <w:szCs w:val="16"/>
              </w:rPr>
              <w:t>184</w:t>
            </w:r>
            <w:r w:rsidRPr="00251F51">
              <w:rPr>
                <w:b/>
                <w:sz w:val="16"/>
                <w:szCs w:val="16"/>
              </w:rPr>
              <w:t> 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EB" w14:textId="77777777" w:rsidR="00F33979" w:rsidRPr="00251F51" w:rsidRDefault="00F33979" w:rsidP="00865FC0">
            <w:pPr>
              <w:jc w:val="right"/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E3B" w14:textId="5B01CF62" w:rsidR="00F33979" w:rsidRPr="00251F51" w:rsidRDefault="000C5F3D" w:rsidP="00865FC0">
            <w:pPr>
              <w:jc w:val="right"/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2 </w:t>
            </w:r>
            <w:r w:rsidR="00BE2A95" w:rsidRPr="00251F51">
              <w:rPr>
                <w:b/>
                <w:sz w:val="16"/>
                <w:szCs w:val="16"/>
              </w:rPr>
              <w:t>138 640</w:t>
            </w:r>
            <w:r w:rsidRPr="00251F5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2973" w14:textId="676A681E" w:rsidR="00F33979" w:rsidRPr="00251F51" w:rsidRDefault="00BE2A95" w:rsidP="00865FC0">
            <w:pPr>
              <w:jc w:val="right"/>
              <w:rPr>
                <w:b/>
                <w:sz w:val="16"/>
                <w:szCs w:val="16"/>
              </w:rPr>
            </w:pPr>
            <w:r w:rsidRPr="00251F51">
              <w:rPr>
                <w:b/>
                <w:sz w:val="16"/>
                <w:szCs w:val="16"/>
              </w:rPr>
              <w:t>12 322 640</w:t>
            </w:r>
            <w:r w:rsidR="000C5F3D" w:rsidRPr="00251F51">
              <w:rPr>
                <w:b/>
                <w:sz w:val="16"/>
                <w:szCs w:val="16"/>
              </w:rPr>
              <w:t>,00</w:t>
            </w:r>
          </w:p>
        </w:tc>
      </w:tr>
    </w:tbl>
    <w:p w14:paraId="3A9B905A" w14:textId="77777777" w:rsidR="00F33979" w:rsidRDefault="00F33979" w:rsidP="00F33979"/>
    <w:p w14:paraId="7CFD9F56" w14:textId="77777777" w:rsidR="00F33979" w:rsidRDefault="00F33979" w:rsidP="00F33979"/>
    <w:p w14:paraId="28D6B3DC" w14:textId="77777777" w:rsidR="00F33979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Seznam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pod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dodavatelů a jimi prováděných činností</w:t>
      </w:r>
    </w:p>
    <w:p w14:paraId="57C647D6" w14:textId="5254ACD1" w:rsidR="00711723" w:rsidRDefault="00711723" w:rsidP="0071172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Poddodavatel č.1</w:t>
      </w:r>
    </w:p>
    <w:p w14:paraId="062583D3" w14:textId="77777777" w:rsidR="00711723" w:rsidRPr="00711723" w:rsidRDefault="00711723" w:rsidP="00711723">
      <w:pPr>
        <w:rPr>
          <w:rFonts w:eastAsia="Calibri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95A46" w14:paraId="5BEC3857" w14:textId="77777777" w:rsidTr="00034AEA">
        <w:tc>
          <w:tcPr>
            <w:tcW w:w="4530" w:type="dxa"/>
            <w:vAlign w:val="center"/>
          </w:tcPr>
          <w:p w14:paraId="7EC3D96E" w14:textId="0DF993B8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Identifikace poddodavatele</w:t>
            </w:r>
          </w:p>
        </w:tc>
        <w:tc>
          <w:tcPr>
            <w:tcW w:w="4530" w:type="dxa"/>
            <w:vAlign w:val="center"/>
          </w:tcPr>
          <w:p w14:paraId="3A795630" w14:textId="3AA4A2E8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Ing. Eva Plačková</w:t>
            </w:r>
          </w:p>
        </w:tc>
      </w:tr>
      <w:tr w:rsidR="00E95A46" w14:paraId="0B30542A" w14:textId="77777777" w:rsidTr="00034AEA">
        <w:tc>
          <w:tcPr>
            <w:tcW w:w="4530" w:type="dxa"/>
            <w:vAlign w:val="center"/>
          </w:tcPr>
          <w:p w14:paraId="103A57B2" w14:textId="590A6670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Sídlo</w:t>
            </w:r>
          </w:p>
        </w:tc>
        <w:tc>
          <w:tcPr>
            <w:tcW w:w="4530" w:type="dxa"/>
            <w:vAlign w:val="center"/>
          </w:tcPr>
          <w:p w14:paraId="29430555" w14:textId="7F08AD73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Ječmínkova 550/9, 46014 Liberec</w:t>
            </w:r>
          </w:p>
        </w:tc>
      </w:tr>
      <w:tr w:rsidR="00E95A46" w14:paraId="1F013D46" w14:textId="77777777" w:rsidTr="00034AEA">
        <w:tc>
          <w:tcPr>
            <w:tcW w:w="4530" w:type="dxa"/>
            <w:vAlign w:val="center"/>
          </w:tcPr>
          <w:p w14:paraId="58199145" w14:textId="0AF32205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IČO</w:t>
            </w:r>
          </w:p>
        </w:tc>
        <w:tc>
          <w:tcPr>
            <w:tcW w:w="4530" w:type="dxa"/>
            <w:vAlign w:val="center"/>
          </w:tcPr>
          <w:p w14:paraId="67E6DEE1" w14:textId="2C6CDC6E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17349541</w:t>
            </w:r>
          </w:p>
        </w:tc>
      </w:tr>
      <w:tr w:rsidR="00E95A46" w14:paraId="1E42C0E7" w14:textId="77777777" w:rsidTr="00034AEA">
        <w:tc>
          <w:tcPr>
            <w:tcW w:w="4530" w:type="dxa"/>
            <w:vAlign w:val="center"/>
          </w:tcPr>
          <w:p w14:paraId="0D98709D" w14:textId="0DF8421C" w:rsidR="00E95A46" w:rsidRPr="00E95A46" w:rsidRDefault="00E95A46" w:rsidP="00CB01D3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Rozsah poddo</w:t>
            </w:r>
            <w:r w:rsidR="00CB01D3">
              <w:rPr>
                <w:sz w:val="16"/>
                <w:szCs w:val="16"/>
              </w:rPr>
              <w:t>dáv</w:t>
            </w:r>
            <w:r w:rsidRPr="00E95A46">
              <w:rPr>
                <w:sz w:val="16"/>
                <w:szCs w:val="16"/>
              </w:rPr>
              <w:t>ky</w:t>
            </w:r>
          </w:p>
        </w:tc>
        <w:tc>
          <w:tcPr>
            <w:tcW w:w="4530" w:type="dxa"/>
            <w:vAlign w:val="center"/>
          </w:tcPr>
          <w:p w14:paraId="2C24E3C5" w14:textId="578CCBF7" w:rsidR="00E95A46" w:rsidRPr="00711723" w:rsidRDefault="00E95A46" w:rsidP="00711723">
            <w:pPr>
              <w:pStyle w:val="bllzaklad"/>
              <w:keepNext/>
              <w:tabs>
                <w:tab w:val="num" w:pos="1716"/>
              </w:tabs>
              <w:spacing w:before="100" w:beforeAutospacing="1" w:after="100" w:afterAutospacing="1"/>
              <w:rPr>
                <w:rFonts w:ascii="Arial" w:hAnsi="Arial"/>
                <w:noProof w:val="0"/>
                <w:sz w:val="16"/>
                <w:szCs w:val="16"/>
              </w:rPr>
            </w:pPr>
            <w:r w:rsidRPr="00E95A46">
              <w:rPr>
                <w:rFonts w:ascii="Arial" w:hAnsi="Arial"/>
                <w:noProof w:val="0"/>
                <w:sz w:val="16"/>
                <w:szCs w:val="16"/>
              </w:rPr>
              <w:t xml:space="preserve">Zajištění </w:t>
            </w:r>
            <w:r w:rsidR="00B74918" w:rsidRPr="00E95A46">
              <w:rPr>
                <w:rFonts w:ascii="Arial" w:hAnsi="Arial"/>
                <w:noProof w:val="0"/>
                <w:sz w:val="16"/>
                <w:szCs w:val="16"/>
              </w:rPr>
              <w:t>odborné</w:t>
            </w:r>
            <w:r w:rsidRPr="00E95A46">
              <w:rPr>
                <w:rFonts w:ascii="Arial" w:hAnsi="Arial"/>
                <w:noProof w:val="0"/>
                <w:sz w:val="16"/>
                <w:szCs w:val="16"/>
              </w:rPr>
              <w:t xml:space="preserve"> součinnosti při provádění přejímací zkoušky a zkoušek dlouhodobé stability ZIZ</w:t>
            </w:r>
          </w:p>
        </w:tc>
      </w:tr>
      <w:tr w:rsidR="00E95A46" w14:paraId="0A26C172" w14:textId="77777777" w:rsidTr="00034AEA">
        <w:tc>
          <w:tcPr>
            <w:tcW w:w="4530" w:type="dxa"/>
            <w:vAlign w:val="center"/>
          </w:tcPr>
          <w:p w14:paraId="01EF2A93" w14:textId="3D8B0677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Celková procentuální hodnota dodávky zajištěná poddodavatelem</w:t>
            </w:r>
          </w:p>
        </w:tc>
        <w:tc>
          <w:tcPr>
            <w:tcW w:w="4530" w:type="dxa"/>
            <w:vAlign w:val="center"/>
          </w:tcPr>
          <w:p w14:paraId="4F40F5E9" w14:textId="1983E28B" w:rsidR="00E95A46" w:rsidRPr="00E95A46" w:rsidRDefault="00E95A46" w:rsidP="00E95A46">
            <w:pPr>
              <w:rPr>
                <w:sz w:val="16"/>
                <w:szCs w:val="16"/>
              </w:rPr>
            </w:pPr>
            <w:r w:rsidRPr="00E95A46">
              <w:rPr>
                <w:sz w:val="16"/>
                <w:szCs w:val="16"/>
              </w:rPr>
              <w:t>3 %</w:t>
            </w:r>
          </w:p>
        </w:tc>
      </w:tr>
    </w:tbl>
    <w:p w14:paraId="6053108B" w14:textId="77777777" w:rsidR="001377FA" w:rsidRDefault="001377FA" w:rsidP="001377FA"/>
    <w:p w14:paraId="6DAE91BD" w14:textId="77777777" w:rsidR="001377FA" w:rsidRPr="00E95A46" w:rsidRDefault="001377FA" w:rsidP="001377FA">
      <w:pPr>
        <w:rPr>
          <w:sz w:val="2"/>
          <w:szCs w:val="4"/>
        </w:rPr>
      </w:pPr>
    </w:p>
    <w:p w14:paraId="5D19F96B" w14:textId="77777777" w:rsidR="001377FA" w:rsidRDefault="001377FA" w:rsidP="001377FA"/>
    <w:p w14:paraId="6E2B43F6" w14:textId="77777777" w:rsidR="00711723" w:rsidRDefault="00711723" w:rsidP="001377FA"/>
    <w:p w14:paraId="4C2148F7" w14:textId="77777777" w:rsidR="00711723" w:rsidRDefault="00711723" w:rsidP="001377FA"/>
    <w:p w14:paraId="727A2DAB" w14:textId="77777777" w:rsidR="00711723" w:rsidRPr="00CF7E18" w:rsidRDefault="00711723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7"/>
        <w:gridCol w:w="282"/>
        <w:gridCol w:w="639"/>
        <w:gridCol w:w="3718"/>
      </w:tblGrid>
      <w:tr w:rsidR="001377FA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Default="001377FA" w:rsidP="001377FA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Default="001377FA" w:rsidP="001377FA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1A49B52E" w:rsidR="001377FA" w:rsidRPr="0067787B" w:rsidRDefault="00E95A46" w:rsidP="001377FA">
            <w:pPr>
              <w:pBdr>
                <w:bottom w:val="dotted" w:sz="8" w:space="1" w:color="auto"/>
              </w:pBdr>
            </w:pPr>
            <w:r>
              <w:t>Dle data el. podpisu</w:t>
            </w:r>
          </w:p>
        </w:tc>
      </w:tr>
    </w:tbl>
    <w:p w14:paraId="1A58064E" w14:textId="77777777" w:rsidR="001377FA" w:rsidRDefault="001377FA" w:rsidP="001377FA"/>
    <w:p w14:paraId="18FFE96E" w14:textId="77777777" w:rsidR="001377FA" w:rsidRDefault="001377FA" w:rsidP="001377FA"/>
    <w:p w14:paraId="2CAAED04" w14:textId="7727CB3B" w:rsidR="001377FA" w:rsidRDefault="001377FA" w:rsidP="001377FA"/>
    <w:p w14:paraId="0CC5945E" w14:textId="77777777" w:rsidR="00E95A46" w:rsidRDefault="00E95A46" w:rsidP="001377FA"/>
    <w:p w14:paraId="345373F1" w14:textId="77777777" w:rsidR="001377FA" w:rsidRPr="00CF7E18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Default="001377FA" w:rsidP="001377FA">
            <w:pPr>
              <w:jc w:val="center"/>
            </w:pPr>
            <w:r>
              <w:t>razítko a podpis Kupujícího</w:t>
            </w:r>
          </w:p>
          <w:p w14:paraId="77AD02A4" w14:textId="7ACA0B61" w:rsidR="001377FA" w:rsidRDefault="00755B53" w:rsidP="001377FA">
            <w:pPr>
              <w:jc w:val="center"/>
            </w:pPr>
            <w:r>
              <w:t xml:space="preserve">doc. </w:t>
            </w:r>
            <w:r w:rsidR="001377FA">
              <w:t>MUDr. Václav Šimánek, Ph.D.</w:t>
            </w:r>
          </w:p>
          <w:p w14:paraId="434B3B93" w14:textId="77777777" w:rsidR="001377FA" w:rsidRDefault="001377FA" w:rsidP="001377FA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Default="001377FA" w:rsidP="001377FA">
            <w:pPr>
              <w:jc w:val="center"/>
            </w:pPr>
            <w:r>
              <w:t>razítko a podpis Prodávajícího</w:t>
            </w:r>
          </w:p>
          <w:p w14:paraId="55D1DF3C" w14:textId="7B540DC9" w:rsidR="001377FA" w:rsidRDefault="00E95A46" w:rsidP="001377FA">
            <w:pPr>
              <w:jc w:val="center"/>
            </w:pPr>
            <w:r>
              <w:t>Ing. Marek Češpivo</w:t>
            </w:r>
          </w:p>
          <w:p w14:paraId="6F6DD850" w14:textId="47434FB0" w:rsidR="001377FA" w:rsidRDefault="00E95A46" w:rsidP="001377FA">
            <w:pPr>
              <w:jc w:val="center"/>
            </w:pPr>
            <w:r>
              <w:t>jednatel</w:t>
            </w:r>
          </w:p>
        </w:tc>
      </w:tr>
    </w:tbl>
    <w:p w14:paraId="6F534802" w14:textId="77777777" w:rsidR="001377FA" w:rsidRPr="0045374B" w:rsidRDefault="001377FA" w:rsidP="001377FA"/>
    <w:p w14:paraId="4B8BC4C7" w14:textId="77777777" w:rsidR="004C241E" w:rsidRDefault="004C241E">
      <w:pPr>
        <w:rPr>
          <w:sz w:val="2"/>
          <w:szCs w:val="2"/>
        </w:rPr>
        <w:sectPr w:rsidR="004C241E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Default="004C241E">
      <w:pPr>
        <w:rPr>
          <w:sz w:val="2"/>
          <w:szCs w:val="2"/>
        </w:rPr>
      </w:pPr>
    </w:p>
    <w:p w14:paraId="7E417157" w14:textId="77777777" w:rsidR="00CB5C59" w:rsidRDefault="00CB5C59" w:rsidP="00CB5C59">
      <w:pPr>
        <w:pStyle w:val="Zhlav"/>
        <w:jc w:val="right"/>
      </w:pPr>
      <w:r w:rsidRPr="002F5223">
        <w:rPr>
          <w:b/>
          <w:caps/>
        </w:rPr>
        <w:t xml:space="preserve">Příloha č. </w:t>
      </w:r>
      <w:r>
        <w:rPr>
          <w:b/>
          <w:caps/>
        </w:rPr>
        <w:t>2</w:t>
      </w:r>
      <w:r w:rsidRPr="002F5223">
        <w:rPr>
          <w:b/>
          <w:caps/>
        </w:rPr>
        <w:t xml:space="preserve">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2FA60055" w14:textId="77777777" w:rsidR="004C241E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429B0" w14:paraId="654BEAB2" w14:textId="77777777" w:rsidTr="00F01CBF">
        <w:tc>
          <w:tcPr>
            <w:tcW w:w="4677" w:type="dxa"/>
            <w:shd w:val="clear" w:color="auto" w:fill="auto"/>
          </w:tcPr>
          <w:p w14:paraId="0E677BBF" w14:textId="35F78054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Dodavatel</w:t>
            </w:r>
            <w:r w:rsidR="00E137D7" w:rsidRPr="00B429B0">
              <w:rPr>
                <w:b/>
              </w:rPr>
              <w:t>:</w:t>
            </w:r>
          </w:p>
          <w:p w14:paraId="33031113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IČO: </w:t>
            </w:r>
            <w:r w:rsidRPr="00B429B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4"/>
          </w:p>
          <w:p w14:paraId="17B2D2B5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DIČ: </w:t>
            </w:r>
            <w:r w:rsidRPr="00B429B0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5"/>
          </w:p>
          <w:p w14:paraId="424A2433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adresa: </w:t>
            </w:r>
            <w:r w:rsidRPr="00B429B0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6"/>
          </w:p>
          <w:p w14:paraId="315B8614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tel.: </w:t>
            </w:r>
            <w:r w:rsidRPr="00B429B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7"/>
          </w:p>
          <w:p w14:paraId="1F338708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e-mail: </w:t>
            </w:r>
            <w:r w:rsidRPr="00B429B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8"/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429B0" w:rsidRDefault="004C241E" w:rsidP="00E137D7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Odběratel</w:t>
            </w:r>
            <w:r w:rsidR="00E137D7" w:rsidRPr="00B429B0">
              <w:rPr>
                <w:b/>
              </w:rPr>
              <w:t>: Fakultní nemocnice Plzeň</w:t>
            </w:r>
          </w:p>
          <w:p w14:paraId="5E14DD65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IČO: </w:t>
            </w:r>
            <w:r w:rsidRPr="00B429B0">
              <w:rPr>
                <w:b/>
              </w:rPr>
              <w:t>00669806</w:t>
            </w:r>
          </w:p>
          <w:p w14:paraId="617E5005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DIČ: </w:t>
            </w:r>
            <w:r w:rsidRPr="00B429B0">
              <w:rPr>
                <w:b/>
              </w:rPr>
              <w:t>CZ00669806</w:t>
            </w:r>
          </w:p>
          <w:p w14:paraId="45D0B1F9" w14:textId="58C481B4" w:rsidR="00E137D7" w:rsidRPr="00B429B0" w:rsidRDefault="00E137D7" w:rsidP="00E137D7">
            <w:pPr>
              <w:spacing w:before="20" w:after="20"/>
            </w:pPr>
            <w:r w:rsidRPr="00B429B0">
              <w:t xml:space="preserve">adresa: </w:t>
            </w:r>
            <w:r w:rsidRPr="00B429B0">
              <w:rPr>
                <w:b/>
              </w:rPr>
              <w:t>Edvarda Beneše 1128/13, 30</w:t>
            </w:r>
            <w:r w:rsidR="00E57C28">
              <w:rPr>
                <w:b/>
              </w:rPr>
              <w:t>1</w:t>
            </w:r>
            <w:r w:rsidRPr="00B429B0">
              <w:rPr>
                <w:b/>
              </w:rPr>
              <w:t xml:space="preserve"> </w:t>
            </w:r>
            <w:r w:rsidR="00E57C28">
              <w:rPr>
                <w:b/>
              </w:rPr>
              <w:t>00</w:t>
            </w:r>
            <w:r w:rsidRPr="00B429B0">
              <w:rPr>
                <w:b/>
              </w:rPr>
              <w:t xml:space="preserve"> Plzeň</w:t>
            </w:r>
          </w:p>
          <w:p w14:paraId="72487558" w14:textId="187978BB" w:rsidR="00E137D7" w:rsidRPr="00B429B0" w:rsidRDefault="00E137D7" w:rsidP="00E137D7">
            <w:pPr>
              <w:spacing w:before="20" w:after="20"/>
            </w:pPr>
            <w:r w:rsidRPr="00B429B0">
              <w:t xml:space="preserve">tel.: </w:t>
            </w:r>
            <w:r w:rsidR="00C32993">
              <w:t>XXX</w:t>
            </w:r>
          </w:p>
          <w:p w14:paraId="4F9369BA" w14:textId="781E552D" w:rsidR="004C241E" w:rsidRPr="00B429B0" w:rsidRDefault="00E137D7" w:rsidP="00E137D7">
            <w:pPr>
              <w:spacing w:before="20" w:after="20"/>
            </w:pPr>
            <w:r w:rsidRPr="00B429B0">
              <w:t xml:space="preserve">e-mail: </w:t>
            </w:r>
            <w:r w:rsidR="00C32993">
              <w:t>XXX</w:t>
            </w:r>
            <w:bookmarkStart w:id="9" w:name="_GoBack"/>
            <w:bookmarkEnd w:id="9"/>
          </w:p>
        </w:tc>
      </w:tr>
      <w:tr w:rsidR="004C241E" w:rsidRPr="00B429B0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>Smlouva/objednávka č.:</w:t>
            </w:r>
            <w:r w:rsidRPr="00B429B0">
              <w:t xml:space="preserve"> </w:t>
            </w:r>
          </w:p>
          <w:p w14:paraId="040C8863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0"/>
          </w:p>
          <w:p w14:paraId="6FD8FCE7" w14:textId="77777777" w:rsidR="004C241E" w:rsidRPr="00B429B0" w:rsidRDefault="004C241E" w:rsidP="00F01CBF">
            <w:pPr>
              <w:spacing w:before="20" w:after="20"/>
            </w:pPr>
          </w:p>
          <w:p w14:paraId="726B19EF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 xml:space="preserve">Datum vystavení </w:t>
            </w:r>
            <w:r w:rsidRPr="00B429B0">
              <w:rPr>
                <w:b/>
              </w:rPr>
              <w:br/>
              <w:t>předávacího protokolu</w:t>
            </w:r>
            <w:r w:rsidRPr="00B429B0">
              <w:t xml:space="preserve">: </w:t>
            </w:r>
            <w:r w:rsidRPr="00B429B0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Místo určení</w:t>
            </w:r>
          </w:p>
          <w:p w14:paraId="46CC09C7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adresa (vč. pavilonu/budovy):</w:t>
            </w:r>
          </w:p>
          <w:p w14:paraId="1C9FE42C" w14:textId="77777777" w:rsidR="004C241E" w:rsidRPr="00B429B0" w:rsidRDefault="004C241E" w:rsidP="00F01CBF">
            <w:pPr>
              <w:spacing w:before="20" w:after="20"/>
            </w:pPr>
            <w:r w:rsidRPr="00B429B0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11"/>
          </w:p>
        </w:tc>
      </w:tr>
    </w:tbl>
    <w:p w14:paraId="71376B7B" w14:textId="77777777" w:rsidR="004C241E" w:rsidRPr="00B429B0" w:rsidRDefault="004C241E" w:rsidP="004C241E">
      <w:pPr>
        <w:spacing w:before="240"/>
        <w:rPr>
          <w:b/>
        </w:rPr>
      </w:pPr>
      <w:r w:rsidRPr="00B429B0">
        <w:rPr>
          <w:b/>
        </w:rPr>
        <w:t>Dodavatel potvrzuje, že:</w:t>
      </w:r>
    </w:p>
    <w:p w14:paraId="76234E2F" w14:textId="77777777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>zboží, tak jak je uvedeno níže, bylo dodáno a nainstalováno v souladu s kupní smlouvou č. </w:t>
      </w:r>
      <w:r w:rsidR="00685E76" w:rsidRPr="00B429B0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429B0">
        <w:instrText xml:space="preserve"> FORMTEXT </w:instrText>
      </w:r>
      <w:r w:rsidR="00685E76" w:rsidRPr="00B429B0">
        <w:fldChar w:fldCharType="separate"/>
      </w:r>
      <w:r w:rsidR="00685E76" w:rsidRPr="00B429B0">
        <w:rPr>
          <w:noProof/>
        </w:rPr>
        <w:t>............</w:t>
      </w:r>
      <w:r w:rsidR="00685E76" w:rsidRPr="00B429B0">
        <w:fldChar w:fldCharType="end"/>
      </w:r>
      <w:r w:rsidRPr="00B429B0">
        <w:t>,</w:t>
      </w:r>
    </w:p>
    <w:p w14:paraId="437B4EB2" w14:textId="04B1D602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 xml:space="preserve">zařízení splňuje výrobcem uváděné parametry, je plně funkční a bezpečné pro použití při poskytování zdravotní péče pracovníky </w:t>
      </w:r>
      <w:r w:rsidR="000905D3" w:rsidRPr="00B429B0">
        <w:t>odběratele</w:t>
      </w:r>
      <w:r w:rsidRPr="00B429B0">
        <w:t>.</w:t>
      </w:r>
    </w:p>
    <w:p w14:paraId="6C86D29C" w14:textId="3C1A493F" w:rsidR="004C241E" w:rsidRPr="00B429B0" w:rsidRDefault="004C241E" w:rsidP="004C241E">
      <w:pPr>
        <w:spacing w:before="240"/>
        <w:jc w:val="both"/>
        <w:rPr>
          <w:i/>
        </w:rPr>
      </w:pPr>
      <w:r w:rsidRPr="00B429B0">
        <w:rPr>
          <w:b/>
        </w:rPr>
        <w:t xml:space="preserve">Zboží č. </w:t>
      </w:r>
      <w:r w:rsidRPr="00B429B0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......... "název"</w:t>
      </w:r>
      <w:r w:rsidRPr="00B429B0">
        <w:fldChar w:fldCharType="end"/>
      </w:r>
      <w:r w:rsidRPr="00B429B0">
        <w:t xml:space="preserve"> </w:t>
      </w:r>
      <w:r w:rsidRPr="00B429B0">
        <w:rPr>
          <w:i/>
        </w:rPr>
        <w:t xml:space="preserve">(označení stejné jako v rozpočtu </w:t>
      </w:r>
      <w:r w:rsidR="003F77A9" w:rsidRPr="00B429B0">
        <w:rPr>
          <w:i/>
        </w:rPr>
        <w:t>projektu</w:t>
      </w:r>
      <w:r w:rsidRPr="00B429B0">
        <w:rPr>
          <w:i/>
        </w:rPr>
        <w:t>)</w:t>
      </w:r>
    </w:p>
    <w:p w14:paraId="0B4AA39C" w14:textId="09CD8226" w:rsidR="004C241E" w:rsidRPr="00AE3533" w:rsidRDefault="004C241E" w:rsidP="00685E76">
      <w:pPr>
        <w:spacing w:before="60"/>
        <w:jc w:val="both"/>
      </w:pPr>
      <w:r w:rsidRPr="00AE3533">
        <w:t xml:space="preserve">dodaná v rámci </w:t>
      </w:r>
      <w:r w:rsidR="003F77A9" w:rsidRPr="00AE3533">
        <w:t>projektu</w:t>
      </w:r>
      <w:r w:rsidRPr="00AE3533">
        <w:t xml:space="preserve"> s</w:t>
      </w:r>
      <w:r w:rsidR="00184CAD" w:rsidRPr="00AE3533">
        <w:t> </w:t>
      </w:r>
      <w:r w:rsidRPr="00AE3533">
        <w:t>názvem</w:t>
      </w:r>
      <w:r w:rsidR="00184CAD" w:rsidRPr="00AE3533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>
            <w:rPr>
              <w:b/>
            </w:rPr>
            <w:t>hematoonkologické</w:t>
          </w:r>
          <w:proofErr w:type="spellEnd"/>
          <w:r w:rsidR="00C77752">
            <w:rPr>
              <w:b/>
            </w:rPr>
            <w:t xml:space="preserve"> péče FN Plzeň“</w:t>
          </w:r>
        </w:sdtContent>
      </w:sdt>
      <w:r w:rsidR="00685E76" w:rsidRPr="00AE3533">
        <w:t xml:space="preserve"> </w:t>
      </w:r>
      <w:r w:rsidR="00BD5D67" w:rsidRPr="00AE3533">
        <w:t>–</w:t>
      </w:r>
      <w:r w:rsidR="00685E76" w:rsidRPr="00AE3533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>
            <w:rPr>
              <w:rStyle w:val="datalabel"/>
              <w:b/>
            </w:rPr>
            <w:t>CZ.31.8.0/0.0/0.0/23_072/0008233</w:t>
          </w:r>
        </w:sdtContent>
      </w:sdt>
      <w:r w:rsidR="00E1518A" w:rsidRPr="00AE3533">
        <w:rPr>
          <w:rStyle w:val="datalabel"/>
          <w:b/>
        </w:rPr>
        <w:t>.</w:t>
      </w:r>
    </w:p>
    <w:p w14:paraId="497351BE" w14:textId="77777777" w:rsidR="004C241E" w:rsidRPr="00B429B0" w:rsidRDefault="004C241E" w:rsidP="004C241E">
      <w:pPr>
        <w:spacing w:before="240" w:after="120"/>
        <w:jc w:val="both"/>
      </w:pPr>
      <w:r w:rsidRPr="00AE3533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429B0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429B0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429B0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429B0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429B0" w:rsidRDefault="004C241E" w:rsidP="00E47A25">
      <w:pPr>
        <w:spacing w:before="220"/>
        <w:jc w:val="both"/>
        <w:rPr>
          <w:b/>
        </w:rPr>
      </w:pPr>
      <w:r w:rsidRPr="00B429B0">
        <w:rPr>
          <w:b/>
        </w:rPr>
        <w:t>Instruktáž personálu se zacházením se zdravotnickými prostředky proběhlo dle zákona č.</w:t>
      </w:r>
      <w:r w:rsidR="00BD5D67" w:rsidRPr="00B429B0">
        <w:rPr>
          <w:b/>
        </w:rPr>
        <w:t> </w:t>
      </w:r>
      <w:r w:rsidR="00694908" w:rsidRPr="00694908">
        <w:rPr>
          <w:b/>
        </w:rPr>
        <w:t>375/2022</w:t>
      </w:r>
      <w:r w:rsidR="00694908">
        <w:t xml:space="preserve"> </w:t>
      </w:r>
      <w:r w:rsidRPr="00B429B0">
        <w:rPr>
          <w:b/>
        </w:rPr>
        <w:t xml:space="preserve">Sb. </w:t>
      </w:r>
    </w:p>
    <w:p w14:paraId="67BC2339" w14:textId="77777777" w:rsidR="00E137D7" w:rsidRPr="00B429B0" w:rsidRDefault="00E137D7" w:rsidP="00E137D7">
      <w:pPr>
        <w:spacing w:before="220"/>
        <w:jc w:val="both"/>
      </w:pPr>
      <w:r w:rsidRPr="00B429B0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429B0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"/>
      <w:r w:rsidRPr="00B429B0">
        <w:instrText xml:space="preserve"> FORMCHECKBOX </w:instrText>
      </w:r>
      <w:r w:rsidR="00BF0543">
        <w:fldChar w:fldCharType="separate"/>
      </w:r>
      <w:r w:rsidRPr="00B429B0">
        <w:fldChar w:fldCharType="end"/>
      </w:r>
      <w:bookmarkEnd w:id="13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2"/>
      <w:r w:rsidRPr="00B429B0">
        <w:instrText xml:space="preserve"> FORMCHECKBOX </w:instrText>
      </w:r>
      <w:r w:rsidR="00BF0543">
        <w:fldChar w:fldCharType="separate"/>
      </w:r>
      <w:r w:rsidRPr="00B429B0">
        <w:fldChar w:fldCharType="end"/>
      </w:r>
      <w:bookmarkEnd w:id="14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5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6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6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5866" w14:textId="77777777" w:rsidR="00BF0543" w:rsidRDefault="00BF0543">
      <w:r>
        <w:separator/>
      </w:r>
    </w:p>
  </w:endnote>
  <w:endnote w:type="continuationSeparator" w:id="0">
    <w:p w14:paraId="33FC70BA" w14:textId="77777777" w:rsidR="00BF0543" w:rsidRDefault="00BF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7FAB386D" w:rsidR="00034AEA" w:rsidRPr="008D6B7F" w:rsidRDefault="00034AEA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CB01D3"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CB01D3">
      <w:rPr>
        <w:noProof/>
        <w:sz w:val="18"/>
        <w:szCs w:val="18"/>
      </w:rPr>
      <w:t>11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1BEBC1F4" w:rsidR="00034AEA" w:rsidRPr="0039165E" w:rsidRDefault="00034AEA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CB01D3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CB01D3">
      <w:rPr>
        <w:noProof/>
        <w:sz w:val="18"/>
        <w:szCs w:val="18"/>
      </w:rPr>
      <w:t>11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0181" w14:textId="77777777" w:rsidR="00BF0543" w:rsidRDefault="00BF0543">
      <w:bookmarkStart w:id="0" w:name="_Hlk80690524"/>
      <w:bookmarkEnd w:id="0"/>
      <w:r>
        <w:separator/>
      </w:r>
    </w:p>
  </w:footnote>
  <w:footnote w:type="continuationSeparator" w:id="0">
    <w:p w14:paraId="398F1A3F" w14:textId="77777777" w:rsidR="00BF0543" w:rsidRDefault="00BF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034AEA" w:rsidRPr="00164C6B" w:rsidRDefault="00034AEA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034AEA" w:rsidRDefault="00034AEA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034AEA" w:rsidRDefault="00034AEA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034AEA" w:rsidRDefault="00034AEA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034AEA" w:rsidRDefault="00034AEA" w:rsidP="00C03120"/>
  <w:p w14:paraId="22D083B0" w14:textId="54D5A0D1" w:rsidR="00034AEA" w:rsidRPr="00E137D7" w:rsidRDefault="00034AEA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509C"/>
    <w:rsid w:val="00006D70"/>
    <w:rsid w:val="00010753"/>
    <w:rsid w:val="00011082"/>
    <w:rsid w:val="0001310D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27523"/>
    <w:rsid w:val="00034AEA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76924"/>
    <w:rsid w:val="00080EF1"/>
    <w:rsid w:val="00083877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2442"/>
    <w:rsid w:val="000B4FF2"/>
    <w:rsid w:val="000B664A"/>
    <w:rsid w:val="000B7F6D"/>
    <w:rsid w:val="000C373A"/>
    <w:rsid w:val="000C418F"/>
    <w:rsid w:val="000C4CD8"/>
    <w:rsid w:val="000C5F3D"/>
    <w:rsid w:val="000C7B42"/>
    <w:rsid w:val="000D09AF"/>
    <w:rsid w:val="000D56E6"/>
    <w:rsid w:val="000E1903"/>
    <w:rsid w:val="000E1DDD"/>
    <w:rsid w:val="000E2F46"/>
    <w:rsid w:val="000E57A8"/>
    <w:rsid w:val="000E6C34"/>
    <w:rsid w:val="000F0896"/>
    <w:rsid w:val="000F2137"/>
    <w:rsid w:val="000F4525"/>
    <w:rsid w:val="000F48A1"/>
    <w:rsid w:val="000F5196"/>
    <w:rsid w:val="000F6897"/>
    <w:rsid w:val="000F76C6"/>
    <w:rsid w:val="00101F0F"/>
    <w:rsid w:val="00102EB1"/>
    <w:rsid w:val="00103868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35B4"/>
    <w:rsid w:val="0013453B"/>
    <w:rsid w:val="00135131"/>
    <w:rsid w:val="00135AE8"/>
    <w:rsid w:val="001377FA"/>
    <w:rsid w:val="00140AFE"/>
    <w:rsid w:val="00140DC8"/>
    <w:rsid w:val="00142F8C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162D"/>
    <w:rsid w:val="00176296"/>
    <w:rsid w:val="00177FF4"/>
    <w:rsid w:val="0018027A"/>
    <w:rsid w:val="00182B5A"/>
    <w:rsid w:val="00184CAD"/>
    <w:rsid w:val="0018725B"/>
    <w:rsid w:val="00187432"/>
    <w:rsid w:val="0019090D"/>
    <w:rsid w:val="00193CBA"/>
    <w:rsid w:val="00194455"/>
    <w:rsid w:val="0019497D"/>
    <w:rsid w:val="00194BDC"/>
    <w:rsid w:val="001A0A25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4AD8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28B6"/>
    <w:rsid w:val="00223068"/>
    <w:rsid w:val="0022646F"/>
    <w:rsid w:val="002267D4"/>
    <w:rsid w:val="00232FC4"/>
    <w:rsid w:val="0023352C"/>
    <w:rsid w:val="0023656A"/>
    <w:rsid w:val="00237ECE"/>
    <w:rsid w:val="002451E5"/>
    <w:rsid w:val="00246D22"/>
    <w:rsid w:val="00246F8D"/>
    <w:rsid w:val="002511FE"/>
    <w:rsid w:val="00251F51"/>
    <w:rsid w:val="002529AF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7D7F"/>
    <w:rsid w:val="002D13BD"/>
    <w:rsid w:val="002D1D8A"/>
    <w:rsid w:val="002D3BB5"/>
    <w:rsid w:val="002D4A3D"/>
    <w:rsid w:val="002D652B"/>
    <w:rsid w:val="002E0806"/>
    <w:rsid w:val="002E3FBE"/>
    <w:rsid w:val="002E4F57"/>
    <w:rsid w:val="002F332C"/>
    <w:rsid w:val="002F4D3A"/>
    <w:rsid w:val="002F5611"/>
    <w:rsid w:val="002F580F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EE9"/>
    <w:rsid w:val="00377838"/>
    <w:rsid w:val="003830DF"/>
    <w:rsid w:val="003831E3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515E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6A82"/>
    <w:rsid w:val="00470ABF"/>
    <w:rsid w:val="00470C97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368C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014A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43EE"/>
    <w:rsid w:val="00515247"/>
    <w:rsid w:val="0051680B"/>
    <w:rsid w:val="00517949"/>
    <w:rsid w:val="005221CB"/>
    <w:rsid w:val="00525587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2651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234"/>
    <w:rsid w:val="006875D2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432C"/>
    <w:rsid w:val="006C79B5"/>
    <w:rsid w:val="006C7C4A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6F789E"/>
    <w:rsid w:val="0070197D"/>
    <w:rsid w:val="00702488"/>
    <w:rsid w:val="007054CD"/>
    <w:rsid w:val="007106A1"/>
    <w:rsid w:val="00710EDD"/>
    <w:rsid w:val="0071163F"/>
    <w:rsid w:val="00711723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51DB3"/>
    <w:rsid w:val="00752EE2"/>
    <w:rsid w:val="00753FB4"/>
    <w:rsid w:val="00755B53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0693"/>
    <w:rsid w:val="007D237E"/>
    <w:rsid w:val="007D24DC"/>
    <w:rsid w:val="007E0142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75"/>
    <w:rsid w:val="008B6BA4"/>
    <w:rsid w:val="008B7934"/>
    <w:rsid w:val="008C6861"/>
    <w:rsid w:val="008D051B"/>
    <w:rsid w:val="008D2116"/>
    <w:rsid w:val="008D6B7F"/>
    <w:rsid w:val="008D7C9B"/>
    <w:rsid w:val="008E2D6E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202EF"/>
    <w:rsid w:val="009208D8"/>
    <w:rsid w:val="00920A1F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B01DD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277E1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402F"/>
    <w:rsid w:val="00B34095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74918"/>
    <w:rsid w:val="00B80688"/>
    <w:rsid w:val="00B80923"/>
    <w:rsid w:val="00B8142F"/>
    <w:rsid w:val="00B83B17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66D"/>
    <w:rsid w:val="00BD0A3A"/>
    <w:rsid w:val="00BD2236"/>
    <w:rsid w:val="00BD232A"/>
    <w:rsid w:val="00BD323B"/>
    <w:rsid w:val="00BD5539"/>
    <w:rsid w:val="00BD5D67"/>
    <w:rsid w:val="00BD6D59"/>
    <w:rsid w:val="00BE2175"/>
    <w:rsid w:val="00BE2A95"/>
    <w:rsid w:val="00BE2D7E"/>
    <w:rsid w:val="00BE364D"/>
    <w:rsid w:val="00BE53FF"/>
    <w:rsid w:val="00BE678F"/>
    <w:rsid w:val="00BF042F"/>
    <w:rsid w:val="00BF0543"/>
    <w:rsid w:val="00BF1060"/>
    <w:rsid w:val="00BF33DB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2993"/>
    <w:rsid w:val="00C344F4"/>
    <w:rsid w:val="00C37E90"/>
    <w:rsid w:val="00C41744"/>
    <w:rsid w:val="00C445F8"/>
    <w:rsid w:val="00C46696"/>
    <w:rsid w:val="00C46892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2FCB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7F91"/>
    <w:rsid w:val="00CB01D3"/>
    <w:rsid w:val="00CB09BF"/>
    <w:rsid w:val="00CB132B"/>
    <w:rsid w:val="00CB1AD9"/>
    <w:rsid w:val="00CB4F95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0C71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E0CF1"/>
    <w:rsid w:val="00DE28A1"/>
    <w:rsid w:val="00DE3233"/>
    <w:rsid w:val="00DE50E3"/>
    <w:rsid w:val="00DF11B2"/>
    <w:rsid w:val="00DF2298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15BAC"/>
    <w:rsid w:val="00E20707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D6C"/>
    <w:rsid w:val="00E57C28"/>
    <w:rsid w:val="00E61D62"/>
    <w:rsid w:val="00E7037E"/>
    <w:rsid w:val="00E71D3C"/>
    <w:rsid w:val="00E72CE1"/>
    <w:rsid w:val="00E72F00"/>
    <w:rsid w:val="00E7389D"/>
    <w:rsid w:val="00E76252"/>
    <w:rsid w:val="00E830C7"/>
    <w:rsid w:val="00E84B29"/>
    <w:rsid w:val="00E869E4"/>
    <w:rsid w:val="00E9083C"/>
    <w:rsid w:val="00E95A46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0408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5E30"/>
    <w:rsid w:val="00F46C13"/>
    <w:rsid w:val="00F46CB3"/>
    <w:rsid w:val="00F478F8"/>
    <w:rsid w:val="00F5104E"/>
    <w:rsid w:val="00F55209"/>
    <w:rsid w:val="00F60B39"/>
    <w:rsid w:val="00F61460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customStyle="1" w:styleId="bllzaklad">
    <w:name w:val="bll_zaklad"/>
    <w:rsid w:val="00E95A46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Default">
    <w:name w:val="Default"/>
    <w:rsid w:val="00034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15806"/>
    <w:rsid w:val="0006188F"/>
    <w:rsid w:val="000717CB"/>
    <w:rsid w:val="000B664A"/>
    <w:rsid w:val="000E4028"/>
    <w:rsid w:val="0015029D"/>
    <w:rsid w:val="00166DD1"/>
    <w:rsid w:val="001E4F66"/>
    <w:rsid w:val="001F32AB"/>
    <w:rsid w:val="00276E38"/>
    <w:rsid w:val="00277E7A"/>
    <w:rsid w:val="002925C5"/>
    <w:rsid w:val="002D3BB5"/>
    <w:rsid w:val="003629F4"/>
    <w:rsid w:val="00426A76"/>
    <w:rsid w:val="00435108"/>
    <w:rsid w:val="004A368C"/>
    <w:rsid w:val="00520229"/>
    <w:rsid w:val="00584C4D"/>
    <w:rsid w:val="005E5A14"/>
    <w:rsid w:val="006623B2"/>
    <w:rsid w:val="00672F4F"/>
    <w:rsid w:val="006B4393"/>
    <w:rsid w:val="006C112B"/>
    <w:rsid w:val="006D5353"/>
    <w:rsid w:val="006E039A"/>
    <w:rsid w:val="007A16B0"/>
    <w:rsid w:val="007C44C8"/>
    <w:rsid w:val="007D0693"/>
    <w:rsid w:val="007F08D5"/>
    <w:rsid w:val="0081140E"/>
    <w:rsid w:val="00853E74"/>
    <w:rsid w:val="008612C7"/>
    <w:rsid w:val="00891CA3"/>
    <w:rsid w:val="008A21C0"/>
    <w:rsid w:val="008E2D6E"/>
    <w:rsid w:val="009B2F2E"/>
    <w:rsid w:val="00A74885"/>
    <w:rsid w:val="00B42246"/>
    <w:rsid w:val="00B462C5"/>
    <w:rsid w:val="00B96CCB"/>
    <w:rsid w:val="00BB1B22"/>
    <w:rsid w:val="00BF282A"/>
    <w:rsid w:val="00C16F69"/>
    <w:rsid w:val="00C93897"/>
    <w:rsid w:val="00CA08F0"/>
    <w:rsid w:val="00CB1352"/>
    <w:rsid w:val="00CB4D21"/>
    <w:rsid w:val="00CB79A6"/>
    <w:rsid w:val="00D25D22"/>
    <w:rsid w:val="00D3360F"/>
    <w:rsid w:val="00D84EE1"/>
    <w:rsid w:val="00E61492"/>
    <w:rsid w:val="00EE1EF3"/>
    <w:rsid w:val="00F7747B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6E29B-1E8D-476E-B568-770F721F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11</Pages>
  <Words>4641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13</cp:revision>
  <cp:lastPrinted>2025-01-09T14:46:00Z</cp:lastPrinted>
  <dcterms:created xsi:type="dcterms:W3CDTF">2025-02-07T15:11:00Z</dcterms:created>
  <dcterms:modified xsi:type="dcterms:W3CDTF">2025-04-10T04:58:00Z</dcterms:modified>
  <cp:category>CZ.31.8.0/0.0/0.0/23_072/0008233</cp:category>
</cp:coreProperties>
</file>