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1C738826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02151">
        <w:rPr>
          <w:sz w:val="22"/>
          <w:szCs w:val="22"/>
        </w:rPr>
        <w:t>…</w:t>
      </w:r>
      <w:proofErr w:type="gramStart"/>
      <w:r w:rsidR="00902151">
        <w:rPr>
          <w:sz w:val="22"/>
          <w:szCs w:val="22"/>
        </w:rPr>
        <w:t>…….</w:t>
      </w:r>
      <w:proofErr w:type="gramEnd"/>
      <w:r w:rsidR="00902151">
        <w:rPr>
          <w:sz w:val="22"/>
          <w:szCs w:val="22"/>
        </w:rPr>
        <w:t>.</w:t>
      </w:r>
      <w:r w:rsidRPr="007D54F6">
        <w:rPr>
          <w:sz w:val="22"/>
          <w:szCs w:val="22"/>
        </w:rPr>
        <w:t>, ředitel</w:t>
      </w:r>
    </w:p>
    <w:p w14:paraId="31C5A6F9" w14:textId="1657587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902151">
        <w:rPr>
          <w:sz w:val="22"/>
          <w:szCs w:val="22"/>
        </w:rPr>
        <w:t>……</w:t>
      </w:r>
      <w:proofErr w:type="gramStart"/>
      <w:r w:rsidR="00902151">
        <w:rPr>
          <w:sz w:val="22"/>
          <w:szCs w:val="22"/>
        </w:rPr>
        <w:t>…….</w:t>
      </w:r>
      <w:proofErr w:type="gramEnd"/>
      <w:r w:rsidR="00902151">
        <w:rPr>
          <w:sz w:val="22"/>
          <w:szCs w:val="22"/>
        </w:rPr>
        <w:t>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46F4B5D5" w:rsidR="009D3AA4" w:rsidRPr="002F7BE0" w:rsidRDefault="007C3D78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2F7BE0">
        <w:rPr>
          <w:rFonts w:ascii="Times-Bold" w:eastAsiaTheme="minorHAnsi" w:hAnsi="Times-Bold" w:cs="Times-Bold"/>
          <w:sz w:val="22"/>
          <w:szCs w:val="22"/>
          <w:lang w:eastAsia="en-US"/>
        </w:rPr>
        <w:t>KLARO, spol. s r.o.</w:t>
      </w:r>
    </w:p>
    <w:p w14:paraId="5EE075F4" w14:textId="4EF41927" w:rsidR="009D3AA4" w:rsidRPr="007C3D7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Ke H</w:t>
      </w:r>
      <w:r w:rsidR="007C3D78" w:rsidRPr="007C3D78">
        <w:rPr>
          <w:rFonts w:ascii="TimesNewRoman" w:eastAsiaTheme="minorHAnsi" w:hAnsi="TimesNewRoman" w:cs="TimesNewRoman"/>
          <w:b w:val="0"/>
          <w:bCs/>
          <w:sz w:val="22"/>
          <w:szCs w:val="22"/>
          <w:lang w:eastAsia="en-US"/>
        </w:rPr>
        <w:t>ř</w:t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išti 187, 289 11 Pe</w:t>
      </w:r>
      <w:r w:rsidR="007C3D78" w:rsidRPr="007C3D78">
        <w:rPr>
          <w:rFonts w:ascii="TimesNewRoman" w:eastAsiaTheme="minorHAnsi" w:hAnsi="TimesNewRoman" w:cs="TimesNewRoman"/>
          <w:b w:val="0"/>
          <w:bCs/>
          <w:sz w:val="22"/>
          <w:szCs w:val="22"/>
          <w:lang w:eastAsia="en-US"/>
        </w:rPr>
        <w:t>č</w:t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ky – Velké Chvalovice</w:t>
      </w:r>
    </w:p>
    <w:p w14:paraId="6FDF9EF7" w14:textId="3E004B6F" w:rsidR="002C3119" w:rsidRPr="007C3D78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>Zapsaná:</w:t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  <w:t xml:space="preserve">v obchodním rejstříku vedeném </w:t>
      </w:r>
      <w:r w:rsidR="007C3D78" w:rsidRPr="007C3D78">
        <w:rPr>
          <w:rFonts w:ascii="Times New Roman" w:hAnsi="Times New Roman"/>
          <w:b w:val="0"/>
          <w:bCs/>
          <w:sz w:val="22"/>
          <w:szCs w:val="22"/>
        </w:rPr>
        <w:t>městským</w:t>
      </w:r>
    </w:p>
    <w:p w14:paraId="6419FF1C" w14:textId="79F7407E" w:rsidR="009D3AA4" w:rsidRPr="007C3D78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>soudem v </w:t>
      </w:r>
      <w:r w:rsidR="007C3D78" w:rsidRPr="007C3D78">
        <w:rPr>
          <w:rFonts w:ascii="Times New Roman" w:hAnsi="Times New Roman"/>
          <w:b w:val="0"/>
          <w:bCs/>
          <w:sz w:val="22"/>
          <w:szCs w:val="22"/>
        </w:rPr>
        <w:t>Praze</w:t>
      </w:r>
      <w:r w:rsidRPr="007C3D78">
        <w:rPr>
          <w:rFonts w:ascii="Times New Roman" w:hAnsi="Times New Roman"/>
          <w:b w:val="0"/>
          <w:bCs/>
          <w:sz w:val="22"/>
          <w:szCs w:val="22"/>
        </w:rPr>
        <w:t xml:space="preserve"> oddíl </w:t>
      </w:r>
      <w:r w:rsidR="007C3D78" w:rsidRPr="007C3D78">
        <w:rPr>
          <w:rFonts w:ascii="Times New Roman" w:hAnsi="Times New Roman"/>
          <w:b w:val="0"/>
          <w:bCs/>
          <w:sz w:val="22"/>
          <w:szCs w:val="22"/>
        </w:rPr>
        <w:t>C,</w:t>
      </w:r>
      <w:r w:rsidRPr="007C3D78">
        <w:rPr>
          <w:rFonts w:ascii="Times New Roman" w:hAnsi="Times New Roman"/>
          <w:b w:val="0"/>
          <w:bCs/>
          <w:sz w:val="22"/>
          <w:szCs w:val="22"/>
        </w:rPr>
        <w:t xml:space="preserve"> vložka </w:t>
      </w:r>
      <w:r w:rsidR="007C3D78" w:rsidRPr="007C3D78">
        <w:rPr>
          <w:rFonts w:ascii="Times New Roman" w:hAnsi="Times New Roman"/>
          <w:b w:val="0"/>
          <w:bCs/>
          <w:sz w:val="22"/>
          <w:szCs w:val="22"/>
        </w:rPr>
        <w:t>28288</w:t>
      </w:r>
    </w:p>
    <w:p w14:paraId="545CBD79" w14:textId="4C4B2C1D" w:rsidR="009D3AA4" w:rsidRPr="007C3D7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 xml:space="preserve">IČ: </w:t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61460478</w:t>
      </w:r>
    </w:p>
    <w:p w14:paraId="04DD9ECE" w14:textId="1935C83A" w:rsidR="009D3AA4" w:rsidRPr="007C3D7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>DIČ:</w:t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CZ61460478</w:t>
      </w:r>
    </w:p>
    <w:p w14:paraId="45220221" w14:textId="601EB762" w:rsidR="009D3AA4" w:rsidRPr="007C3D78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>Jednající/zastoupený:</w:t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="00902151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…</w:t>
      </w:r>
      <w:proofErr w:type="gramStart"/>
      <w:r w:rsidR="00902151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…….</w:t>
      </w:r>
      <w:proofErr w:type="gramEnd"/>
      <w:r w:rsidR="00902151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.</w:t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 xml:space="preserve"> - prokurista</w:t>
      </w:r>
    </w:p>
    <w:p w14:paraId="738BC35C" w14:textId="7F3F3872" w:rsidR="009D3AA4" w:rsidRPr="007C3D78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bCs/>
          <w:sz w:val="22"/>
          <w:szCs w:val="22"/>
        </w:rPr>
      </w:pPr>
      <w:r w:rsidRPr="007C3D78">
        <w:rPr>
          <w:rFonts w:ascii="Times New Roman" w:hAnsi="Times New Roman"/>
          <w:b w:val="0"/>
          <w:bCs/>
          <w:sz w:val="22"/>
          <w:szCs w:val="22"/>
        </w:rPr>
        <w:t>Kontaktní osoba:</w:t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Pr="007C3D78">
        <w:rPr>
          <w:rFonts w:ascii="Times New Roman" w:hAnsi="Times New Roman"/>
          <w:b w:val="0"/>
          <w:bCs/>
          <w:sz w:val="22"/>
          <w:szCs w:val="22"/>
        </w:rPr>
        <w:tab/>
      </w:r>
      <w:r w:rsidR="00902151">
        <w:rPr>
          <w:rFonts w:ascii="Times-Roman" w:eastAsiaTheme="minorHAnsi" w:hAnsi="Times-Roman" w:cs="Times-Roman"/>
          <w:b w:val="0"/>
          <w:bCs/>
          <w:sz w:val="22"/>
          <w:szCs w:val="22"/>
          <w:lang w:eastAsia="en-US"/>
        </w:rPr>
        <w:t>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674E920C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 xml:space="preserve">Nákup </w:t>
      </w:r>
      <w:r w:rsidR="00F012DD">
        <w:rPr>
          <w:rFonts w:cstheme="minorHAnsi"/>
          <w:b/>
          <w:u w:val="single"/>
        </w:rPr>
        <w:t>vozíků na prádlo s nožním ovládáním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A04C82">
        <w:rPr>
          <w:sz w:val="22"/>
          <w:szCs w:val="22"/>
        </w:rPr>
        <w:t>T004/</w:t>
      </w:r>
      <w:proofErr w:type="gramStart"/>
      <w:r w:rsidR="005E1FC5" w:rsidRPr="00A04C82">
        <w:rPr>
          <w:sz w:val="22"/>
          <w:szCs w:val="22"/>
        </w:rPr>
        <w:t>25V</w:t>
      </w:r>
      <w:proofErr w:type="gramEnd"/>
      <w:r w:rsidR="005E1FC5" w:rsidRPr="00A04C82">
        <w:rPr>
          <w:sz w:val="22"/>
          <w:szCs w:val="22"/>
        </w:rPr>
        <w:t>/0000</w:t>
      </w:r>
      <w:r w:rsidR="00572B89">
        <w:rPr>
          <w:sz w:val="22"/>
          <w:szCs w:val="22"/>
        </w:rPr>
        <w:t>5</w:t>
      </w:r>
      <w:r w:rsidR="00F012DD">
        <w:rPr>
          <w:sz w:val="22"/>
          <w:szCs w:val="22"/>
        </w:rPr>
        <w:t>713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46AED7AA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F012DD" w:rsidRPr="00F012DD">
        <w:rPr>
          <w:rFonts w:cstheme="minorHAnsi"/>
          <w:b/>
          <w:sz w:val="22"/>
          <w:szCs w:val="22"/>
          <w:u w:val="single"/>
        </w:rPr>
        <w:t>6x</w:t>
      </w:r>
      <w:r w:rsidR="00F012DD" w:rsidRPr="00F012DD">
        <w:rPr>
          <w:rFonts w:cstheme="minorHAnsi"/>
          <w:b/>
          <w:bCs/>
          <w:sz w:val="22"/>
          <w:szCs w:val="22"/>
          <w:u w:val="single"/>
        </w:rPr>
        <w:t xml:space="preserve"> vozík na prádlo s nožním ovládáním s jedním</w:t>
      </w:r>
      <w:r w:rsidR="00F012DD" w:rsidRPr="00F012DD">
        <w:rPr>
          <w:rFonts w:cstheme="minorHAnsi"/>
          <w:b/>
          <w:bCs/>
          <w:sz w:val="22"/>
          <w:szCs w:val="22"/>
          <w:u w:val="single"/>
          <w:shd w:val="clear" w:color="auto" w:fill="FFFFFF"/>
        </w:rPr>
        <w:t xml:space="preserve"> držákem vaku o objemu 120 l</w:t>
      </w:r>
      <w:r w:rsidR="00F012DD" w:rsidRPr="00F012DD">
        <w:rPr>
          <w:rFonts w:cstheme="minorHAnsi"/>
          <w:b/>
          <w:bCs/>
          <w:sz w:val="22"/>
          <w:szCs w:val="22"/>
          <w:u w:val="single"/>
        </w:rPr>
        <w:t>, 3x vozík na prádlo s nožním ovládáním se čtyřmi držáky vaku o objemu 120 l</w:t>
      </w:r>
      <w:r w:rsidR="00572B89" w:rsidRPr="00F012DD">
        <w:rPr>
          <w:b/>
          <w:bCs/>
          <w:sz w:val="22"/>
          <w:szCs w:val="22"/>
          <w:u w:val="single"/>
        </w:rPr>
        <w:t>.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A8C543C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F012DD">
        <w:rPr>
          <w:rFonts w:eastAsia="Calibri"/>
          <w:b/>
          <w:bCs/>
          <w:sz w:val="22"/>
          <w:szCs w:val="22"/>
        </w:rPr>
        <w:t>2 měsíců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462F1DE0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7C3D78">
        <w:rPr>
          <w:rFonts w:ascii="Times-Bold" w:eastAsiaTheme="minorHAnsi" w:hAnsi="Times-Bold" w:cs="Times-Bold"/>
          <w:b/>
          <w:bCs/>
          <w:sz w:val="22"/>
          <w:szCs w:val="22"/>
          <w:lang w:eastAsia="en-US"/>
        </w:rPr>
        <w:t xml:space="preserve">78 888,00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7C3D78">
        <w:rPr>
          <w:sz w:val="22"/>
          <w:szCs w:val="22"/>
        </w:rPr>
        <w:br/>
      </w:r>
      <w:r w:rsidR="007C3D78">
        <w:rPr>
          <w:rFonts w:ascii="Times-Roman" w:eastAsiaTheme="minorHAnsi" w:hAnsi="Times-Roman" w:cs="Times-Roman"/>
          <w:sz w:val="22"/>
          <w:szCs w:val="22"/>
          <w:lang w:eastAsia="en-US"/>
        </w:rPr>
        <w:t xml:space="preserve">16 566,48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7C3D78">
        <w:rPr>
          <w:rFonts w:ascii="Times-Bold" w:eastAsiaTheme="minorHAnsi" w:hAnsi="Times-Bold" w:cs="Times-Bold"/>
          <w:b/>
          <w:bCs/>
          <w:sz w:val="22"/>
          <w:szCs w:val="22"/>
          <w:lang w:eastAsia="en-US"/>
        </w:rPr>
        <w:t xml:space="preserve">95 454,48 </w:t>
      </w:r>
      <w:r w:rsidR="002E0AFA">
        <w:rPr>
          <w:b/>
          <w:sz w:val="22"/>
          <w:szCs w:val="22"/>
        </w:rPr>
        <w:t>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0F29775" w:rsidR="000E3AF4" w:rsidRPr="007C3D78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bCs/>
          <w:sz w:val="22"/>
          <w:szCs w:val="22"/>
          <w:u w:val="single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7C3D78" w:rsidRPr="007C3D78">
        <w:rPr>
          <w:rFonts w:ascii="Times-Roman" w:eastAsiaTheme="minorHAnsi" w:hAnsi="Times-Roman" w:cs="Times-Roman"/>
          <w:b w:val="0"/>
          <w:bCs/>
          <w:sz w:val="22"/>
          <w:szCs w:val="22"/>
          <w:u w:val="single"/>
          <w:lang w:eastAsia="en-US"/>
        </w:rPr>
        <w:t>velkoobchod@klaro.cz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78C25A52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– podrobný rozpis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39CD9313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902151">
        <w:rPr>
          <w:color w:val="000000"/>
          <w:sz w:val="22"/>
          <w:szCs w:val="22"/>
        </w:rPr>
        <w:t>9.4.2025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 …………………</w:t>
      </w:r>
      <w:r w:rsidR="0069558D">
        <w:rPr>
          <w:color w:val="000000"/>
          <w:sz w:val="22"/>
          <w:szCs w:val="22"/>
        </w:rPr>
        <w:t>…</w:t>
      </w:r>
      <w:r w:rsidRPr="007D54F6">
        <w:rPr>
          <w:color w:val="000000"/>
          <w:sz w:val="22"/>
          <w:szCs w:val="22"/>
        </w:rPr>
        <w:t xml:space="preserve">, dne </w:t>
      </w:r>
      <w:r w:rsidR="00902151">
        <w:rPr>
          <w:color w:val="000000"/>
          <w:sz w:val="22"/>
          <w:szCs w:val="22"/>
        </w:rPr>
        <w:t>7.4.2025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0AE285F1" w14:textId="633D4EBC" w:rsidR="00583CC5" w:rsidRPr="007D54F6" w:rsidRDefault="00583CC5" w:rsidP="007C3D78">
      <w:pPr>
        <w:pStyle w:val="Styl"/>
        <w:tabs>
          <w:tab w:val="left" w:pos="6379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="007C3D78">
        <w:rPr>
          <w:color w:val="000000"/>
          <w:sz w:val="22"/>
          <w:szCs w:val="22"/>
        </w:rPr>
        <w:tab/>
        <w:t>prokurista</w:t>
      </w:r>
      <w:r w:rsidRPr="007D54F6">
        <w:rPr>
          <w:color w:val="000000"/>
          <w:sz w:val="22"/>
          <w:szCs w:val="22"/>
        </w:rPr>
        <w:tab/>
      </w:r>
    </w:p>
    <w:p w14:paraId="2F391DFB" w14:textId="1075F611" w:rsidR="00583CC5" w:rsidRDefault="00583CC5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 w:rsidR="007C3D78">
        <w:rPr>
          <w:color w:val="000000"/>
          <w:sz w:val="22"/>
          <w:szCs w:val="22"/>
        </w:rPr>
        <w:tab/>
        <w:t>KLARO, spol. s.r.o.</w:t>
      </w:r>
      <w:r>
        <w:rPr>
          <w:color w:val="000000"/>
        </w:rPr>
        <w:tab/>
        <w:t xml:space="preserve">     </w:t>
      </w:r>
    </w:p>
    <w:p w14:paraId="186DA84B" w14:textId="41DE0EFA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7EF15C77" w14:textId="0C7544A8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09D7AB97" w14:textId="1E9022F6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1A99EFCA" w14:textId="77777777" w:rsidR="00902151" w:rsidRDefault="00902151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3C718745" w14:textId="6A5F3097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60D7F87B" w14:textId="5864688A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color w:val="000000"/>
        </w:rPr>
      </w:pPr>
    </w:p>
    <w:p w14:paraId="114F8664" w14:textId="77777777" w:rsidR="00DF702A" w:rsidRDefault="00DF702A" w:rsidP="00DF702A">
      <w:pPr>
        <w:jc w:val="both"/>
        <w:rPr>
          <w:rFonts w:ascii="Calibri" w:hAnsi="Calibri" w:cs="Calibri"/>
          <w:b/>
          <w:i/>
        </w:rPr>
      </w:pPr>
      <w:bookmarkStart w:id="0" w:name="_Hlk188592669"/>
      <w:bookmarkEnd w:id="0"/>
      <w:r w:rsidRPr="00485535">
        <w:rPr>
          <w:rFonts w:ascii="Calibri" w:hAnsi="Calibri" w:cs="Calibri"/>
          <w:b/>
        </w:rPr>
        <w:lastRenderedPageBreak/>
        <w:t>Příloha č. 1 - Specifikace předmětu plnění</w:t>
      </w:r>
      <w:r>
        <w:rPr>
          <w:rFonts w:ascii="Calibri" w:hAnsi="Calibri" w:cs="Calibri"/>
          <w:b/>
        </w:rPr>
        <w:t xml:space="preserve"> – podrobný rozpis nabídkové ceny</w:t>
      </w:r>
      <w:r w:rsidRPr="00485535">
        <w:rPr>
          <w:rFonts w:ascii="Calibri" w:hAnsi="Calibri" w:cs="Calibri"/>
          <w:b/>
          <w:i/>
        </w:rPr>
        <w:tab/>
      </w:r>
      <w:r w:rsidRPr="00485535">
        <w:rPr>
          <w:rFonts w:ascii="Calibri" w:hAnsi="Calibri" w:cs="Calibri"/>
          <w:b/>
          <w:i/>
        </w:rPr>
        <w:tab/>
      </w:r>
    </w:p>
    <w:p w14:paraId="32E353EA" w14:textId="77777777" w:rsidR="00DF702A" w:rsidRPr="00AE79E8" w:rsidRDefault="00DF702A" w:rsidP="00DF702A">
      <w:pPr>
        <w:jc w:val="both"/>
        <w:rPr>
          <w:rFonts w:ascii="Calibri" w:hAnsi="Calibri" w:cs="Calibri"/>
          <w:b/>
          <w:i/>
        </w:rPr>
      </w:pPr>
    </w:p>
    <w:p w14:paraId="56170A94" w14:textId="77777777" w:rsidR="00DF702A" w:rsidRPr="00485535" w:rsidRDefault="00DF702A" w:rsidP="00DF702A">
      <w:pPr>
        <w:pStyle w:val="Default"/>
        <w:numPr>
          <w:ilvl w:val="0"/>
          <w:numId w:val="35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485535">
        <w:rPr>
          <w:rFonts w:asciiTheme="minorHAnsi" w:hAnsiTheme="minorHAnsi" w:cstheme="minorHAnsi"/>
          <w:b/>
          <w:bCs/>
          <w:u w:val="single"/>
        </w:rPr>
        <w:t xml:space="preserve">Manipulační vozík </w:t>
      </w:r>
      <w:r>
        <w:rPr>
          <w:rFonts w:asciiTheme="minorHAnsi" w:hAnsiTheme="minorHAnsi" w:cstheme="minorHAnsi"/>
          <w:b/>
          <w:bCs/>
          <w:u w:val="single"/>
        </w:rPr>
        <w:t xml:space="preserve">s nožním ovládáním (1 držák </w:t>
      </w:r>
      <w:proofErr w:type="gramStart"/>
      <w:r>
        <w:rPr>
          <w:rFonts w:asciiTheme="minorHAnsi" w:hAnsiTheme="minorHAnsi" w:cstheme="minorHAnsi"/>
          <w:b/>
          <w:bCs/>
          <w:u w:val="single"/>
        </w:rPr>
        <w:t>vaku)</w:t>
      </w:r>
      <w:r w:rsidRPr="00485535">
        <w:rPr>
          <w:rFonts w:asciiTheme="minorHAnsi" w:hAnsiTheme="minorHAnsi" w:cstheme="minorHAnsi"/>
          <w:b/>
          <w:bCs/>
          <w:u w:val="single"/>
        </w:rPr>
        <w:t xml:space="preserve">   </w:t>
      </w:r>
      <w:proofErr w:type="gramEnd"/>
      <w:r w:rsidRPr="00485535">
        <w:rPr>
          <w:rFonts w:asciiTheme="minorHAnsi" w:hAnsiTheme="minorHAnsi" w:cstheme="minorHAnsi"/>
          <w:b/>
          <w:bCs/>
          <w:u w:val="single"/>
        </w:rPr>
        <w:t xml:space="preserve">                              </w:t>
      </w:r>
      <w:r w:rsidRPr="00485535">
        <w:rPr>
          <w:rFonts w:asciiTheme="minorHAnsi" w:hAnsiTheme="minorHAnsi" w:cstheme="minorHAnsi"/>
          <w:b/>
          <w:bCs/>
          <w:u w:val="single"/>
        </w:rPr>
        <w:tab/>
      </w:r>
      <w:r>
        <w:rPr>
          <w:rFonts w:asciiTheme="minorHAnsi" w:hAnsiTheme="minorHAnsi" w:cstheme="minorHAnsi"/>
          <w:b/>
          <w:bCs/>
          <w:u w:val="single"/>
        </w:rPr>
        <w:t>6</w:t>
      </w:r>
      <w:r w:rsidRPr="00485535">
        <w:rPr>
          <w:rFonts w:asciiTheme="minorHAnsi" w:hAnsiTheme="minorHAnsi" w:cstheme="minorHAnsi"/>
          <w:b/>
          <w:bCs/>
          <w:u w:val="single"/>
        </w:rPr>
        <w:t xml:space="preserve">x </w:t>
      </w:r>
    </w:p>
    <w:p w14:paraId="4CFDB00C" w14:textId="77777777" w:rsidR="00DF702A" w:rsidRPr="00485535" w:rsidRDefault="00DF702A" w:rsidP="00DF702A"/>
    <w:p w14:paraId="3B57A5DC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>
        <w:rPr>
          <w:rFonts w:cstheme="minorHAnsi"/>
          <w:color w:val="0D0D0D"/>
          <w:shd w:val="clear" w:color="auto" w:fill="FFFFFF"/>
        </w:rPr>
        <w:t>rozměry vozíku: š</w:t>
      </w:r>
      <w:r w:rsidRPr="00485535">
        <w:rPr>
          <w:rFonts w:cstheme="minorHAnsi"/>
          <w:color w:val="0D0D0D"/>
          <w:shd w:val="clear" w:color="auto" w:fill="FFFFFF"/>
        </w:rPr>
        <w:t>5</w:t>
      </w:r>
      <w:r>
        <w:rPr>
          <w:rFonts w:cstheme="minorHAnsi"/>
          <w:color w:val="0D0D0D"/>
          <w:shd w:val="clear" w:color="auto" w:fill="FFFFFF"/>
        </w:rPr>
        <w:t>4</w:t>
      </w:r>
      <w:r w:rsidRPr="00485535">
        <w:rPr>
          <w:rFonts w:cstheme="minorHAnsi"/>
          <w:color w:val="0D0D0D"/>
          <w:shd w:val="clear" w:color="auto" w:fill="FFFFFF"/>
        </w:rPr>
        <w:t xml:space="preserve"> cm x </w:t>
      </w:r>
      <w:r>
        <w:rPr>
          <w:rFonts w:cstheme="minorHAnsi"/>
          <w:color w:val="0D0D0D"/>
          <w:shd w:val="clear" w:color="auto" w:fill="FFFFFF"/>
        </w:rPr>
        <w:t>h</w:t>
      </w:r>
      <w:r w:rsidRPr="00485535">
        <w:rPr>
          <w:rFonts w:cstheme="minorHAnsi"/>
          <w:color w:val="0D0D0D"/>
          <w:shd w:val="clear" w:color="auto" w:fill="FFFFFF"/>
        </w:rPr>
        <w:t>5</w:t>
      </w:r>
      <w:r>
        <w:rPr>
          <w:rFonts w:cstheme="minorHAnsi"/>
          <w:color w:val="0D0D0D"/>
          <w:shd w:val="clear" w:color="auto" w:fill="FFFFFF"/>
        </w:rPr>
        <w:t>3</w:t>
      </w:r>
      <w:r w:rsidRPr="00485535">
        <w:rPr>
          <w:rFonts w:cstheme="minorHAnsi"/>
          <w:color w:val="0D0D0D"/>
          <w:shd w:val="clear" w:color="auto" w:fill="FFFFFF"/>
        </w:rPr>
        <w:t xml:space="preserve"> cm x </w:t>
      </w:r>
      <w:r>
        <w:rPr>
          <w:rFonts w:cstheme="minorHAnsi"/>
          <w:color w:val="0D0D0D"/>
          <w:shd w:val="clear" w:color="auto" w:fill="FFFFFF"/>
        </w:rPr>
        <w:t>v</w:t>
      </w:r>
      <w:r w:rsidRPr="00485535">
        <w:rPr>
          <w:rFonts w:cstheme="minorHAnsi"/>
          <w:color w:val="0D0D0D"/>
          <w:shd w:val="clear" w:color="auto" w:fill="FFFFFF"/>
        </w:rPr>
        <w:t xml:space="preserve">108 cm </w:t>
      </w:r>
      <w:r>
        <w:rPr>
          <w:rFonts w:cstheme="minorHAnsi"/>
          <w:color w:val="0D0D0D"/>
          <w:shd w:val="clear" w:color="auto" w:fill="FFFFFF"/>
        </w:rPr>
        <w:t xml:space="preserve">(+- </w:t>
      </w:r>
      <w:proofErr w:type="gramStart"/>
      <w:r>
        <w:rPr>
          <w:rFonts w:cstheme="minorHAnsi"/>
          <w:color w:val="0D0D0D"/>
          <w:shd w:val="clear" w:color="auto" w:fill="FFFFFF"/>
        </w:rPr>
        <w:t>2cm</w:t>
      </w:r>
      <w:proofErr w:type="gramEnd"/>
      <w:r>
        <w:rPr>
          <w:rFonts w:cstheme="minorHAnsi"/>
          <w:color w:val="0D0D0D"/>
          <w:shd w:val="clear" w:color="auto" w:fill="FFFFFF"/>
        </w:rPr>
        <w:t>)</w:t>
      </w:r>
    </w:p>
    <w:p w14:paraId="2C82B92C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 w:rsidRPr="00485535">
        <w:rPr>
          <w:rFonts w:cstheme="minorHAnsi"/>
          <w:color w:val="0D0D0D"/>
          <w:shd w:val="clear" w:color="auto" w:fill="FFFFFF"/>
        </w:rPr>
        <w:t>konstrukce: ocel s práškovou barvou, antimikrobiální povrch</w:t>
      </w:r>
    </w:p>
    <w:p w14:paraId="2E069511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 w:rsidRPr="00485535">
        <w:rPr>
          <w:rFonts w:cstheme="minorHAnsi"/>
          <w:color w:val="0D0D0D"/>
          <w:shd w:val="clear" w:color="auto" w:fill="FFFFFF"/>
        </w:rPr>
        <w:t>sklopný držák vaku: 1x 120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485535">
        <w:rPr>
          <w:rFonts w:cstheme="minorHAnsi"/>
          <w:color w:val="0D0D0D"/>
          <w:shd w:val="clear" w:color="auto" w:fill="FFFFFF"/>
        </w:rPr>
        <w:t>l s víkem;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485535">
        <w:rPr>
          <w:rFonts w:cstheme="minorHAnsi"/>
          <w:color w:val="0D0D0D"/>
          <w:shd w:val="clear" w:color="auto" w:fill="FFFFFF"/>
        </w:rPr>
        <w:t xml:space="preserve">nosnost: </w:t>
      </w:r>
      <w:r>
        <w:rPr>
          <w:rFonts w:cstheme="minorHAnsi"/>
          <w:color w:val="0D0D0D"/>
          <w:shd w:val="clear" w:color="auto" w:fill="FFFFFF"/>
        </w:rPr>
        <w:t xml:space="preserve">min. </w:t>
      </w:r>
      <w:r w:rsidRPr="00485535">
        <w:rPr>
          <w:rFonts w:cstheme="minorHAnsi"/>
          <w:color w:val="0D0D0D"/>
          <w:shd w:val="clear" w:color="auto" w:fill="FFFFFF"/>
        </w:rPr>
        <w:t>30 kg</w:t>
      </w:r>
    </w:p>
    <w:p w14:paraId="4D917CF9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 w:rsidRPr="00485535">
        <w:rPr>
          <w:rFonts w:cstheme="minorHAnsi"/>
          <w:color w:val="0D0D0D"/>
          <w:shd w:val="clear" w:color="auto" w:fill="FFFFFF"/>
        </w:rPr>
        <w:t xml:space="preserve">4x otočné kolo d=7,5 cm, 2x brzda; plast. </w:t>
      </w:r>
      <w:r>
        <w:rPr>
          <w:rFonts w:cstheme="minorHAnsi"/>
          <w:color w:val="0D0D0D"/>
          <w:shd w:val="clear" w:color="auto" w:fill="FFFFFF"/>
        </w:rPr>
        <w:t>n</w:t>
      </w:r>
      <w:r w:rsidRPr="00485535">
        <w:rPr>
          <w:rFonts w:cstheme="minorHAnsi"/>
          <w:color w:val="0D0D0D"/>
          <w:shd w:val="clear" w:color="auto" w:fill="FFFFFF"/>
        </w:rPr>
        <w:t>árazníky</w:t>
      </w:r>
    </w:p>
    <w:p w14:paraId="61744774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 w:rsidRPr="00485535">
        <w:rPr>
          <w:rFonts w:cstheme="minorHAnsi"/>
          <w:color w:val="0D0D0D"/>
          <w:shd w:val="clear" w:color="auto" w:fill="FFFFFF"/>
        </w:rPr>
        <w:t xml:space="preserve">celková nosnost: </w:t>
      </w:r>
      <w:r>
        <w:rPr>
          <w:rFonts w:cstheme="minorHAnsi"/>
          <w:color w:val="0D0D0D"/>
          <w:shd w:val="clear" w:color="auto" w:fill="FFFFFF"/>
        </w:rPr>
        <w:t xml:space="preserve">min. </w:t>
      </w:r>
      <w:r w:rsidRPr="00485535">
        <w:rPr>
          <w:rFonts w:cstheme="minorHAnsi"/>
          <w:color w:val="0D0D0D"/>
          <w:shd w:val="clear" w:color="auto" w:fill="FFFFFF"/>
        </w:rPr>
        <w:t>30 kg</w:t>
      </w:r>
    </w:p>
    <w:p w14:paraId="44E615AA" w14:textId="77777777" w:rsidR="00DF702A" w:rsidRPr="00485535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>
        <w:rPr>
          <w:rFonts w:cstheme="minorHAnsi"/>
          <w:color w:val="0D0D0D"/>
          <w:shd w:val="clear" w:color="auto" w:fill="FFFFFF"/>
        </w:rPr>
        <w:t xml:space="preserve">požadavky na barvy vík: </w:t>
      </w:r>
    </w:p>
    <w:p w14:paraId="49DA0382" w14:textId="77777777" w:rsidR="00DF702A" w:rsidRDefault="00DF702A" w:rsidP="00DF702A">
      <w:pPr>
        <w:pStyle w:val="Odstavecseseznamem"/>
        <w:numPr>
          <w:ilvl w:val="1"/>
          <w:numId w:val="36"/>
        </w:numPr>
        <w:spacing w:after="160" w:line="259" w:lineRule="auto"/>
        <w:ind w:left="2410"/>
        <w:rPr>
          <w:rFonts w:cstheme="minorHAnsi"/>
          <w:bCs/>
        </w:rPr>
      </w:pPr>
      <w:r w:rsidRPr="00485535">
        <w:rPr>
          <w:noProof/>
        </w:rPr>
        <w:drawing>
          <wp:anchor distT="0" distB="0" distL="114300" distR="114300" simplePos="0" relativeHeight="251659264" behindDoc="1" locked="0" layoutInCell="1" allowOverlap="1" wp14:anchorId="15238F0D" wp14:editId="1033B05B">
            <wp:simplePos x="0" y="0"/>
            <wp:positionH relativeFrom="margin">
              <wp:posOffset>4019550</wp:posOffset>
            </wp:positionH>
            <wp:positionV relativeFrom="paragraph">
              <wp:posOffset>8255</wp:posOffset>
            </wp:positionV>
            <wp:extent cx="196723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335" y="21462"/>
                <wp:lineTo x="213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</w:rPr>
        <w:t>Vozík se žlutým víkem</w:t>
      </w:r>
      <w:r>
        <w:rPr>
          <w:rFonts w:cstheme="minorHAnsi"/>
          <w:bCs/>
        </w:rPr>
        <w:tab/>
        <w:t>2x</w:t>
      </w:r>
    </w:p>
    <w:p w14:paraId="4BC56985" w14:textId="77777777" w:rsidR="00DF702A" w:rsidRDefault="00DF702A" w:rsidP="00DF702A">
      <w:pPr>
        <w:pStyle w:val="Odstavecseseznamem"/>
        <w:numPr>
          <w:ilvl w:val="1"/>
          <w:numId w:val="36"/>
        </w:numPr>
        <w:spacing w:after="160" w:line="259" w:lineRule="auto"/>
        <w:ind w:left="2410"/>
        <w:rPr>
          <w:rFonts w:cstheme="minorHAnsi"/>
          <w:bCs/>
        </w:rPr>
      </w:pPr>
      <w:r>
        <w:rPr>
          <w:rFonts w:cstheme="minorHAnsi"/>
          <w:bCs/>
        </w:rPr>
        <w:t>Vozík s modrým víkem</w:t>
      </w:r>
      <w:r>
        <w:rPr>
          <w:rFonts w:cstheme="minorHAnsi"/>
          <w:bCs/>
        </w:rPr>
        <w:tab/>
        <w:t>2x</w:t>
      </w:r>
    </w:p>
    <w:p w14:paraId="6F6DDE3E" w14:textId="77777777" w:rsidR="00DF702A" w:rsidRDefault="00DF702A" w:rsidP="00DF702A">
      <w:pPr>
        <w:pStyle w:val="Odstavecseseznamem"/>
        <w:numPr>
          <w:ilvl w:val="1"/>
          <w:numId w:val="36"/>
        </w:numPr>
        <w:spacing w:after="160" w:line="259" w:lineRule="auto"/>
        <w:ind w:left="2410"/>
        <w:rPr>
          <w:rFonts w:cstheme="minorHAnsi"/>
          <w:bCs/>
        </w:rPr>
      </w:pPr>
      <w:r>
        <w:rPr>
          <w:rFonts w:cstheme="minorHAnsi"/>
          <w:bCs/>
        </w:rPr>
        <w:t>Vozík se zeleným víkem</w:t>
      </w:r>
      <w:r>
        <w:rPr>
          <w:rFonts w:cstheme="minorHAnsi"/>
          <w:bCs/>
        </w:rPr>
        <w:tab/>
        <w:t>1x</w:t>
      </w:r>
    </w:p>
    <w:p w14:paraId="64F3E2F0" w14:textId="77777777" w:rsidR="00DF702A" w:rsidRPr="00485535" w:rsidRDefault="00DF702A" w:rsidP="00DF702A">
      <w:pPr>
        <w:pStyle w:val="Odstavecseseznamem"/>
        <w:numPr>
          <w:ilvl w:val="1"/>
          <w:numId w:val="36"/>
        </w:numPr>
        <w:spacing w:after="160" w:line="259" w:lineRule="auto"/>
        <w:ind w:left="2410"/>
        <w:rPr>
          <w:rFonts w:cstheme="minorHAnsi"/>
          <w:bCs/>
        </w:rPr>
      </w:pPr>
      <w:r>
        <w:rPr>
          <w:rFonts w:cstheme="minorHAnsi"/>
          <w:bCs/>
        </w:rPr>
        <w:t>Vozík s červeným víkem</w:t>
      </w:r>
      <w:r>
        <w:rPr>
          <w:rFonts w:cstheme="minorHAnsi"/>
          <w:bCs/>
        </w:rPr>
        <w:tab/>
        <w:t>1x</w:t>
      </w:r>
    </w:p>
    <w:p w14:paraId="7B55F91C" w14:textId="77777777" w:rsidR="00DF702A" w:rsidRPr="002F30EE" w:rsidRDefault="00DF702A" w:rsidP="00DF702A">
      <w:pPr>
        <w:rPr>
          <w:rFonts w:cstheme="minorHAnsi"/>
          <w:bCs/>
          <w:sz w:val="23"/>
          <w:szCs w:val="23"/>
        </w:rPr>
      </w:pPr>
      <w:r w:rsidRPr="00485535">
        <w:rPr>
          <w:noProof/>
        </w:rPr>
        <w:drawing>
          <wp:anchor distT="0" distB="0" distL="114300" distR="114300" simplePos="0" relativeHeight="251660288" behindDoc="1" locked="0" layoutInCell="1" allowOverlap="1" wp14:anchorId="2A01433D" wp14:editId="0D7D4D23">
            <wp:simplePos x="0" y="0"/>
            <wp:positionH relativeFrom="margin">
              <wp:posOffset>171450</wp:posOffset>
            </wp:positionH>
            <wp:positionV relativeFrom="paragraph">
              <wp:posOffset>263525</wp:posOffset>
            </wp:positionV>
            <wp:extent cx="2966720" cy="2676525"/>
            <wp:effectExtent l="0" t="0" r="5080" b="9525"/>
            <wp:wrapTight wrapText="bothSides">
              <wp:wrapPolygon edited="0">
                <wp:start x="0" y="0"/>
                <wp:lineTo x="0" y="21523"/>
                <wp:lineTo x="21498" y="21523"/>
                <wp:lineTo x="21498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6693">
        <w:rPr>
          <w:rFonts w:cstheme="minorHAnsi"/>
          <w:bCs/>
          <w:sz w:val="23"/>
          <w:szCs w:val="23"/>
        </w:rPr>
        <w:t xml:space="preserve">                                                        </w:t>
      </w:r>
      <w:r>
        <w:rPr>
          <w:rFonts w:cstheme="minorHAnsi"/>
          <w:bCs/>
          <w:sz w:val="23"/>
          <w:szCs w:val="23"/>
        </w:rPr>
        <w:t xml:space="preserve">                                                             </w:t>
      </w:r>
      <w:r w:rsidRPr="00FB6693">
        <w:rPr>
          <w:rFonts w:cstheme="minorHAnsi"/>
          <w:bCs/>
          <w:sz w:val="23"/>
          <w:szCs w:val="23"/>
        </w:rPr>
        <w:t xml:space="preserve"> </w:t>
      </w:r>
    </w:p>
    <w:p w14:paraId="2C42A4E7" w14:textId="77777777" w:rsidR="00DF702A" w:rsidRDefault="00DF702A" w:rsidP="00DF702A">
      <w:pPr>
        <w:ind w:left="6372" w:firstLine="432"/>
      </w:pPr>
      <w:r>
        <w:t xml:space="preserve">       Ilustrační obrázek</w:t>
      </w:r>
    </w:p>
    <w:p w14:paraId="13BD03F8" w14:textId="77777777" w:rsidR="00DF702A" w:rsidRDefault="00DF702A" w:rsidP="00DF702A">
      <w:pPr>
        <w:ind w:left="6372" w:firstLine="432"/>
      </w:pPr>
    </w:p>
    <w:p w14:paraId="554DF099" w14:textId="77777777" w:rsidR="00DF702A" w:rsidRDefault="00DF702A" w:rsidP="00DF702A">
      <w:pPr>
        <w:ind w:left="6372" w:firstLine="432"/>
      </w:pPr>
    </w:p>
    <w:p w14:paraId="2A13FD91" w14:textId="77777777" w:rsidR="00DF702A" w:rsidRDefault="00DF702A" w:rsidP="00DF702A">
      <w:pPr>
        <w:ind w:left="1701" w:firstLine="432"/>
      </w:pPr>
      <w:r>
        <w:t>Ilustrační obrázek</w:t>
      </w:r>
    </w:p>
    <w:p w14:paraId="5BF3714D" w14:textId="77777777" w:rsidR="00DF702A" w:rsidRDefault="00DF702A" w:rsidP="00DF702A"/>
    <w:p w14:paraId="254E77B5" w14:textId="77777777" w:rsidR="00DF702A" w:rsidRPr="00B71345" w:rsidRDefault="00DF702A" w:rsidP="00DF702A">
      <w:pPr>
        <w:pStyle w:val="Odstavecseseznamem"/>
        <w:numPr>
          <w:ilvl w:val="0"/>
          <w:numId w:val="35"/>
        </w:numPr>
        <w:spacing w:after="160" w:line="259" w:lineRule="auto"/>
      </w:pPr>
      <w:r w:rsidRPr="00B71345">
        <w:rPr>
          <w:rFonts w:cstheme="minorHAnsi"/>
          <w:b/>
          <w:bCs/>
          <w:u w:val="single"/>
        </w:rPr>
        <w:t xml:space="preserve">Manipulační vozík s nožním ovládáním (4 držáky </w:t>
      </w:r>
      <w:proofErr w:type="gramStart"/>
      <w:r w:rsidRPr="00B71345">
        <w:rPr>
          <w:rFonts w:cstheme="minorHAnsi"/>
          <w:b/>
          <w:bCs/>
          <w:u w:val="single"/>
        </w:rPr>
        <w:t xml:space="preserve">vaku)   </w:t>
      </w:r>
      <w:proofErr w:type="gramEnd"/>
      <w:r w:rsidRPr="00B71345">
        <w:rPr>
          <w:rFonts w:cstheme="minorHAnsi"/>
          <w:b/>
          <w:bCs/>
          <w:u w:val="single"/>
        </w:rPr>
        <w:t xml:space="preserve">                             </w:t>
      </w:r>
      <w:r w:rsidRPr="00B71345">
        <w:rPr>
          <w:rFonts w:cstheme="minorHAnsi"/>
          <w:b/>
          <w:bCs/>
          <w:u w:val="single"/>
        </w:rPr>
        <w:tab/>
        <w:t>3x</w:t>
      </w:r>
    </w:p>
    <w:p w14:paraId="4E532156" w14:textId="77777777" w:rsidR="00DF702A" w:rsidRPr="00B71345" w:rsidRDefault="00DF702A" w:rsidP="00DF702A">
      <w:pPr>
        <w:pStyle w:val="Odstavecseseznamem"/>
      </w:pPr>
    </w:p>
    <w:p w14:paraId="6632BE20" w14:textId="77777777" w:rsidR="00DF702A" w:rsidRPr="00ED7077" w:rsidRDefault="00DF702A" w:rsidP="00DF702A">
      <w:pPr>
        <w:pStyle w:val="Odstavecseseznamem"/>
        <w:numPr>
          <w:ilvl w:val="0"/>
          <w:numId w:val="36"/>
        </w:numPr>
        <w:spacing w:after="160" w:line="259" w:lineRule="auto"/>
        <w:rPr>
          <w:rFonts w:cstheme="minorHAnsi"/>
          <w:bCs/>
        </w:rPr>
      </w:pPr>
      <w:r w:rsidRPr="00B71345">
        <w:rPr>
          <w:rFonts w:cstheme="minorHAnsi"/>
          <w:shd w:val="clear" w:color="auto" w:fill="FFFFFF"/>
        </w:rPr>
        <w:t xml:space="preserve">rozměry vozíku: </w:t>
      </w:r>
      <w:r>
        <w:rPr>
          <w:rFonts w:cstheme="minorHAnsi"/>
          <w:shd w:val="clear" w:color="auto" w:fill="FFFFFF"/>
        </w:rPr>
        <w:t>š</w:t>
      </w:r>
      <w:r w:rsidRPr="00B71345">
        <w:rPr>
          <w:rFonts w:cstheme="minorHAnsi"/>
          <w:shd w:val="clear" w:color="auto" w:fill="FFFFFF"/>
        </w:rPr>
        <w:t xml:space="preserve">196 cm x </w:t>
      </w:r>
      <w:r>
        <w:rPr>
          <w:rFonts w:cstheme="minorHAnsi"/>
          <w:shd w:val="clear" w:color="auto" w:fill="FFFFFF"/>
        </w:rPr>
        <w:t>h</w:t>
      </w:r>
      <w:r w:rsidRPr="00B71345">
        <w:rPr>
          <w:rFonts w:cstheme="minorHAnsi"/>
          <w:shd w:val="clear" w:color="auto" w:fill="FFFFFF"/>
        </w:rPr>
        <w:t xml:space="preserve">53 cm x </w:t>
      </w:r>
      <w:r>
        <w:rPr>
          <w:rFonts w:cstheme="minorHAnsi"/>
          <w:shd w:val="clear" w:color="auto" w:fill="FFFFFF"/>
        </w:rPr>
        <w:t>v</w:t>
      </w:r>
      <w:r w:rsidRPr="00B71345">
        <w:rPr>
          <w:rFonts w:cstheme="minorHAnsi"/>
          <w:shd w:val="clear" w:color="auto" w:fill="FFFFFF"/>
        </w:rPr>
        <w:t xml:space="preserve">108 cm </w:t>
      </w:r>
      <w:r>
        <w:rPr>
          <w:rFonts w:cstheme="minorHAnsi"/>
          <w:color w:val="0D0D0D"/>
          <w:shd w:val="clear" w:color="auto" w:fill="FFFFFF"/>
        </w:rPr>
        <w:t xml:space="preserve">(+- </w:t>
      </w:r>
      <w:proofErr w:type="gramStart"/>
      <w:r>
        <w:rPr>
          <w:rFonts w:cstheme="minorHAnsi"/>
          <w:color w:val="0D0D0D"/>
          <w:shd w:val="clear" w:color="auto" w:fill="FFFFFF"/>
        </w:rPr>
        <w:t>2cm</w:t>
      </w:r>
      <w:proofErr w:type="gramEnd"/>
      <w:r>
        <w:rPr>
          <w:rFonts w:cstheme="minorHAnsi"/>
          <w:color w:val="0D0D0D"/>
          <w:shd w:val="clear" w:color="auto" w:fill="FFFFFF"/>
        </w:rPr>
        <w:t>)</w:t>
      </w:r>
    </w:p>
    <w:p w14:paraId="43B4C251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rFonts w:cstheme="minorHAnsi"/>
          <w:shd w:val="clear" w:color="auto" w:fill="FFFFFF"/>
        </w:rPr>
        <w:t>konstrukce: ocel s práškovou barvou, antimikrobiální povrch</w:t>
      </w:r>
    </w:p>
    <w:p w14:paraId="088F7E76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rFonts w:cstheme="minorHAnsi"/>
          <w:shd w:val="clear" w:color="auto" w:fill="FFFFFF"/>
        </w:rPr>
        <w:t xml:space="preserve">sklopný držák vaku: 4x 120 l s víkem; nosnost: </w:t>
      </w:r>
      <w:r>
        <w:rPr>
          <w:rFonts w:cstheme="minorHAnsi"/>
          <w:shd w:val="clear" w:color="auto" w:fill="FFFFFF"/>
        </w:rPr>
        <w:t xml:space="preserve">min. </w:t>
      </w:r>
      <w:r w:rsidRPr="00B71345">
        <w:rPr>
          <w:rFonts w:cstheme="minorHAnsi"/>
          <w:shd w:val="clear" w:color="auto" w:fill="FFFFFF"/>
        </w:rPr>
        <w:t>15 kg</w:t>
      </w:r>
    </w:p>
    <w:p w14:paraId="03F330F7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rFonts w:cstheme="minorHAnsi"/>
          <w:shd w:val="clear" w:color="auto" w:fill="FFFFFF"/>
        </w:rPr>
        <w:t>barvy vík: červená, modrá, zelená, žlutá</w:t>
      </w:r>
    </w:p>
    <w:p w14:paraId="23AA1AC5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rFonts w:cstheme="minorHAnsi"/>
          <w:shd w:val="clear" w:color="auto" w:fill="FFFFFF"/>
        </w:rPr>
        <w:t>4x otočné kolo d=7,5 cm, 2x brzda; plast. nárazníky</w:t>
      </w:r>
    </w:p>
    <w:p w14:paraId="4FD1C365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rFonts w:cstheme="minorHAnsi"/>
          <w:shd w:val="clear" w:color="auto" w:fill="FFFFFF"/>
        </w:rPr>
        <w:t xml:space="preserve">celková nosnost: </w:t>
      </w:r>
      <w:r>
        <w:rPr>
          <w:rFonts w:cstheme="minorHAnsi"/>
          <w:shd w:val="clear" w:color="auto" w:fill="FFFFFF"/>
        </w:rPr>
        <w:t xml:space="preserve">min. </w:t>
      </w:r>
      <w:r w:rsidRPr="00B71345">
        <w:rPr>
          <w:rFonts w:cstheme="minorHAnsi"/>
          <w:shd w:val="clear" w:color="auto" w:fill="FFFFFF"/>
        </w:rPr>
        <w:t>60 kg</w:t>
      </w:r>
      <w:r w:rsidRPr="00B71345">
        <w:rPr>
          <w:noProof/>
        </w:rPr>
        <w:t xml:space="preserve"> </w:t>
      </w:r>
    </w:p>
    <w:p w14:paraId="3D41CCA3" w14:textId="77777777" w:rsidR="00DF702A" w:rsidRPr="00B71345" w:rsidRDefault="00DF702A" w:rsidP="00DF702A">
      <w:pPr>
        <w:pStyle w:val="Odstavecseseznamem"/>
        <w:numPr>
          <w:ilvl w:val="0"/>
          <w:numId w:val="37"/>
        </w:numPr>
        <w:spacing w:after="160" w:line="259" w:lineRule="auto"/>
        <w:rPr>
          <w:rFonts w:cstheme="minorHAnsi"/>
        </w:rPr>
      </w:pPr>
      <w:r w:rsidRPr="00B7134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04E041" wp14:editId="251BDB5B">
            <wp:simplePos x="0" y="0"/>
            <wp:positionH relativeFrom="column">
              <wp:posOffset>3770630</wp:posOffset>
            </wp:positionH>
            <wp:positionV relativeFrom="paragraph">
              <wp:posOffset>531495</wp:posOffset>
            </wp:positionV>
            <wp:extent cx="266827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36" y="21494"/>
                <wp:lineTo x="2143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45">
        <w:rPr>
          <w:noProof/>
        </w:rPr>
        <w:drawing>
          <wp:anchor distT="0" distB="0" distL="114300" distR="114300" simplePos="0" relativeHeight="251662336" behindDoc="1" locked="0" layoutInCell="1" allowOverlap="1" wp14:anchorId="38BAFF4F" wp14:editId="78E15DF3">
            <wp:simplePos x="0" y="0"/>
            <wp:positionH relativeFrom="column">
              <wp:posOffset>1062355</wp:posOffset>
            </wp:positionH>
            <wp:positionV relativeFrom="paragraph">
              <wp:posOffset>931545</wp:posOffset>
            </wp:positionV>
            <wp:extent cx="2652395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409" y="21483"/>
                <wp:lineTo x="2140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45">
        <w:rPr>
          <w:rFonts w:cstheme="minorHAnsi"/>
          <w:noProof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78DE34D3" wp14:editId="7F9D8519">
            <wp:simplePos x="0" y="0"/>
            <wp:positionH relativeFrom="margin">
              <wp:posOffset>-597535</wp:posOffset>
            </wp:positionH>
            <wp:positionV relativeFrom="paragraph">
              <wp:posOffset>750570</wp:posOffset>
            </wp:positionV>
            <wp:extent cx="131635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56" y="21396"/>
                <wp:lineTo x="2125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345">
        <w:rPr>
          <w:noProof/>
        </w:rPr>
        <w:t xml:space="preserve">Požadavky na barvy vík: každý vozík bude mít všechny </w:t>
      </w:r>
      <w:r>
        <w:rPr>
          <w:noProof/>
        </w:rPr>
        <w:t xml:space="preserve">4 </w:t>
      </w:r>
      <w:r w:rsidRPr="00B71345">
        <w:rPr>
          <w:noProof/>
        </w:rPr>
        <w:t>barvy (tj. zelená, modrá, červená, žlutá – viz ilustrační obrázek)</w:t>
      </w:r>
    </w:p>
    <w:p w14:paraId="205465FA" w14:textId="77777777" w:rsidR="00DF702A" w:rsidRDefault="00DF702A" w:rsidP="00DF702A">
      <w:pPr>
        <w:ind w:left="6804" w:firstLine="432"/>
      </w:pPr>
      <w:r>
        <w:t>Ilustrační obrázek</w:t>
      </w:r>
    </w:p>
    <w:p w14:paraId="60D8FCB6" w14:textId="77777777" w:rsidR="00DF702A" w:rsidRDefault="00DF702A" w:rsidP="00DF702A">
      <w:pPr>
        <w:ind w:left="-851" w:firstLine="432"/>
      </w:pPr>
      <w:r>
        <w:t>Ilustrační obrázek</w:t>
      </w:r>
      <w:r>
        <w:tab/>
      </w:r>
      <w:r>
        <w:tab/>
      </w:r>
      <w:r>
        <w:tab/>
        <w:t>Ilustrační obrázek</w:t>
      </w:r>
    </w:p>
    <w:p w14:paraId="7F63CA99" w14:textId="4B5092F6" w:rsidR="00DF702A" w:rsidRDefault="00DF702A" w:rsidP="00DF702A">
      <w:pPr>
        <w:ind w:left="-851" w:firstLine="432"/>
      </w:pPr>
    </w:p>
    <w:p w14:paraId="6D22C95F" w14:textId="77777777" w:rsidR="00DF702A" w:rsidRDefault="00DF702A" w:rsidP="00DF702A">
      <w:pPr>
        <w:ind w:left="-851" w:firstLine="432"/>
      </w:pPr>
    </w:p>
    <w:tbl>
      <w:tblPr>
        <w:tblpPr w:leftFromText="141" w:rightFromText="141" w:vertAnchor="text" w:horzAnchor="margin" w:tblpXSpec="center" w:tblpY="456"/>
        <w:tblW w:w="10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942"/>
        <w:gridCol w:w="1742"/>
        <w:gridCol w:w="1010"/>
        <w:gridCol w:w="1424"/>
        <w:gridCol w:w="1488"/>
        <w:gridCol w:w="906"/>
        <w:gridCol w:w="1424"/>
      </w:tblGrid>
      <w:tr w:rsidR="00DF702A" w:rsidRPr="009D15DC" w14:paraId="290D3A2C" w14:textId="77777777" w:rsidTr="00D65219">
        <w:trPr>
          <w:trHeight w:val="856"/>
        </w:trPr>
        <w:tc>
          <w:tcPr>
            <w:tcW w:w="1060" w:type="dxa"/>
            <w:shd w:val="clear" w:color="auto" w:fill="auto"/>
            <w:vAlign w:val="center"/>
          </w:tcPr>
          <w:p w14:paraId="326052C8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Pol.</w:t>
            </w:r>
            <w:r>
              <w:t xml:space="preserve"> </w:t>
            </w:r>
            <w:r w:rsidRPr="009D15DC">
              <w:t>č.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4549E98" w14:textId="77777777" w:rsidR="00DF702A" w:rsidRPr="009D15DC" w:rsidRDefault="00DF702A" w:rsidP="00D65219">
            <w:pPr>
              <w:jc w:val="center"/>
            </w:pPr>
          </w:p>
          <w:p w14:paraId="2D550230" w14:textId="77777777" w:rsidR="00DF702A" w:rsidRPr="009D15DC" w:rsidRDefault="00DF702A" w:rsidP="00D65219">
            <w:pPr>
              <w:jc w:val="center"/>
            </w:pPr>
            <w:r w:rsidRPr="009D15DC">
              <w:t>Název položky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141C487" w14:textId="77777777" w:rsidR="00DF702A" w:rsidRPr="009D15DC" w:rsidRDefault="00DF702A" w:rsidP="00D65219">
            <w:pPr>
              <w:spacing w:before="120"/>
              <w:jc w:val="center"/>
            </w:pPr>
            <w:r w:rsidRPr="009D15DC">
              <w:t>Cena v Kč</w:t>
            </w:r>
          </w:p>
          <w:p w14:paraId="431D47C2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bez DPH / ks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556B9B6" w14:textId="77777777" w:rsidR="00DF702A" w:rsidRPr="009D15DC" w:rsidRDefault="00DF702A" w:rsidP="00D65219">
            <w:pPr>
              <w:spacing w:before="120"/>
              <w:ind w:right="-250"/>
            </w:pPr>
            <w:r w:rsidRPr="009D15DC">
              <w:t>Počet ks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B1F6BF5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Celková cena v Kč bez DPH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F7D84F8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Celková cena v Kč vč. DPH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631EC0" w14:textId="77777777" w:rsidR="00DF702A" w:rsidRPr="009D15DC" w:rsidRDefault="00DF702A" w:rsidP="00D65219">
            <w:pPr>
              <w:spacing w:before="120"/>
              <w:jc w:val="center"/>
            </w:pPr>
            <w:r w:rsidRPr="009D15DC">
              <w:t>Sazba</w:t>
            </w:r>
          </w:p>
          <w:p w14:paraId="2E9F5A95" w14:textId="77777777" w:rsidR="00DF702A" w:rsidRPr="009D15DC" w:rsidRDefault="00DF702A" w:rsidP="00D65219">
            <w:pPr>
              <w:spacing w:before="120"/>
              <w:jc w:val="center"/>
            </w:pPr>
            <w:r w:rsidRPr="009D15DC">
              <w:t>DPH</w:t>
            </w:r>
          </w:p>
          <w:p w14:paraId="3262CDC3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v %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37C7E32" w14:textId="77777777" w:rsidR="00DF702A" w:rsidRPr="009D15DC" w:rsidRDefault="00DF702A" w:rsidP="00D65219">
            <w:pPr>
              <w:spacing w:before="120"/>
              <w:jc w:val="center"/>
            </w:pPr>
            <w:r w:rsidRPr="009D15DC">
              <w:t>Poznámka:</w:t>
            </w:r>
          </w:p>
          <w:p w14:paraId="2A01FB2A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t>Název zboží</w:t>
            </w:r>
          </w:p>
        </w:tc>
      </w:tr>
      <w:tr w:rsidR="00DF702A" w:rsidRPr="009D15DC" w14:paraId="6BB0F0D2" w14:textId="77777777" w:rsidTr="00D65219">
        <w:trPr>
          <w:trHeight w:val="856"/>
        </w:trPr>
        <w:tc>
          <w:tcPr>
            <w:tcW w:w="1060" w:type="dxa"/>
            <w:shd w:val="clear" w:color="auto" w:fill="auto"/>
            <w:vAlign w:val="center"/>
          </w:tcPr>
          <w:p w14:paraId="7B7D817F" w14:textId="77777777" w:rsidR="00DF702A" w:rsidRPr="009D15DC" w:rsidRDefault="00DF702A" w:rsidP="00D65219">
            <w:pPr>
              <w:spacing w:before="120"/>
              <w:jc w:val="center"/>
              <w:rPr>
                <w:b/>
                <w:bCs/>
              </w:rPr>
            </w:pPr>
            <w:r w:rsidRPr="009D15DC">
              <w:rPr>
                <w:b/>
                <w:bCs/>
              </w:rPr>
              <w:t>1.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8DDEB56" w14:textId="77777777" w:rsidR="00DF702A" w:rsidRPr="009D15DC" w:rsidRDefault="00DF702A" w:rsidP="00D6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Manipulační vozík s 1 držákem vaku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49A0202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4 183,00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34BD04E" w14:textId="77777777" w:rsidR="00DF702A" w:rsidRPr="009D15DC" w:rsidRDefault="00DF702A" w:rsidP="00D65219">
            <w:pPr>
              <w:spacing w:before="120"/>
              <w:jc w:val="center"/>
            </w:pPr>
            <w:r>
              <w:t>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E832869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25 098,00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8B22986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30 368,58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5EFCA4D" w14:textId="77777777" w:rsidR="00DF702A" w:rsidRPr="009D15DC" w:rsidRDefault="00DF702A" w:rsidP="00D65219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B30D6E6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23048KN*</w:t>
            </w:r>
          </w:p>
        </w:tc>
      </w:tr>
      <w:tr w:rsidR="00DF702A" w:rsidRPr="009D15DC" w14:paraId="0EF897A3" w14:textId="77777777" w:rsidTr="00D65219">
        <w:trPr>
          <w:trHeight w:val="856"/>
        </w:trPr>
        <w:tc>
          <w:tcPr>
            <w:tcW w:w="1060" w:type="dxa"/>
            <w:shd w:val="clear" w:color="auto" w:fill="auto"/>
            <w:vAlign w:val="center"/>
          </w:tcPr>
          <w:p w14:paraId="7E139C20" w14:textId="77777777" w:rsidR="00DF702A" w:rsidRPr="009D15DC" w:rsidRDefault="00DF702A" w:rsidP="00D65219">
            <w:pPr>
              <w:spacing w:before="120"/>
              <w:jc w:val="center"/>
              <w:rPr>
                <w:b/>
                <w:bCs/>
              </w:rPr>
            </w:pPr>
            <w:r w:rsidRPr="009D15DC">
              <w:rPr>
                <w:b/>
                <w:bCs/>
              </w:rPr>
              <w:t>2.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15970EF" w14:textId="77777777" w:rsidR="00DF702A" w:rsidRPr="009D15DC" w:rsidRDefault="00DF702A" w:rsidP="00D6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Manipulační vozík se 4 držáky vaku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F4E5DA8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17 930,00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C6BF842" w14:textId="77777777" w:rsidR="00DF702A" w:rsidRPr="009D15DC" w:rsidRDefault="00DF702A" w:rsidP="00D65219">
            <w:pPr>
              <w:spacing w:before="120"/>
              <w:jc w:val="center"/>
            </w:pPr>
            <w: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1FCA20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53 790,00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F9A18C5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65 085,90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5B53408" w14:textId="77777777" w:rsidR="00DF702A" w:rsidRPr="009D15DC" w:rsidRDefault="00DF702A" w:rsidP="00D65219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399D121" w14:textId="77777777" w:rsidR="00DF702A" w:rsidRPr="009D15DC" w:rsidRDefault="00DF702A" w:rsidP="00D65219">
            <w:pPr>
              <w:spacing w:before="120"/>
              <w:jc w:val="center"/>
            </w:pPr>
            <w:r>
              <w:rPr>
                <w:rFonts w:ascii="Times-Roman" w:hAnsi="Times-Roman" w:cs="Times-Roman"/>
              </w:rPr>
              <w:t>23048K4N*</w:t>
            </w:r>
          </w:p>
        </w:tc>
      </w:tr>
      <w:tr w:rsidR="00DF702A" w:rsidRPr="009D15DC" w14:paraId="690CAD5F" w14:textId="77777777" w:rsidTr="00D65219">
        <w:trPr>
          <w:trHeight w:val="792"/>
        </w:trPr>
        <w:tc>
          <w:tcPr>
            <w:tcW w:w="5754" w:type="dxa"/>
            <w:gridSpan w:val="4"/>
            <w:shd w:val="clear" w:color="auto" w:fill="auto"/>
            <w:vAlign w:val="center"/>
          </w:tcPr>
          <w:p w14:paraId="71DE07FA" w14:textId="77777777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  <w:r w:rsidRPr="009D15DC">
              <w:rPr>
                <w:b/>
              </w:rPr>
              <w:t>Celková nabídková cena: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DE4F1C3" w14:textId="50D10B11" w:rsidR="00DF702A" w:rsidRPr="00DF702A" w:rsidRDefault="00DF702A" w:rsidP="00D65219">
            <w:pPr>
              <w:spacing w:before="120"/>
              <w:jc w:val="center"/>
              <w:rPr>
                <w:b/>
                <w:highlight w:val="yellow"/>
              </w:rPr>
            </w:pPr>
            <w:r w:rsidRPr="00DF702A">
              <w:rPr>
                <w:b/>
                <w:highlight w:val="yellow"/>
              </w:rPr>
              <w:t>78 888,00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31BAE12" w14:textId="3A1DC428" w:rsidR="00DF702A" w:rsidRPr="00DF702A" w:rsidRDefault="00DF702A" w:rsidP="00D65219">
            <w:pPr>
              <w:spacing w:before="120"/>
              <w:jc w:val="center"/>
              <w:rPr>
                <w:b/>
                <w:highlight w:val="yellow"/>
              </w:rPr>
            </w:pPr>
            <w:r w:rsidRPr="00DF702A">
              <w:rPr>
                <w:rFonts w:ascii="Times-Bold" w:hAnsi="Times-Bold" w:cs="Times-Bold"/>
                <w:b/>
                <w:bCs/>
                <w:highlight w:val="yellow"/>
              </w:rPr>
              <w:t>95 454,48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F18F20" w14:textId="5B163EFB" w:rsidR="00DF702A" w:rsidRPr="009D15DC" w:rsidRDefault="00DF702A" w:rsidP="00D65219">
            <w:pPr>
              <w:spacing w:before="120"/>
              <w:jc w:val="center"/>
              <w:rPr>
                <w:b/>
              </w:rPr>
            </w:pPr>
          </w:p>
        </w:tc>
      </w:tr>
    </w:tbl>
    <w:p w14:paraId="2663F1D3" w14:textId="77777777" w:rsidR="00DF702A" w:rsidRDefault="00DF702A" w:rsidP="00DF702A">
      <w:pPr>
        <w:ind w:left="-851" w:firstLine="432"/>
        <w:rPr>
          <w:b/>
          <w:bCs/>
        </w:rPr>
      </w:pPr>
      <w:r>
        <w:rPr>
          <w:b/>
          <w:bCs/>
        </w:rPr>
        <w:t xml:space="preserve">Tabulka: </w:t>
      </w:r>
      <w:r w:rsidRPr="00CE6DC4">
        <w:rPr>
          <w:b/>
          <w:bCs/>
        </w:rPr>
        <w:t>Podrobný rozpis nabídkové ceny</w:t>
      </w:r>
    </w:p>
    <w:p w14:paraId="6340FD19" w14:textId="77777777" w:rsidR="00DF702A" w:rsidRPr="00CE6DC4" w:rsidRDefault="00DF702A" w:rsidP="00DF702A">
      <w:pPr>
        <w:ind w:left="-851" w:firstLine="432"/>
        <w:rPr>
          <w:b/>
          <w:bCs/>
        </w:rPr>
      </w:pPr>
    </w:p>
    <w:p w14:paraId="4F3A92EE" w14:textId="77777777" w:rsidR="00DF702A" w:rsidRDefault="00DF702A" w:rsidP="00DF702A">
      <w:pPr>
        <w:ind w:left="-851" w:firstLine="432"/>
      </w:pPr>
    </w:p>
    <w:p w14:paraId="1F0B5884" w14:textId="77777777" w:rsidR="00DF702A" w:rsidRDefault="00DF702A" w:rsidP="007C3D78">
      <w:pPr>
        <w:pStyle w:val="Styl"/>
        <w:tabs>
          <w:tab w:val="center" w:pos="2268"/>
          <w:tab w:val="left" w:pos="5954"/>
        </w:tabs>
        <w:ind w:left="425" w:hanging="425"/>
        <w:rPr>
          <w:b/>
          <w:color w:val="000000"/>
        </w:rPr>
      </w:pPr>
    </w:p>
    <w:sectPr w:rsidR="00DF702A" w:rsidSect="0059786B">
      <w:footerReference w:type="default" r:id="rId14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09CA" w14:textId="77777777" w:rsidR="007D313B" w:rsidRDefault="007D313B" w:rsidP="00583CC5">
      <w:r>
        <w:separator/>
      </w:r>
    </w:p>
  </w:endnote>
  <w:endnote w:type="continuationSeparator" w:id="0">
    <w:p w14:paraId="5EA3F2C3" w14:textId="77777777" w:rsidR="007D313B" w:rsidRDefault="007D313B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C50D" w14:textId="77777777" w:rsidR="007D313B" w:rsidRDefault="007D313B" w:rsidP="00583CC5">
      <w:r>
        <w:separator/>
      </w:r>
    </w:p>
  </w:footnote>
  <w:footnote w:type="continuationSeparator" w:id="0">
    <w:p w14:paraId="5D19F3F4" w14:textId="77777777" w:rsidR="007D313B" w:rsidRDefault="007D313B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33D78"/>
    <w:multiLevelType w:val="hybridMultilevel"/>
    <w:tmpl w:val="AD76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3D6B766B"/>
    <w:multiLevelType w:val="hybridMultilevel"/>
    <w:tmpl w:val="50487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40135"/>
    <w:multiLevelType w:val="hybridMultilevel"/>
    <w:tmpl w:val="6840E536"/>
    <w:lvl w:ilvl="0" w:tplc="D14E2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1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0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36"/>
  </w:num>
  <w:num w:numId="7">
    <w:abstractNumId w:val="24"/>
  </w:num>
  <w:num w:numId="8">
    <w:abstractNumId w:val="28"/>
  </w:num>
  <w:num w:numId="9">
    <w:abstractNumId w:val="26"/>
  </w:num>
  <w:num w:numId="10">
    <w:abstractNumId w:val="35"/>
  </w:num>
  <w:num w:numId="11">
    <w:abstractNumId w:val="19"/>
  </w:num>
  <w:num w:numId="12">
    <w:abstractNumId w:val="16"/>
  </w:num>
  <w:num w:numId="13">
    <w:abstractNumId w:val="25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4"/>
  </w:num>
  <w:num w:numId="21">
    <w:abstractNumId w:val="21"/>
  </w:num>
  <w:num w:numId="22">
    <w:abstractNumId w:val="29"/>
  </w:num>
  <w:num w:numId="23">
    <w:abstractNumId w:val="32"/>
  </w:num>
  <w:num w:numId="24">
    <w:abstractNumId w:val="4"/>
  </w:num>
  <w:num w:numId="25">
    <w:abstractNumId w:val="22"/>
  </w:num>
  <w:num w:numId="26">
    <w:abstractNumId w:val="23"/>
  </w:num>
  <w:num w:numId="27">
    <w:abstractNumId w:val="20"/>
  </w:num>
  <w:num w:numId="28">
    <w:abstractNumId w:val="9"/>
  </w:num>
  <w:num w:numId="29">
    <w:abstractNumId w:val="31"/>
  </w:num>
  <w:num w:numId="30">
    <w:abstractNumId w:val="17"/>
  </w:num>
  <w:num w:numId="31">
    <w:abstractNumId w:val="33"/>
  </w:num>
  <w:num w:numId="32">
    <w:abstractNumId w:val="5"/>
  </w:num>
  <w:num w:numId="33">
    <w:abstractNumId w:val="7"/>
  </w:num>
  <w:num w:numId="34">
    <w:abstractNumId w:val="12"/>
  </w:num>
  <w:num w:numId="35">
    <w:abstractNumId w:val="27"/>
  </w:num>
  <w:num w:numId="36">
    <w:abstractNumId w:val="1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65414"/>
    <w:rsid w:val="001A61DA"/>
    <w:rsid w:val="001C32C6"/>
    <w:rsid w:val="001F6B6A"/>
    <w:rsid w:val="00200E55"/>
    <w:rsid w:val="0023186F"/>
    <w:rsid w:val="0028789E"/>
    <w:rsid w:val="002C3119"/>
    <w:rsid w:val="002E0AFA"/>
    <w:rsid w:val="002F7BE0"/>
    <w:rsid w:val="00312A80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675238"/>
    <w:rsid w:val="0069558D"/>
    <w:rsid w:val="00697787"/>
    <w:rsid w:val="006A3055"/>
    <w:rsid w:val="006E469D"/>
    <w:rsid w:val="00770FBD"/>
    <w:rsid w:val="007A3E39"/>
    <w:rsid w:val="007C3D78"/>
    <w:rsid w:val="007D313B"/>
    <w:rsid w:val="007D593E"/>
    <w:rsid w:val="00826202"/>
    <w:rsid w:val="008515B9"/>
    <w:rsid w:val="008865A2"/>
    <w:rsid w:val="00893DE1"/>
    <w:rsid w:val="0089602A"/>
    <w:rsid w:val="008B5A5F"/>
    <w:rsid w:val="008F0397"/>
    <w:rsid w:val="00902151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87F4B"/>
    <w:rsid w:val="00DF702A"/>
    <w:rsid w:val="00E33B13"/>
    <w:rsid w:val="00E62CF5"/>
    <w:rsid w:val="00EE0C73"/>
    <w:rsid w:val="00F012DD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2272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8</cp:revision>
  <cp:lastPrinted>2024-01-19T11:25:00Z</cp:lastPrinted>
  <dcterms:created xsi:type="dcterms:W3CDTF">2025-02-18T10:02:00Z</dcterms:created>
  <dcterms:modified xsi:type="dcterms:W3CDTF">2025-04-09T08:52:00Z</dcterms:modified>
</cp:coreProperties>
</file>