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036AC" w14:textId="77777777" w:rsidR="00FE349C" w:rsidRDefault="00FE349C" w:rsidP="000D39A4">
      <w:pPr>
        <w:jc w:val="both"/>
        <w:rPr>
          <w:sz w:val="2"/>
          <w:szCs w:val="2"/>
        </w:rPr>
      </w:pPr>
    </w:p>
    <w:tbl>
      <w:tblPr>
        <w:tblW w:w="9639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639"/>
      </w:tblGrid>
      <w:tr w:rsidR="004806EC" w14:paraId="2FBD9404" w14:textId="77777777" w:rsidTr="00C41D8F">
        <w:tc>
          <w:tcPr>
            <w:tcW w:w="9639" w:type="dxa"/>
            <w:noWrap/>
            <w:tcMar>
              <w:left w:w="0" w:type="dxa"/>
              <w:right w:w="0" w:type="dxa"/>
            </w:tcMar>
          </w:tcPr>
          <w:p w14:paraId="091E558E" w14:textId="77777777" w:rsidR="006D5FF5" w:rsidRDefault="006D5FF5" w:rsidP="006D5FF5">
            <w:pPr>
              <w:jc w:val="both"/>
              <w:rPr>
                <w:lang w:eastAsia="cs-CZ"/>
              </w:rPr>
            </w:pPr>
            <w:bookmarkStart w:id="0" w:name="ceska"/>
            <w:r w:rsidRPr="00055A17">
              <w:t>Pravidl</w:t>
            </w:r>
            <w:r w:rsidRPr="00055A17">
              <w:rPr>
                <w:rStyle w:val="Styl10b"/>
              </w:rPr>
              <w:t xml:space="preserve">a časového pořadí úhrad pohledávek </w:t>
            </w:r>
            <w:r>
              <w:rPr>
                <w:rStyle w:val="Styl10b"/>
              </w:rPr>
              <w:t>(dále jen „</w:t>
            </w:r>
            <w:r w:rsidRPr="00E71149">
              <w:rPr>
                <w:rStyle w:val="Styl10b"/>
                <w:b/>
                <w:bCs/>
              </w:rPr>
              <w:t>Pravidla</w:t>
            </w:r>
            <w:r>
              <w:rPr>
                <w:rStyle w:val="Styl10b"/>
              </w:rPr>
              <w:t xml:space="preserve">“) </w:t>
            </w:r>
            <w:r w:rsidRPr="00055A17">
              <w:rPr>
                <w:rStyle w:val="Styl10b"/>
              </w:rPr>
              <w:t xml:space="preserve">upravují pořadí plnění splatných </w:t>
            </w:r>
            <w:r>
              <w:rPr>
                <w:rStyle w:val="Styl10b"/>
              </w:rPr>
              <w:t>D</w:t>
            </w:r>
            <w:r w:rsidRPr="00055A17">
              <w:rPr>
                <w:rStyle w:val="Styl10b"/>
              </w:rPr>
              <w:t xml:space="preserve">luhů </w:t>
            </w:r>
            <w:r>
              <w:rPr>
                <w:rStyle w:val="Styl10b"/>
              </w:rPr>
              <w:t>k</w:t>
            </w:r>
            <w:r w:rsidRPr="00055A17">
              <w:rPr>
                <w:rStyle w:val="Styl10b"/>
              </w:rPr>
              <w:t xml:space="preserve">lienta vůči </w:t>
            </w:r>
            <w:r>
              <w:rPr>
                <w:rStyle w:val="Styl10b"/>
              </w:rPr>
              <w:t>Komerční b</w:t>
            </w:r>
            <w:r w:rsidRPr="00055A17">
              <w:rPr>
                <w:rStyle w:val="Styl10b"/>
              </w:rPr>
              <w:t>ance</w:t>
            </w:r>
            <w:r>
              <w:rPr>
                <w:rStyle w:val="Styl10b"/>
              </w:rPr>
              <w:t>, a.s., (dále jen „</w:t>
            </w:r>
            <w:r>
              <w:rPr>
                <w:rStyle w:val="Styl10b"/>
                <w:b/>
                <w:bCs/>
              </w:rPr>
              <w:t>Banka</w:t>
            </w:r>
            <w:r>
              <w:rPr>
                <w:rStyle w:val="Styl10b"/>
              </w:rPr>
              <w:t>“),</w:t>
            </w:r>
            <w:r w:rsidRPr="00055A17">
              <w:rPr>
                <w:rStyle w:val="Styl10b"/>
              </w:rPr>
              <w:t xml:space="preserve"> pro případ, kdy </w:t>
            </w:r>
            <w:r>
              <w:rPr>
                <w:rStyle w:val="Styl10b"/>
              </w:rPr>
              <w:t>k</w:t>
            </w:r>
            <w:r w:rsidRPr="00055A17">
              <w:rPr>
                <w:rStyle w:val="Styl10b"/>
              </w:rPr>
              <w:t xml:space="preserve">lient má vůči Bance více splatných </w:t>
            </w:r>
            <w:r>
              <w:rPr>
                <w:rStyle w:val="Styl10b"/>
              </w:rPr>
              <w:t>D</w:t>
            </w:r>
            <w:r w:rsidRPr="00055A17">
              <w:rPr>
                <w:rStyle w:val="Styl10b"/>
              </w:rPr>
              <w:t>luhů a jím poskytnuté plnění nepostačuje k</w:t>
            </w:r>
            <w:r>
              <w:rPr>
                <w:rStyle w:val="Styl10b"/>
              </w:rPr>
              <w:t> jejich úplnému splacení.</w:t>
            </w:r>
            <w:r w:rsidRPr="00055A17">
              <w:rPr>
                <w:rStyle w:val="Styl10b"/>
              </w:rPr>
              <w:t xml:space="preserve"> </w:t>
            </w:r>
          </w:p>
          <w:p w14:paraId="6BC4DFBB" w14:textId="77777777" w:rsidR="006D5FF5" w:rsidRDefault="006D5FF5" w:rsidP="006D5FF5">
            <w:pPr>
              <w:jc w:val="both"/>
              <w:rPr>
                <w:lang w:eastAsia="cs-CZ"/>
              </w:rPr>
            </w:pPr>
          </w:p>
          <w:p w14:paraId="7AC7FD25" w14:textId="77777777" w:rsidR="006D5FF5" w:rsidRDefault="006D5FF5" w:rsidP="006D5FF5">
            <w:pPr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>Pojmem „</w:t>
            </w:r>
            <w:r w:rsidRPr="00AD218A">
              <w:rPr>
                <w:rFonts w:eastAsia="ArialMT"/>
                <w:b/>
                <w:bCs/>
              </w:rPr>
              <w:t>Dluh</w:t>
            </w:r>
            <w:r>
              <w:rPr>
                <w:rFonts w:eastAsia="ArialMT"/>
              </w:rPr>
              <w:t>“ se rozumí každý jednotlivý splatný peněžitý závazek klienta vůči Bance, např. jednotlivá splátka jistiny, jednotlivá splátka úroku, úrok z prodlení, poplatky, ceny a náklady již určené.</w:t>
            </w:r>
          </w:p>
          <w:p w14:paraId="65476A27" w14:textId="77777777" w:rsidR="009F20DA" w:rsidRDefault="006D5FF5" w:rsidP="006D5FF5">
            <w:pPr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>Pojmem „</w:t>
            </w:r>
            <w:r w:rsidRPr="00C418F0">
              <w:rPr>
                <w:rFonts w:eastAsia="ArialMT"/>
                <w:b/>
                <w:bCs/>
              </w:rPr>
              <w:t>Právní vztah</w:t>
            </w:r>
            <w:r>
              <w:rPr>
                <w:rFonts w:eastAsia="ArialMT"/>
              </w:rPr>
              <w:t>“ se rozumí právní titul pro vznik jednotlivých Dluhů (nejčastěji úvěrová smlouva).</w:t>
            </w:r>
          </w:p>
          <w:p w14:paraId="7FC041CA" w14:textId="77777777" w:rsidR="009F20DA" w:rsidRDefault="009F20DA" w:rsidP="009F20DA">
            <w:pPr>
              <w:jc w:val="both"/>
              <w:rPr>
                <w:rFonts w:eastAsia="ArialMT"/>
              </w:rPr>
            </w:pPr>
          </w:p>
          <w:p w14:paraId="0DA8EA9B" w14:textId="77777777" w:rsidR="006D5FF5" w:rsidRDefault="006D5FF5" w:rsidP="006D5FF5">
            <w:pPr>
              <w:jc w:val="both"/>
              <w:rPr>
                <w:lang w:eastAsia="cs-CZ"/>
              </w:rPr>
            </w:pPr>
            <w:r w:rsidRPr="0098562D">
              <w:rPr>
                <w:rFonts w:eastAsia="ArialMT"/>
              </w:rPr>
              <w:t xml:space="preserve">Dluhy se </w:t>
            </w:r>
            <w:r>
              <w:rPr>
                <w:rFonts w:eastAsia="ArialMT"/>
              </w:rPr>
              <w:t>umořují</w:t>
            </w:r>
            <w:r w:rsidRPr="0098562D">
              <w:rPr>
                <w:rFonts w:eastAsia="ArialMT"/>
              </w:rPr>
              <w:t xml:space="preserve"> podle následujících pravidel</w:t>
            </w:r>
            <w:r w:rsidRPr="0098562D">
              <w:rPr>
                <w:rFonts w:eastAsia="ArialMT"/>
                <w:color w:val="000000"/>
              </w:rPr>
              <w:t xml:space="preserve">, pokud se Banka s klientem nedohodne jinak, nebo neexistují jiná </w:t>
            </w:r>
            <w:r w:rsidRPr="0098562D">
              <w:t>závazná pravidla</w:t>
            </w:r>
            <w:r w:rsidRPr="0098562D">
              <w:rPr>
                <w:rFonts w:eastAsia="ArialMT"/>
              </w:rPr>
              <w:t xml:space="preserve"> </w:t>
            </w:r>
            <w:r w:rsidRPr="0098562D">
              <w:t>vyplývající z právních předpisů, od kterých se nelze odchýlit</w:t>
            </w:r>
            <w:r>
              <w:rPr>
                <w:lang w:eastAsia="cs-CZ"/>
              </w:rPr>
              <w:t>.</w:t>
            </w:r>
          </w:p>
          <w:p w14:paraId="243CF87A" w14:textId="77777777" w:rsidR="006D5FF5" w:rsidRPr="0098562D" w:rsidRDefault="006D5FF5" w:rsidP="006D5FF5">
            <w:pPr>
              <w:jc w:val="both"/>
              <w:rPr>
                <w:lang w:eastAsia="cs-CZ"/>
              </w:rPr>
            </w:pPr>
          </w:p>
          <w:p w14:paraId="521534B0" w14:textId="77777777" w:rsidR="001A2829" w:rsidRPr="001A2829" w:rsidRDefault="00C41D8F" w:rsidP="00C41D8F">
            <w:pPr>
              <w:ind w:left="284" w:hanging="284"/>
              <w:jc w:val="both"/>
              <w:rPr>
                <w:rFonts w:eastAsia="ArialMT"/>
              </w:rPr>
            </w:pPr>
            <w:r w:rsidRPr="001A2829">
              <w:rPr>
                <w:rFonts w:eastAsia="ArialMT"/>
              </w:rPr>
              <w:t>1.</w:t>
            </w:r>
            <w:r w:rsidRPr="001A2829">
              <w:rPr>
                <w:rFonts w:eastAsia="ArialMT"/>
              </w:rPr>
              <w:tab/>
            </w:r>
            <w:r w:rsidR="001A2829" w:rsidRPr="006654F0">
              <w:rPr>
                <w:lang w:eastAsia="cs-CZ"/>
              </w:rPr>
              <w:t>U hypotečních úvěrů uzavřených se spotřebiteli se jednotlivé splatné Dluhy umoří vždy v pořadí podle jejich splatnosti. Pokud jednotlivé Dluhy u těchto úvěrů budou mít stejné datum splatnosti, umoří se v pořadí jistina, úrok, úrok z prodlení, poplatky, ceny, náklady již určené a smluvní pokuty</w:t>
            </w:r>
            <w:r w:rsidR="001A2829">
              <w:rPr>
                <w:lang w:eastAsia="cs-CZ"/>
              </w:rPr>
              <w:t>.</w:t>
            </w:r>
          </w:p>
          <w:p w14:paraId="12933203" w14:textId="77777777" w:rsidR="001A2829" w:rsidRDefault="001A2829" w:rsidP="001A2829">
            <w:pPr>
              <w:jc w:val="both"/>
              <w:rPr>
                <w:rFonts w:eastAsia="ArialMT"/>
              </w:rPr>
            </w:pPr>
          </w:p>
          <w:p w14:paraId="33F24A0C" w14:textId="77777777" w:rsidR="006D5FF5" w:rsidRDefault="00C41D8F" w:rsidP="00C41D8F">
            <w:pPr>
              <w:ind w:left="284" w:hanging="284"/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>2.</w:t>
            </w:r>
            <w:r>
              <w:rPr>
                <w:rFonts w:eastAsia="ArialMT"/>
              </w:rPr>
              <w:tab/>
            </w:r>
            <w:r w:rsidR="001A2829" w:rsidRPr="006654F0">
              <w:rPr>
                <w:lang w:eastAsia="cs-CZ"/>
              </w:rPr>
              <w:t xml:space="preserve">U všech ostatních Právních vztahů se jednotlivé splatné části jistiny a úroků umoří </w:t>
            </w:r>
            <w:r w:rsidR="001A2829" w:rsidRPr="006654F0">
              <w:rPr>
                <w:rFonts w:eastAsia="ArialMT"/>
              </w:rPr>
              <w:t>v pořadí podle jejich splatnosti (plnění se započte nejprve na jistinu či úroky, které jsou nejdříve splatné), a to takto</w:t>
            </w:r>
            <w:r w:rsidR="006D5FF5">
              <w:rPr>
                <w:rFonts w:eastAsia="ArialMT"/>
              </w:rPr>
              <w:t>:</w:t>
            </w:r>
          </w:p>
          <w:p w14:paraId="710F8799" w14:textId="77777777" w:rsidR="006D5FF5" w:rsidRDefault="006D5FF5" w:rsidP="006D5FF5">
            <w:pPr>
              <w:pStyle w:val="Odstavecseseznamem"/>
              <w:ind w:left="0"/>
              <w:contextualSpacing w:val="0"/>
              <w:jc w:val="both"/>
              <w:rPr>
                <w:rFonts w:eastAsia="ArialMT"/>
              </w:rPr>
            </w:pPr>
          </w:p>
          <w:p w14:paraId="7BD1DF3B" w14:textId="77777777" w:rsidR="006D5FF5" w:rsidRPr="008D5D33" w:rsidRDefault="00C41D8F" w:rsidP="00C41D8F">
            <w:pPr>
              <w:ind w:left="567" w:hanging="283"/>
              <w:jc w:val="both"/>
              <w:rPr>
                <w:rFonts w:eastAsia="ArialMT"/>
              </w:rPr>
            </w:pPr>
            <w:r w:rsidRPr="008D5D33">
              <w:rPr>
                <w:rFonts w:eastAsia="ArialMT"/>
              </w:rPr>
              <w:t>a)</w:t>
            </w:r>
            <w:r w:rsidRPr="008D5D33">
              <w:rPr>
                <w:rFonts w:eastAsia="ArialMT"/>
              </w:rPr>
              <w:tab/>
            </w:r>
            <w:r w:rsidR="001A2829" w:rsidRPr="006654F0">
              <w:rPr>
                <w:rFonts w:eastAsia="ArialMT"/>
              </w:rPr>
              <w:t>u Dluhů z Právních vztahů, kterými jsou smlouvy se spotřebiteli a smlouvy o kreditní kartě uzavřené</w:t>
            </w:r>
            <w:r w:rsidR="006D5FF5">
              <w:rPr>
                <w:rFonts w:eastAsia="ArialMT"/>
              </w:rPr>
              <w:t>:</w:t>
            </w:r>
            <w:r w:rsidR="006D5FF5" w:rsidRPr="008D5D33">
              <w:rPr>
                <w:rFonts w:eastAsia="ArialMT"/>
              </w:rPr>
              <w:t xml:space="preserve"> </w:t>
            </w:r>
          </w:p>
          <w:p w14:paraId="3D6DD4F1" w14:textId="77777777" w:rsidR="001A2829" w:rsidRDefault="00C41D8F" w:rsidP="00C41D8F">
            <w:pPr>
              <w:ind w:left="851" w:hanging="284"/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>(i)</w:t>
            </w:r>
            <w:r>
              <w:rPr>
                <w:rFonts w:eastAsia="ArialMT"/>
              </w:rPr>
              <w:tab/>
            </w:r>
            <w:r w:rsidR="001A2829" w:rsidRPr="006654F0">
              <w:rPr>
                <w:rFonts w:eastAsia="ArialMT"/>
              </w:rPr>
              <w:t>v období do 30.6.2021 včetně, u nichž dosud nenastal okamžik konečné splatnosti, či nedošlo k zesplatnění,</w:t>
            </w:r>
          </w:p>
          <w:p w14:paraId="398EFACB" w14:textId="77777777" w:rsidR="006D5FF5" w:rsidRPr="00594954" w:rsidRDefault="00C41D8F" w:rsidP="00C41D8F">
            <w:pPr>
              <w:ind w:left="851" w:hanging="284"/>
              <w:jc w:val="both"/>
              <w:rPr>
                <w:rFonts w:eastAsia="ArialMT"/>
              </w:rPr>
            </w:pPr>
            <w:r w:rsidRPr="00594954">
              <w:rPr>
                <w:rFonts w:eastAsia="ArialMT"/>
              </w:rPr>
              <w:t>(ii)</w:t>
            </w:r>
            <w:r w:rsidRPr="00594954">
              <w:rPr>
                <w:rFonts w:eastAsia="ArialMT"/>
              </w:rPr>
              <w:tab/>
            </w:r>
            <w:r w:rsidR="006D5FF5">
              <w:rPr>
                <w:rFonts w:eastAsia="ArialMT"/>
              </w:rPr>
              <w:t xml:space="preserve">v období </w:t>
            </w:r>
            <w:r w:rsidR="006D5FF5" w:rsidRPr="00594954">
              <w:rPr>
                <w:rFonts w:eastAsia="ArialMT"/>
              </w:rPr>
              <w:t>od 1.7.2021 včetně,</w:t>
            </w:r>
          </w:p>
          <w:p w14:paraId="3D37FE09" w14:textId="77777777" w:rsidR="006D5FF5" w:rsidRDefault="006D5FF5" w:rsidP="006D5FF5">
            <w:pPr>
              <w:ind w:left="567"/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>se umoří nejprve splatná jistina a poté splatný úrok;</w:t>
            </w:r>
          </w:p>
          <w:p w14:paraId="28197344" w14:textId="77777777" w:rsidR="006D5FF5" w:rsidRDefault="006D5FF5" w:rsidP="006D5FF5">
            <w:pPr>
              <w:jc w:val="both"/>
              <w:rPr>
                <w:rFonts w:eastAsia="ArialMT"/>
              </w:rPr>
            </w:pPr>
          </w:p>
          <w:p w14:paraId="7367C2EE" w14:textId="77777777" w:rsidR="006D5FF5" w:rsidRDefault="00C41D8F" w:rsidP="00C41D8F">
            <w:pPr>
              <w:ind w:left="567" w:hanging="283"/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>b)</w:t>
            </w:r>
            <w:r>
              <w:rPr>
                <w:rFonts w:eastAsia="ArialMT"/>
              </w:rPr>
              <w:tab/>
            </w:r>
            <w:r w:rsidR="006D5FF5">
              <w:rPr>
                <w:rFonts w:eastAsia="ArialMT"/>
              </w:rPr>
              <w:t>u Dluhů z ostatních Právních vztahů se umoří nejprve splatný úrok a poté splatná jistina.</w:t>
            </w:r>
          </w:p>
          <w:p w14:paraId="6EAE0C62" w14:textId="77777777" w:rsidR="006D5FF5" w:rsidRDefault="006D5FF5" w:rsidP="006D5FF5">
            <w:pPr>
              <w:jc w:val="both"/>
              <w:rPr>
                <w:rFonts w:eastAsia="ArialMT"/>
              </w:rPr>
            </w:pPr>
          </w:p>
          <w:p w14:paraId="261E0968" w14:textId="77777777" w:rsidR="006D5FF5" w:rsidRDefault="00C41D8F" w:rsidP="00C41D8F">
            <w:pPr>
              <w:ind w:left="284" w:hanging="284"/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>3.</w:t>
            </w:r>
            <w:r>
              <w:rPr>
                <w:rFonts w:eastAsia="ArialMT"/>
              </w:rPr>
              <w:tab/>
            </w:r>
            <w:r w:rsidR="001A2829" w:rsidRPr="006654F0">
              <w:rPr>
                <w:lang w:eastAsia="cs-CZ"/>
              </w:rPr>
              <w:t>U všech Právních vztahů neuvedených v bodu 1) se úroky z prodlení, poplatky, ceny</w:t>
            </w:r>
            <w:r w:rsidR="001A2829">
              <w:rPr>
                <w:lang w:eastAsia="cs-CZ"/>
              </w:rPr>
              <w:t>, náklady již určené</w:t>
            </w:r>
            <w:r w:rsidR="001A2829" w:rsidRPr="006654F0">
              <w:rPr>
                <w:lang w:eastAsia="cs-CZ"/>
              </w:rPr>
              <w:t xml:space="preserve"> a smluvní pokuty umoří vždy až úplně poslední (tedy až po úplné úhradě všech splatných Dluhů dle bodů 1 i 2), a to tak, že nejprve se </w:t>
            </w:r>
            <w:r w:rsidR="001A2829" w:rsidRPr="006654F0">
              <w:rPr>
                <w:rFonts w:eastAsia="ArialMT"/>
              </w:rPr>
              <w:t>umoří splatné úroky z prodlení a až po jejich úplném zaplacení se umoří splatné poplatky, ceny, náklady již určené a smluvní pokuty</w:t>
            </w:r>
            <w:r w:rsidR="006D5FF5">
              <w:rPr>
                <w:rFonts w:eastAsia="ArialMT"/>
              </w:rPr>
              <w:t>.</w:t>
            </w:r>
          </w:p>
          <w:p w14:paraId="695BB3B8" w14:textId="77777777" w:rsidR="006D5FF5" w:rsidRDefault="006D5FF5" w:rsidP="006D5FF5">
            <w:pPr>
              <w:jc w:val="both"/>
              <w:rPr>
                <w:rFonts w:eastAsia="ArialMT"/>
              </w:rPr>
            </w:pPr>
          </w:p>
          <w:p w14:paraId="7E0A8AFB" w14:textId="77777777" w:rsidR="006D5FF5" w:rsidRDefault="00C41D8F" w:rsidP="00C41D8F">
            <w:pPr>
              <w:ind w:left="284" w:hanging="284"/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>4.</w:t>
            </w:r>
            <w:r>
              <w:rPr>
                <w:rFonts w:eastAsia="ArialMT"/>
              </w:rPr>
              <w:tab/>
            </w:r>
            <w:r w:rsidR="001A2829" w:rsidRPr="006654F0">
              <w:rPr>
                <w:rFonts w:eastAsia="ArialMT"/>
              </w:rPr>
              <w:t>Pokud plnění poskytnuté klientem Bance nestačí ke splacení všech splatných Dluhů uvedených pod body 1) a 2), umořují se tyto Dluhy v pořadí podle své splatnosti, a to počínaje Právním vztahem, z kterého vznikl Dluh nejdříve splatný</w:t>
            </w:r>
            <w:r w:rsidR="006D5FF5">
              <w:rPr>
                <w:rFonts w:eastAsia="ArialMT"/>
              </w:rPr>
              <w:t>.</w:t>
            </w:r>
          </w:p>
          <w:p w14:paraId="7582CA06" w14:textId="77777777" w:rsidR="006D5FF5" w:rsidRDefault="006D5FF5" w:rsidP="009F20DA">
            <w:pPr>
              <w:jc w:val="both"/>
              <w:rPr>
                <w:rFonts w:eastAsia="ArialMT"/>
              </w:rPr>
            </w:pPr>
          </w:p>
          <w:p w14:paraId="358D3859" w14:textId="77777777" w:rsidR="001A2829" w:rsidRDefault="001A2829" w:rsidP="009F20DA">
            <w:pPr>
              <w:jc w:val="both"/>
              <w:rPr>
                <w:rFonts w:eastAsia="ArialMT"/>
              </w:rPr>
            </w:pPr>
            <w:r w:rsidRPr="006654F0">
              <w:rPr>
                <w:rFonts w:eastAsia="ArialMT"/>
              </w:rPr>
              <w:t xml:space="preserve">Pokud nebylo mezi klientem a Bankou dohodnuto jinak, nemají </w:t>
            </w:r>
            <w:r>
              <w:rPr>
                <w:rFonts w:eastAsia="ArialMT"/>
              </w:rPr>
              <w:t xml:space="preserve">případné </w:t>
            </w:r>
            <w:r w:rsidRPr="006654F0">
              <w:rPr>
                <w:rFonts w:eastAsia="ArialMT"/>
              </w:rPr>
              <w:t>poznámky napsané k jednotlivé zaslané platbě (např. do pole „Účel platby“) žádný vliv na pořadí umořování plateb na jednotlivé Dluhy</w:t>
            </w:r>
            <w:r>
              <w:rPr>
                <w:rFonts w:eastAsia="ArialMT"/>
              </w:rPr>
              <w:t>.</w:t>
            </w:r>
          </w:p>
          <w:p w14:paraId="05B78507" w14:textId="77777777" w:rsidR="006D5FF5" w:rsidRDefault="006D5FF5" w:rsidP="009F20DA">
            <w:pPr>
              <w:jc w:val="both"/>
              <w:rPr>
                <w:rFonts w:eastAsia="ArialMT"/>
              </w:rPr>
            </w:pPr>
          </w:p>
          <w:p w14:paraId="6C771716" w14:textId="77777777" w:rsidR="009F20DA" w:rsidRDefault="001A2829" w:rsidP="009F20DA">
            <w:pPr>
              <w:jc w:val="both"/>
            </w:pPr>
            <w:r>
              <w:t xml:space="preserve">Tato Pravidla nabývají </w:t>
            </w:r>
            <w:r w:rsidRPr="00DD2F79">
              <w:t>účinnosti dne 1.</w:t>
            </w:r>
            <w:r>
              <w:t>5</w:t>
            </w:r>
            <w:r w:rsidRPr="00DD2F79">
              <w:t>.2024 a</w:t>
            </w:r>
            <w:r>
              <w:t xml:space="preserve"> nahrazují Pravidla v dosavadním znění</w:t>
            </w:r>
            <w:r w:rsidR="009F20DA">
              <w:t>.</w:t>
            </w:r>
          </w:p>
        </w:tc>
      </w:tr>
      <w:bookmarkEnd w:id="0"/>
    </w:tbl>
    <w:p w14:paraId="16E41C05" w14:textId="77777777" w:rsidR="004806EC" w:rsidRDefault="004806EC" w:rsidP="00F31A66">
      <w:pPr>
        <w:jc w:val="both"/>
      </w:pPr>
    </w:p>
    <w:sectPr w:rsidR="004806EC" w:rsidSect="00DB1A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71" w:right="1134" w:bottom="1588" w:left="1134" w:header="102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77801" w14:textId="77777777" w:rsidR="00B54FC0" w:rsidRDefault="00B54FC0" w:rsidP="005D6E7E">
      <w:r>
        <w:separator/>
      </w:r>
    </w:p>
  </w:endnote>
  <w:endnote w:type="continuationSeparator" w:id="0">
    <w:p w14:paraId="6F04EB82" w14:textId="77777777" w:rsidR="00B54FC0" w:rsidRDefault="00B54FC0" w:rsidP="005D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6C638" w14:textId="77777777" w:rsidR="00596856" w:rsidRDefault="005968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6" w:space="0" w:color="DADADA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5E30E4" w:rsidRPr="00C240F0" w14:paraId="2C5448B7" w14:textId="77777777" w:rsidTr="001604F9">
      <w:trPr>
        <w:trHeight w:hRule="exact" w:val="907"/>
      </w:trPr>
      <w:tc>
        <w:tcPr>
          <w:tcW w:w="4820" w:type="dxa"/>
          <w:tcBorders>
            <w:top w:val="single" w:sz="6" w:space="0" w:color="DADADA"/>
          </w:tcBorders>
          <w:vAlign w:val="bottom"/>
        </w:tcPr>
        <w:p w14:paraId="52E22031" w14:textId="77777777" w:rsidR="005E30E4" w:rsidRDefault="005E30E4" w:rsidP="001604F9">
          <w:pPr>
            <w:pStyle w:val="kbFixedtext"/>
            <w:spacing w:before="100"/>
          </w:pPr>
          <w:r>
            <w:t xml:space="preserve">Komerční banka, a. s., se sídlem: </w:t>
          </w:r>
        </w:p>
        <w:p w14:paraId="47F9C820" w14:textId="77777777" w:rsidR="005E30E4" w:rsidRDefault="005E30E4" w:rsidP="001604F9">
          <w:pPr>
            <w:pStyle w:val="kbFixedtext"/>
          </w:pPr>
          <w:r>
            <w:t>Praha 1, Na Příkopě 33 čp. 969, PSČ 114 07, IČO: 45317054</w:t>
          </w:r>
        </w:p>
        <w:p w14:paraId="547F42AC" w14:textId="77777777" w:rsidR="005E30E4" w:rsidRDefault="005E30E4" w:rsidP="001604F9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DADADA"/>
          </w:tcBorders>
          <w:vAlign w:val="bottom"/>
        </w:tcPr>
        <w:p w14:paraId="312DB287" w14:textId="77777777" w:rsidR="005E30E4" w:rsidRDefault="005E30E4" w:rsidP="001604F9">
          <w:pPr>
            <w:pStyle w:val="kbFixedtext"/>
            <w:jc w:val="right"/>
            <w:rPr>
              <w:sz w:val="8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3F6E1F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3F6E1F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14:paraId="4126AA0D" w14:textId="77777777" w:rsidR="00651EA6" w:rsidRPr="00DA7946" w:rsidRDefault="00651EA6" w:rsidP="00651EA6">
          <w:pPr>
            <w:pStyle w:val="Registration"/>
            <w:jc w:val="right"/>
          </w:pPr>
          <w:r w:rsidRPr="00DA7946">
            <w:t xml:space="preserve">Datum účinnosti šablony </w:t>
          </w:r>
          <w:r w:rsidR="003B57B2">
            <w:t>1</w:t>
          </w:r>
          <w:r w:rsidRPr="00DA7946">
            <w:t xml:space="preserve">. </w:t>
          </w:r>
          <w:r w:rsidR="003B57B2">
            <w:t>5</w:t>
          </w:r>
          <w:r w:rsidR="009F20DA">
            <w:t>. 20</w:t>
          </w:r>
          <w:r w:rsidR="006D5FF5">
            <w:t>2</w:t>
          </w:r>
          <w:r w:rsidR="006B5416">
            <w:t>4</w:t>
          </w:r>
        </w:p>
        <w:p w14:paraId="035699BB" w14:textId="77777777" w:rsidR="005E30E4" w:rsidRDefault="00651EA6" w:rsidP="00651EA6">
          <w:pPr>
            <w:pStyle w:val="Registration"/>
            <w:jc w:val="right"/>
          </w:pPr>
          <w:r w:rsidRPr="00DA7946">
            <w:t xml:space="preserve">VER </w:t>
          </w:r>
          <w:r>
            <w:t xml:space="preserve">e </w:t>
          </w:r>
          <w:r w:rsidRPr="00DA7946">
            <w:t>PRAVIDLA.DOT</w:t>
          </w:r>
          <w:r>
            <w:t xml:space="preserve"> </w:t>
          </w:r>
          <w:r w:rsidRPr="00DA7946">
            <w:fldChar w:fldCharType="begin"/>
          </w:r>
          <w:r w:rsidRPr="00DA7946">
            <w:instrText>\DATE</w:instrText>
          </w:r>
          <w:r w:rsidRPr="00DA7946">
            <w:fldChar w:fldCharType="separate"/>
          </w:r>
          <w:r w:rsidR="00244BCF">
            <w:rPr>
              <w:noProof/>
            </w:rPr>
            <w:t>09.04.2025</w:t>
          </w:r>
          <w:r w:rsidRPr="00DA7946">
            <w:fldChar w:fldCharType="end"/>
          </w:r>
          <w:r w:rsidRPr="00DA7946">
            <w:t xml:space="preserve"> </w:t>
          </w:r>
          <w:r w:rsidRPr="00DA7946">
            <w:fldChar w:fldCharType="begin"/>
          </w:r>
          <w:r w:rsidRPr="00DA7946">
            <w:instrText>\TIME</w:instrText>
          </w:r>
          <w:r w:rsidRPr="00DA7946">
            <w:fldChar w:fldCharType="separate"/>
          </w:r>
          <w:r w:rsidR="00244BCF">
            <w:rPr>
              <w:noProof/>
            </w:rPr>
            <w:t>9:33 dop.</w:t>
          </w:r>
          <w:r w:rsidRPr="00DA7946">
            <w:fldChar w:fldCharType="end"/>
          </w:r>
        </w:p>
      </w:tc>
    </w:tr>
  </w:tbl>
  <w:p w14:paraId="38766DA5" w14:textId="77777777" w:rsidR="005E30E4" w:rsidRPr="00651EA6" w:rsidRDefault="005E30E4" w:rsidP="00651EA6">
    <w:pPr>
      <w:pStyle w:val="Zpat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6" w:space="0" w:color="DADADA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2370F0" w:rsidRPr="00C240F0" w14:paraId="494E761A" w14:textId="77777777" w:rsidTr="0088135F">
      <w:trPr>
        <w:trHeight w:hRule="exact" w:val="907"/>
      </w:trPr>
      <w:tc>
        <w:tcPr>
          <w:tcW w:w="4820" w:type="dxa"/>
          <w:tcBorders>
            <w:top w:val="single" w:sz="6" w:space="0" w:color="DADADA"/>
          </w:tcBorders>
          <w:vAlign w:val="bottom"/>
        </w:tcPr>
        <w:p w14:paraId="4D393827" w14:textId="77777777" w:rsidR="002370F0" w:rsidRDefault="002370F0" w:rsidP="0088135F">
          <w:pPr>
            <w:pStyle w:val="kbFixedtext"/>
            <w:spacing w:before="100"/>
          </w:pPr>
          <w:bookmarkStart w:id="2" w:name="cj_2"/>
          <w:r>
            <w:t xml:space="preserve">Komerční banka, a. s., se sídlem: </w:t>
          </w:r>
        </w:p>
        <w:p w14:paraId="272C1C4B" w14:textId="77777777" w:rsidR="002370F0" w:rsidRDefault="002370F0" w:rsidP="0088135F">
          <w:pPr>
            <w:pStyle w:val="kbFixedtext"/>
          </w:pPr>
          <w:r>
            <w:t>Praha 1, Na Příkopě 33 čp. 969, PSČ 114 07, IČO: 45317054</w:t>
          </w:r>
        </w:p>
        <w:p w14:paraId="624620D7" w14:textId="77777777" w:rsidR="002370F0" w:rsidRDefault="002370F0" w:rsidP="0088135F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DADADA"/>
          </w:tcBorders>
          <w:vAlign w:val="bottom"/>
        </w:tcPr>
        <w:p w14:paraId="3766CFC4" w14:textId="77777777" w:rsidR="002370F0" w:rsidRDefault="00FB40C7" w:rsidP="00683273">
          <w:pPr>
            <w:pStyle w:val="kbFixedtext"/>
            <w:jc w:val="right"/>
            <w:rPr>
              <w:sz w:val="8"/>
            </w:rPr>
          </w:pPr>
          <w:r>
            <w:rPr>
              <w:rStyle w:val="slostrnky"/>
            </w:rPr>
            <w:fldChar w:fldCharType="begin"/>
          </w:r>
          <w:r w:rsidR="002370F0"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3F6E1F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 w:rsidR="002370F0"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 w:rsidR="002370F0"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3F6E1F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14:paraId="7E3D6F1C" w14:textId="77777777" w:rsidR="002370F0" w:rsidRPr="00DA7946" w:rsidRDefault="002370F0" w:rsidP="00683273">
          <w:pPr>
            <w:pStyle w:val="Registration"/>
            <w:jc w:val="right"/>
          </w:pPr>
          <w:r w:rsidRPr="00DA7946">
            <w:t xml:space="preserve">Datum účinnosti šablony </w:t>
          </w:r>
          <w:r w:rsidR="003B57B2">
            <w:t>1</w:t>
          </w:r>
          <w:r w:rsidRPr="00DA7946">
            <w:t xml:space="preserve">. </w:t>
          </w:r>
          <w:r w:rsidR="003B57B2">
            <w:t>5</w:t>
          </w:r>
          <w:r w:rsidR="009F20DA">
            <w:t>. 20</w:t>
          </w:r>
          <w:r w:rsidR="006D5FF5">
            <w:t>2</w:t>
          </w:r>
          <w:r w:rsidR="006B5416">
            <w:t>4</w:t>
          </w:r>
        </w:p>
        <w:p w14:paraId="15DC8E5E" w14:textId="77777777" w:rsidR="002370F0" w:rsidRDefault="002370F0" w:rsidP="00651EA6">
          <w:pPr>
            <w:pStyle w:val="Registration"/>
            <w:jc w:val="right"/>
          </w:pPr>
          <w:r w:rsidRPr="00DA7946">
            <w:t xml:space="preserve">VER </w:t>
          </w:r>
          <w:r w:rsidR="00651EA6">
            <w:t xml:space="preserve">e </w:t>
          </w:r>
          <w:r w:rsidRPr="00DA7946">
            <w:t>PRAVIDLA.</w:t>
          </w:r>
          <w:r w:rsidR="00DA7946" w:rsidRPr="00DA7946">
            <w:t>DOT</w:t>
          </w:r>
          <w:r w:rsidR="001E416F">
            <w:t xml:space="preserve"> </w:t>
          </w:r>
          <w:r w:rsidR="00DA7946" w:rsidRPr="00DA7946">
            <w:fldChar w:fldCharType="begin"/>
          </w:r>
          <w:r w:rsidR="00DA7946" w:rsidRPr="00DA7946">
            <w:instrText>\DATE</w:instrText>
          </w:r>
          <w:r w:rsidR="00DA7946" w:rsidRPr="00DA7946">
            <w:fldChar w:fldCharType="separate"/>
          </w:r>
          <w:r w:rsidR="00244BCF">
            <w:rPr>
              <w:noProof/>
            </w:rPr>
            <w:t>09.04.2025</w:t>
          </w:r>
          <w:r w:rsidR="00DA7946" w:rsidRPr="00DA7946">
            <w:fldChar w:fldCharType="end"/>
          </w:r>
          <w:r w:rsidR="00DA7946" w:rsidRPr="00DA7946">
            <w:t xml:space="preserve"> </w:t>
          </w:r>
          <w:r w:rsidR="00DA7946" w:rsidRPr="00DA7946">
            <w:fldChar w:fldCharType="begin"/>
          </w:r>
          <w:r w:rsidR="00DA7946" w:rsidRPr="00DA7946">
            <w:instrText>\TIME</w:instrText>
          </w:r>
          <w:r w:rsidR="00DA7946" w:rsidRPr="00DA7946">
            <w:fldChar w:fldCharType="separate"/>
          </w:r>
          <w:r w:rsidR="00244BCF">
            <w:rPr>
              <w:noProof/>
            </w:rPr>
            <w:t>9:33 dop.</w:t>
          </w:r>
          <w:r w:rsidR="00DA7946" w:rsidRPr="00DA7946">
            <w:fldChar w:fldCharType="end"/>
          </w:r>
        </w:p>
      </w:tc>
    </w:tr>
  </w:tbl>
  <w:p w14:paraId="6215A7FF" w14:textId="77777777" w:rsidR="0088135F" w:rsidRPr="00651EA6" w:rsidRDefault="0088135F">
    <w:pPr>
      <w:pStyle w:val="Zpat"/>
      <w:rPr>
        <w:sz w:val="4"/>
        <w:szCs w:val="4"/>
      </w:rPr>
    </w:pPr>
  </w:p>
  <w:bookmarkEnd w:id="2"/>
  <w:p w14:paraId="73DAD8B2" w14:textId="77777777" w:rsidR="00F31A66" w:rsidRPr="00651EA6" w:rsidRDefault="00F31A66">
    <w:pPr>
      <w:pStyle w:val="Zpa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55831" w14:textId="77777777" w:rsidR="00B54FC0" w:rsidRDefault="00B54FC0" w:rsidP="005D6E7E">
      <w:r>
        <w:separator/>
      </w:r>
    </w:p>
  </w:footnote>
  <w:footnote w:type="continuationSeparator" w:id="0">
    <w:p w14:paraId="214DEE0F" w14:textId="77777777" w:rsidR="00B54FC0" w:rsidRDefault="00B54FC0" w:rsidP="005D6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5DE45" w14:textId="77777777" w:rsidR="00596856" w:rsidRDefault="005968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7DAAF" w14:textId="77777777" w:rsidR="0088135F" w:rsidRPr="00DB1ABE" w:rsidRDefault="0088135F">
    <w:pPr>
      <w:rPr>
        <w:sz w:val="10"/>
        <w:szCs w:val="10"/>
      </w:rPr>
    </w:pPr>
  </w:p>
  <w:tbl>
    <w:tblPr>
      <w:tblW w:w="9639" w:type="dxa"/>
      <w:tblBorders>
        <w:bottom w:val="single" w:sz="6" w:space="0" w:color="DADADA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88135F" w:rsidRPr="00651EA6" w14:paraId="704A6396" w14:textId="77777777">
      <w:trPr>
        <w:trHeight w:val="425"/>
      </w:trPr>
      <w:tc>
        <w:tcPr>
          <w:tcW w:w="9639" w:type="dxa"/>
          <w:tcBorders>
            <w:bottom w:val="single" w:sz="6" w:space="0" w:color="DADADA"/>
          </w:tcBorders>
        </w:tcPr>
        <w:p w14:paraId="3C9D0EB7" w14:textId="77777777" w:rsidR="0088135F" w:rsidRPr="00651EA6" w:rsidRDefault="00651EA6" w:rsidP="00651EA6">
          <w:pPr>
            <w:pStyle w:val="Zhlav"/>
            <w:rPr>
              <w:rFonts w:cs="Arial"/>
              <w:b/>
              <w:bCs/>
              <w:caps/>
              <w:sz w:val="28"/>
              <w:szCs w:val="28"/>
              <w:lang w:val="cs-CZ" w:eastAsia="en-US"/>
            </w:rPr>
          </w:pPr>
          <w:r w:rsidRPr="00651EA6">
            <w:rPr>
              <w:rFonts w:eastAsia="Times New Roman" w:cs="Arial"/>
              <w:b/>
              <w:caps/>
              <w:sz w:val="28"/>
              <w:szCs w:val="28"/>
              <w:lang w:val="cs-CZ" w:eastAsia="en-US"/>
            </w:rPr>
            <w:t>Pravidla časového pořadí úhrad pohledávek</w:t>
          </w:r>
        </w:p>
      </w:tc>
    </w:tr>
  </w:tbl>
  <w:p w14:paraId="70DB6661" w14:textId="77777777" w:rsidR="0088135F" w:rsidRDefault="0088135F" w:rsidP="00087CA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084"/>
      <w:gridCol w:w="786"/>
      <w:gridCol w:w="786"/>
      <w:gridCol w:w="5983"/>
    </w:tblGrid>
    <w:tr w:rsidR="0088135F" w:rsidRPr="00C240F0" w14:paraId="3DE5ACDD" w14:textId="77777777">
      <w:trPr>
        <w:trHeight w:hRule="exact" w:val="284"/>
      </w:trPr>
      <w:tc>
        <w:tcPr>
          <w:tcW w:w="1956" w:type="dxa"/>
          <w:vMerge w:val="restart"/>
          <w:vAlign w:val="center"/>
        </w:tcPr>
        <w:p w14:paraId="22F7FC3E" w14:textId="434AA637" w:rsidR="0088135F" w:rsidRPr="00117649" w:rsidRDefault="00244BCF" w:rsidP="00FB09AD">
          <w:pPr>
            <w:pStyle w:val="Zhlav"/>
            <w:rPr>
              <w:rFonts w:cs="Arial"/>
              <w:lang w:val="cs-CZ" w:eastAsia="en-US"/>
            </w:rPr>
          </w:pPr>
          <w:bookmarkStart w:id="1" w:name="cj"/>
          <w:r>
            <w:rPr>
              <w:noProof/>
            </w:rPr>
            <w:drawing>
              <wp:inline distT="0" distB="0" distL="0" distR="0" wp14:anchorId="3FBA6410" wp14:editId="021A3AB3">
                <wp:extent cx="1104900" cy="4381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" w:type="dxa"/>
          <w:vAlign w:val="center"/>
        </w:tcPr>
        <w:p w14:paraId="1E94A161" w14:textId="77777777" w:rsidR="0088135F" w:rsidRPr="00117649" w:rsidRDefault="0088135F" w:rsidP="00C240F0">
          <w:pPr>
            <w:pStyle w:val="Nadpis1"/>
            <w:jc w:val="left"/>
            <w:rPr>
              <w:rFonts w:eastAsia="Times New Roman" w:cs="Arial"/>
              <w:b w:val="0"/>
              <w:bCs w:val="0"/>
              <w:caps w:val="0"/>
              <w:sz w:val="8"/>
              <w:szCs w:val="8"/>
              <w:lang w:val="cs-CZ" w:eastAsia="en-US"/>
            </w:rPr>
          </w:pPr>
        </w:p>
      </w:tc>
      <w:tc>
        <w:tcPr>
          <w:tcW w:w="737" w:type="dxa"/>
          <w:vMerge w:val="restart"/>
          <w:vAlign w:val="center"/>
        </w:tcPr>
        <w:p w14:paraId="46FFCB52" w14:textId="77777777" w:rsidR="0088135F" w:rsidRPr="00117649" w:rsidRDefault="0088135F" w:rsidP="00C240F0">
          <w:pPr>
            <w:pStyle w:val="Nadpis1"/>
            <w:jc w:val="left"/>
            <w:rPr>
              <w:rFonts w:eastAsia="Times New Roman" w:cs="Arial"/>
              <w:lang w:val="cs-CZ" w:eastAsia="en-US"/>
            </w:rPr>
          </w:pPr>
        </w:p>
      </w:tc>
      <w:tc>
        <w:tcPr>
          <w:tcW w:w="5613" w:type="dxa"/>
          <w:vMerge w:val="restart"/>
          <w:vAlign w:val="center"/>
        </w:tcPr>
        <w:p w14:paraId="5E27F4C2" w14:textId="77777777" w:rsidR="0088135F" w:rsidRPr="00117649" w:rsidRDefault="003C37E5" w:rsidP="0088135F">
          <w:pPr>
            <w:pStyle w:val="Nadpis1"/>
            <w:jc w:val="left"/>
            <w:rPr>
              <w:rFonts w:eastAsia="Times New Roman" w:cs="Arial"/>
              <w:lang w:val="cs-CZ" w:eastAsia="en-US"/>
            </w:rPr>
          </w:pPr>
          <w:r w:rsidRPr="00117649">
            <w:rPr>
              <w:rFonts w:eastAsia="Times New Roman" w:cs="Arial"/>
              <w:lang w:val="cs-CZ" w:eastAsia="en-US"/>
            </w:rPr>
            <w:t>Pravidla časového pořadí úhrad pohledávek</w:t>
          </w:r>
        </w:p>
      </w:tc>
    </w:tr>
    <w:tr w:rsidR="0088135F" w:rsidRPr="00C240F0" w14:paraId="291D9F59" w14:textId="77777777">
      <w:trPr>
        <w:trHeight w:hRule="exact" w:val="369"/>
      </w:trPr>
      <w:tc>
        <w:tcPr>
          <w:tcW w:w="1956" w:type="dxa"/>
          <w:vMerge/>
          <w:vAlign w:val="center"/>
        </w:tcPr>
        <w:p w14:paraId="2F2573D3" w14:textId="77777777" w:rsidR="0088135F" w:rsidRPr="00117649" w:rsidRDefault="0088135F" w:rsidP="00FB09AD">
          <w:pPr>
            <w:pStyle w:val="Zhlav"/>
            <w:rPr>
              <w:rFonts w:cs="Arial"/>
              <w:lang w:val="cs-CZ" w:eastAsia="en-US"/>
            </w:rPr>
          </w:pPr>
        </w:p>
      </w:tc>
      <w:tc>
        <w:tcPr>
          <w:tcW w:w="737" w:type="dxa"/>
          <w:tcBorders>
            <w:right w:val="single" w:sz="18" w:space="0" w:color="000000"/>
          </w:tcBorders>
          <w:vAlign w:val="center"/>
        </w:tcPr>
        <w:p w14:paraId="4AD941D0" w14:textId="77777777" w:rsidR="0088135F" w:rsidRPr="00117649" w:rsidRDefault="0088135F" w:rsidP="00C240F0">
          <w:pPr>
            <w:pStyle w:val="Nadpis1"/>
            <w:jc w:val="center"/>
            <w:rPr>
              <w:rFonts w:eastAsia="Times New Roman" w:cs="Arial"/>
              <w:b w:val="0"/>
              <w:bCs w:val="0"/>
              <w:caps w:val="0"/>
              <w:sz w:val="8"/>
              <w:szCs w:val="8"/>
              <w:lang w:val="cs-CZ" w:eastAsia="en-US"/>
            </w:rPr>
          </w:pPr>
        </w:p>
      </w:tc>
      <w:tc>
        <w:tcPr>
          <w:tcW w:w="737" w:type="dxa"/>
          <w:vMerge/>
          <w:tcBorders>
            <w:left w:val="single" w:sz="18" w:space="0" w:color="000000"/>
          </w:tcBorders>
        </w:tcPr>
        <w:p w14:paraId="0BBEB271" w14:textId="77777777" w:rsidR="0088135F" w:rsidRPr="00117649" w:rsidRDefault="0088135F" w:rsidP="00C240F0">
          <w:pPr>
            <w:pStyle w:val="Nadpis1"/>
            <w:jc w:val="left"/>
            <w:rPr>
              <w:rFonts w:eastAsia="Times New Roman" w:cs="Arial"/>
              <w:lang w:val="cs-CZ" w:eastAsia="en-US"/>
            </w:rPr>
          </w:pPr>
        </w:p>
      </w:tc>
      <w:tc>
        <w:tcPr>
          <w:tcW w:w="5613" w:type="dxa"/>
          <w:vMerge/>
          <w:vAlign w:val="center"/>
        </w:tcPr>
        <w:p w14:paraId="2DD03F6A" w14:textId="77777777" w:rsidR="0088135F" w:rsidRPr="00117649" w:rsidRDefault="0088135F" w:rsidP="00C240F0">
          <w:pPr>
            <w:pStyle w:val="Nadpis1"/>
            <w:jc w:val="left"/>
            <w:rPr>
              <w:rFonts w:eastAsia="Times New Roman" w:cs="Arial"/>
              <w:lang w:val="cs-CZ" w:eastAsia="en-US"/>
            </w:rPr>
          </w:pPr>
        </w:p>
      </w:tc>
    </w:tr>
    <w:tr w:rsidR="0088135F" w:rsidRPr="00C240F0" w14:paraId="0492404B" w14:textId="77777777">
      <w:trPr>
        <w:trHeight w:hRule="exact" w:val="284"/>
      </w:trPr>
      <w:tc>
        <w:tcPr>
          <w:tcW w:w="1956" w:type="dxa"/>
          <w:vMerge/>
          <w:vAlign w:val="center"/>
        </w:tcPr>
        <w:p w14:paraId="7076EB00" w14:textId="77777777" w:rsidR="0088135F" w:rsidRPr="00117649" w:rsidRDefault="0088135F" w:rsidP="00FB09AD">
          <w:pPr>
            <w:pStyle w:val="Zhlav"/>
            <w:rPr>
              <w:rFonts w:cs="Arial"/>
              <w:lang w:val="cs-CZ" w:eastAsia="en-US"/>
            </w:rPr>
          </w:pPr>
        </w:p>
      </w:tc>
      <w:tc>
        <w:tcPr>
          <w:tcW w:w="737" w:type="dxa"/>
          <w:vAlign w:val="center"/>
        </w:tcPr>
        <w:p w14:paraId="1D225EC1" w14:textId="77777777" w:rsidR="0088135F" w:rsidRPr="00117649" w:rsidRDefault="0088135F" w:rsidP="00C240F0">
          <w:pPr>
            <w:pStyle w:val="Nadpis1"/>
            <w:jc w:val="center"/>
            <w:rPr>
              <w:rFonts w:eastAsia="Times New Roman" w:cs="Arial"/>
              <w:b w:val="0"/>
              <w:bCs w:val="0"/>
              <w:caps w:val="0"/>
              <w:sz w:val="8"/>
              <w:szCs w:val="8"/>
              <w:lang w:val="cs-CZ" w:eastAsia="en-US"/>
            </w:rPr>
          </w:pPr>
        </w:p>
      </w:tc>
      <w:tc>
        <w:tcPr>
          <w:tcW w:w="737" w:type="dxa"/>
          <w:vMerge/>
        </w:tcPr>
        <w:p w14:paraId="4A99E06A" w14:textId="77777777" w:rsidR="0088135F" w:rsidRPr="00117649" w:rsidRDefault="0088135F" w:rsidP="00C240F0">
          <w:pPr>
            <w:pStyle w:val="Nadpis1"/>
            <w:jc w:val="left"/>
            <w:rPr>
              <w:rFonts w:eastAsia="Times New Roman" w:cs="Arial"/>
              <w:sz w:val="8"/>
              <w:szCs w:val="8"/>
              <w:lang w:val="cs-CZ" w:eastAsia="en-US"/>
            </w:rPr>
          </w:pPr>
        </w:p>
      </w:tc>
      <w:tc>
        <w:tcPr>
          <w:tcW w:w="5613" w:type="dxa"/>
          <w:vMerge/>
          <w:vAlign w:val="center"/>
        </w:tcPr>
        <w:p w14:paraId="0C43153B" w14:textId="77777777" w:rsidR="0088135F" w:rsidRPr="00117649" w:rsidRDefault="0088135F" w:rsidP="00C240F0">
          <w:pPr>
            <w:pStyle w:val="Nadpis1"/>
            <w:jc w:val="left"/>
            <w:rPr>
              <w:rFonts w:eastAsia="Times New Roman" w:cs="Arial"/>
              <w:lang w:val="cs-CZ" w:eastAsia="en-US"/>
            </w:rPr>
          </w:pPr>
        </w:p>
      </w:tc>
    </w:tr>
  </w:tbl>
  <w:p w14:paraId="79B93823" w14:textId="77777777" w:rsidR="0088135F" w:rsidRDefault="0088135F" w:rsidP="00441554">
    <w:pPr>
      <w:pStyle w:val="Zhlav"/>
      <w:tabs>
        <w:tab w:val="clear" w:pos="4536"/>
        <w:tab w:val="clear" w:pos="9072"/>
        <w:tab w:val="left" w:pos="3872"/>
      </w:tabs>
    </w:pPr>
  </w:p>
  <w:bookmarkEnd w:id="1"/>
  <w:p w14:paraId="51AB8E13" w14:textId="77777777" w:rsidR="0088135F" w:rsidRDefault="0088135F" w:rsidP="00F31A66">
    <w:pPr>
      <w:pStyle w:val="Zhlav"/>
    </w:pPr>
  </w:p>
  <w:p w14:paraId="3D765661" w14:textId="77777777" w:rsidR="009F20DA" w:rsidRDefault="009F20DA" w:rsidP="00F31A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19F9"/>
    <w:multiLevelType w:val="hybridMultilevel"/>
    <w:tmpl w:val="4BCC3A80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A062DF"/>
    <w:multiLevelType w:val="hybridMultilevel"/>
    <w:tmpl w:val="865055DE"/>
    <w:lvl w:ilvl="0" w:tplc="FFFFFFFF">
      <w:start w:val="1"/>
      <w:numFmt w:val="bullet"/>
      <w:lvlText w:val=""/>
      <w:legacy w:legacy="1" w:legacySpace="0" w:legacyIndent="284"/>
      <w:lvlJc w:val="left"/>
      <w:pPr>
        <w:ind w:left="284" w:hanging="284"/>
      </w:pPr>
      <w:rPr>
        <w:rFonts w:ascii="Wingdings" w:hAnsi="Wingdings" w:cs="Wingdings" w:hint="default"/>
        <w:sz w:val="14"/>
        <w:szCs w:val="1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4D6064"/>
    <w:multiLevelType w:val="hybridMultilevel"/>
    <w:tmpl w:val="683413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A4C9E"/>
    <w:multiLevelType w:val="hybridMultilevel"/>
    <w:tmpl w:val="EE62B45C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  <w:b w:val="0"/>
        <w:bCs w:val="0"/>
        <w:i w:val="0"/>
        <w:iCs w:val="0"/>
        <w:sz w:val="14"/>
        <w:szCs w:val="1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6057C37"/>
    <w:multiLevelType w:val="hybridMultilevel"/>
    <w:tmpl w:val="90A23820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D6C63CB"/>
    <w:multiLevelType w:val="hybridMultilevel"/>
    <w:tmpl w:val="55749E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A2C0D"/>
    <w:multiLevelType w:val="hybridMultilevel"/>
    <w:tmpl w:val="9CAC03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B88477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3EFB54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84E3A"/>
    <w:multiLevelType w:val="hybridMultilevel"/>
    <w:tmpl w:val="A912BFB4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ECC7914"/>
    <w:multiLevelType w:val="hybridMultilevel"/>
    <w:tmpl w:val="7CB83F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B4D49"/>
    <w:multiLevelType w:val="hybridMultilevel"/>
    <w:tmpl w:val="388CDC1C"/>
    <w:lvl w:ilvl="0" w:tplc="9650196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DE4D7F"/>
    <w:multiLevelType w:val="hybridMultilevel"/>
    <w:tmpl w:val="CF1E48B2"/>
    <w:lvl w:ilvl="0" w:tplc="FFFFFFFF">
      <w:start w:val="1"/>
      <w:numFmt w:val="lowerRoman"/>
      <w:lvlText w:val="%1)"/>
      <w:lvlJc w:val="left"/>
      <w:pPr>
        <w:tabs>
          <w:tab w:val="num" w:pos="1429"/>
        </w:tabs>
        <w:ind w:left="1429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1D277A"/>
    <w:multiLevelType w:val="hybridMultilevel"/>
    <w:tmpl w:val="5D3ACF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3117B"/>
    <w:multiLevelType w:val="hybridMultilevel"/>
    <w:tmpl w:val="9FEA41E4"/>
    <w:lvl w:ilvl="0" w:tplc="BFD60CCA">
      <w:start w:val="1"/>
      <w:numFmt w:val="lowerRoman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E73682"/>
    <w:multiLevelType w:val="hybridMultilevel"/>
    <w:tmpl w:val="B746714E"/>
    <w:lvl w:ilvl="0" w:tplc="D8326E96">
      <w:start w:val="1"/>
      <w:numFmt w:val="lowerRoman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E4D71"/>
    <w:multiLevelType w:val="hybridMultilevel"/>
    <w:tmpl w:val="64602EF4"/>
    <w:lvl w:ilvl="0" w:tplc="8B88477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83CE1"/>
    <w:multiLevelType w:val="hybridMultilevel"/>
    <w:tmpl w:val="38A8E5BC"/>
    <w:lvl w:ilvl="0" w:tplc="F60A89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74964"/>
    <w:multiLevelType w:val="hybridMultilevel"/>
    <w:tmpl w:val="A9D019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0"/>
  </w:num>
  <w:num w:numId="7">
    <w:abstractNumId w:val="12"/>
  </w:num>
  <w:num w:numId="8">
    <w:abstractNumId w:val="13"/>
  </w:num>
  <w:num w:numId="9">
    <w:abstractNumId w:val="8"/>
  </w:num>
  <w:num w:numId="10">
    <w:abstractNumId w:val="3"/>
  </w:num>
  <w:num w:numId="11">
    <w:abstractNumId w:val="1"/>
  </w:num>
  <w:num w:numId="12">
    <w:abstractNumId w:val="11"/>
  </w:num>
  <w:num w:numId="13">
    <w:abstractNumId w:val="2"/>
  </w:num>
  <w:num w:numId="14">
    <w:abstractNumId w:val="9"/>
  </w:num>
  <w:num w:numId="15">
    <w:abstractNumId w:val="5"/>
  </w:num>
  <w:num w:numId="16">
    <w:abstractNumId w:val="6"/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forms" w:formatting="1" w:enforcement="0"/>
  <w:defaultTabStop w:val="708"/>
  <w:hyphenationZone w:val="425"/>
  <w:drawingGridHorizontalSpacing w:val="9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D8F"/>
    <w:rsid w:val="00001229"/>
    <w:rsid w:val="000277FF"/>
    <w:rsid w:val="00036FE1"/>
    <w:rsid w:val="00052D08"/>
    <w:rsid w:val="00086D1A"/>
    <w:rsid w:val="00087CAC"/>
    <w:rsid w:val="00095797"/>
    <w:rsid w:val="000A38D3"/>
    <w:rsid w:val="000B6C9F"/>
    <w:rsid w:val="000C6B99"/>
    <w:rsid w:val="000D39A4"/>
    <w:rsid w:val="000D5A83"/>
    <w:rsid w:val="000E3573"/>
    <w:rsid w:val="00117649"/>
    <w:rsid w:val="00134666"/>
    <w:rsid w:val="0015385D"/>
    <w:rsid w:val="00157152"/>
    <w:rsid w:val="0015724E"/>
    <w:rsid w:val="00157DDD"/>
    <w:rsid w:val="001604F9"/>
    <w:rsid w:val="00184ED6"/>
    <w:rsid w:val="0019696E"/>
    <w:rsid w:val="001A2663"/>
    <w:rsid w:val="001A2688"/>
    <w:rsid w:val="001A2829"/>
    <w:rsid w:val="001B26EC"/>
    <w:rsid w:val="001C5096"/>
    <w:rsid w:val="001C5345"/>
    <w:rsid w:val="001D5292"/>
    <w:rsid w:val="001D652C"/>
    <w:rsid w:val="001D6DF7"/>
    <w:rsid w:val="001E2DEA"/>
    <w:rsid w:val="001E416F"/>
    <w:rsid w:val="00205ED3"/>
    <w:rsid w:val="002370F0"/>
    <w:rsid w:val="0024183A"/>
    <w:rsid w:val="00244BCF"/>
    <w:rsid w:val="0025033D"/>
    <w:rsid w:val="00252601"/>
    <w:rsid w:val="002A569F"/>
    <w:rsid w:val="002B40E7"/>
    <w:rsid w:val="00307B65"/>
    <w:rsid w:val="00320F05"/>
    <w:rsid w:val="003304EA"/>
    <w:rsid w:val="003559A0"/>
    <w:rsid w:val="0036191D"/>
    <w:rsid w:val="003624B9"/>
    <w:rsid w:val="003922E8"/>
    <w:rsid w:val="003B1C04"/>
    <w:rsid w:val="003B57B2"/>
    <w:rsid w:val="003C37E5"/>
    <w:rsid w:val="003D14AE"/>
    <w:rsid w:val="003F2067"/>
    <w:rsid w:val="003F6E1F"/>
    <w:rsid w:val="00441554"/>
    <w:rsid w:val="004541F1"/>
    <w:rsid w:val="00466DD7"/>
    <w:rsid w:val="004806EC"/>
    <w:rsid w:val="00481C81"/>
    <w:rsid w:val="00486001"/>
    <w:rsid w:val="004906DD"/>
    <w:rsid w:val="00491A59"/>
    <w:rsid w:val="004B3AA9"/>
    <w:rsid w:val="004D3F8B"/>
    <w:rsid w:val="004E7A09"/>
    <w:rsid w:val="00501963"/>
    <w:rsid w:val="005207C2"/>
    <w:rsid w:val="0053640B"/>
    <w:rsid w:val="00585304"/>
    <w:rsid w:val="00590039"/>
    <w:rsid w:val="005935F0"/>
    <w:rsid w:val="00595899"/>
    <w:rsid w:val="00595E95"/>
    <w:rsid w:val="00596856"/>
    <w:rsid w:val="005B40E1"/>
    <w:rsid w:val="005B5D1B"/>
    <w:rsid w:val="005B7842"/>
    <w:rsid w:val="005C365F"/>
    <w:rsid w:val="005D6E7E"/>
    <w:rsid w:val="005E09D3"/>
    <w:rsid w:val="005E30E4"/>
    <w:rsid w:val="005E7464"/>
    <w:rsid w:val="005F2607"/>
    <w:rsid w:val="005F72D7"/>
    <w:rsid w:val="005F7D35"/>
    <w:rsid w:val="00610D77"/>
    <w:rsid w:val="00617108"/>
    <w:rsid w:val="0063058E"/>
    <w:rsid w:val="00635CB9"/>
    <w:rsid w:val="0065032C"/>
    <w:rsid w:val="00651EA6"/>
    <w:rsid w:val="00654361"/>
    <w:rsid w:val="00655E78"/>
    <w:rsid w:val="00656B0E"/>
    <w:rsid w:val="00683273"/>
    <w:rsid w:val="0068467C"/>
    <w:rsid w:val="0069420D"/>
    <w:rsid w:val="006B5416"/>
    <w:rsid w:val="006C0A8E"/>
    <w:rsid w:val="006D5FF5"/>
    <w:rsid w:val="006D7939"/>
    <w:rsid w:val="006E1B1F"/>
    <w:rsid w:val="007166B7"/>
    <w:rsid w:val="00736079"/>
    <w:rsid w:val="0074526C"/>
    <w:rsid w:val="0074754E"/>
    <w:rsid w:val="00764F85"/>
    <w:rsid w:val="007724CA"/>
    <w:rsid w:val="00794F42"/>
    <w:rsid w:val="007A2835"/>
    <w:rsid w:val="007C00FC"/>
    <w:rsid w:val="007C25B8"/>
    <w:rsid w:val="007D12B9"/>
    <w:rsid w:val="008124D3"/>
    <w:rsid w:val="00837E8E"/>
    <w:rsid w:val="008430C5"/>
    <w:rsid w:val="00856BF4"/>
    <w:rsid w:val="00861054"/>
    <w:rsid w:val="00872A55"/>
    <w:rsid w:val="0087491E"/>
    <w:rsid w:val="0088135F"/>
    <w:rsid w:val="008A5645"/>
    <w:rsid w:val="008C5A71"/>
    <w:rsid w:val="008C7B10"/>
    <w:rsid w:val="008D1CDE"/>
    <w:rsid w:val="008E1FE4"/>
    <w:rsid w:val="008E5606"/>
    <w:rsid w:val="008F6F85"/>
    <w:rsid w:val="00933707"/>
    <w:rsid w:val="00944A31"/>
    <w:rsid w:val="00947459"/>
    <w:rsid w:val="00972327"/>
    <w:rsid w:val="00991C53"/>
    <w:rsid w:val="009D7EFD"/>
    <w:rsid w:val="009E21C9"/>
    <w:rsid w:val="009F20DA"/>
    <w:rsid w:val="00A005B1"/>
    <w:rsid w:val="00A01F94"/>
    <w:rsid w:val="00A171A6"/>
    <w:rsid w:val="00A36C2B"/>
    <w:rsid w:val="00A54CCD"/>
    <w:rsid w:val="00A64B07"/>
    <w:rsid w:val="00A75611"/>
    <w:rsid w:val="00A77E49"/>
    <w:rsid w:val="00AA1D91"/>
    <w:rsid w:val="00AB5BE8"/>
    <w:rsid w:val="00AC703F"/>
    <w:rsid w:val="00AD74CA"/>
    <w:rsid w:val="00AE37C5"/>
    <w:rsid w:val="00AE628E"/>
    <w:rsid w:val="00AF5459"/>
    <w:rsid w:val="00B025EC"/>
    <w:rsid w:val="00B17C1D"/>
    <w:rsid w:val="00B23D47"/>
    <w:rsid w:val="00B24176"/>
    <w:rsid w:val="00B25C79"/>
    <w:rsid w:val="00B31020"/>
    <w:rsid w:val="00B4430E"/>
    <w:rsid w:val="00B459B1"/>
    <w:rsid w:val="00B462AC"/>
    <w:rsid w:val="00B54FC0"/>
    <w:rsid w:val="00B7469D"/>
    <w:rsid w:val="00B80746"/>
    <w:rsid w:val="00B94078"/>
    <w:rsid w:val="00B972BB"/>
    <w:rsid w:val="00BA546B"/>
    <w:rsid w:val="00BB0AC4"/>
    <w:rsid w:val="00BE1D97"/>
    <w:rsid w:val="00BF14FF"/>
    <w:rsid w:val="00BF45DC"/>
    <w:rsid w:val="00C072F5"/>
    <w:rsid w:val="00C13FA1"/>
    <w:rsid w:val="00C240F0"/>
    <w:rsid w:val="00C41D8F"/>
    <w:rsid w:val="00C53692"/>
    <w:rsid w:val="00C54D2A"/>
    <w:rsid w:val="00C560A4"/>
    <w:rsid w:val="00C62242"/>
    <w:rsid w:val="00C81B91"/>
    <w:rsid w:val="00C926F1"/>
    <w:rsid w:val="00C9369D"/>
    <w:rsid w:val="00CA0CED"/>
    <w:rsid w:val="00CA0EA3"/>
    <w:rsid w:val="00CA5118"/>
    <w:rsid w:val="00CC5781"/>
    <w:rsid w:val="00CD0B6E"/>
    <w:rsid w:val="00CD4F07"/>
    <w:rsid w:val="00CE5B65"/>
    <w:rsid w:val="00D00E04"/>
    <w:rsid w:val="00D0344D"/>
    <w:rsid w:val="00D21D7C"/>
    <w:rsid w:val="00D433E1"/>
    <w:rsid w:val="00D66A48"/>
    <w:rsid w:val="00D6713F"/>
    <w:rsid w:val="00D70F74"/>
    <w:rsid w:val="00D73228"/>
    <w:rsid w:val="00D865D8"/>
    <w:rsid w:val="00D92CDD"/>
    <w:rsid w:val="00DA4F3C"/>
    <w:rsid w:val="00DA7946"/>
    <w:rsid w:val="00DB1ABE"/>
    <w:rsid w:val="00DE100E"/>
    <w:rsid w:val="00E158ED"/>
    <w:rsid w:val="00E17A4F"/>
    <w:rsid w:val="00E44DD2"/>
    <w:rsid w:val="00E54F74"/>
    <w:rsid w:val="00E65FF8"/>
    <w:rsid w:val="00E743AF"/>
    <w:rsid w:val="00E877B9"/>
    <w:rsid w:val="00E87ED1"/>
    <w:rsid w:val="00EA0966"/>
    <w:rsid w:val="00F14447"/>
    <w:rsid w:val="00F31A66"/>
    <w:rsid w:val="00F329E3"/>
    <w:rsid w:val="00F344A9"/>
    <w:rsid w:val="00F5692C"/>
    <w:rsid w:val="00F723BB"/>
    <w:rsid w:val="00F73757"/>
    <w:rsid w:val="00F76E45"/>
    <w:rsid w:val="00F90AD6"/>
    <w:rsid w:val="00F946F3"/>
    <w:rsid w:val="00F96518"/>
    <w:rsid w:val="00F96FBB"/>
    <w:rsid w:val="00FB09AD"/>
    <w:rsid w:val="00FB40C7"/>
    <w:rsid w:val="00FE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3F0A76"/>
  <w15:chartTrackingRefBased/>
  <w15:docId w15:val="{F6967957-8EC4-4FE9-9D31-761080C8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cho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25EC"/>
    <w:rPr>
      <w:rFonts w:cs="Arial"/>
      <w:sz w:val="18"/>
      <w:szCs w:val="18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5D6E7E"/>
    <w:pPr>
      <w:keepNext/>
      <w:keepLines/>
      <w:jc w:val="right"/>
      <w:outlineLvl w:val="0"/>
    </w:pPr>
    <w:rPr>
      <w:rFonts w:cs="Times New Roman"/>
      <w:b/>
      <w:bCs/>
      <w:caps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5B5D1B"/>
    <w:pPr>
      <w:keepNext/>
      <w:keepLines/>
      <w:spacing w:before="200"/>
      <w:outlineLvl w:val="1"/>
    </w:pPr>
    <w:rPr>
      <w:rFonts w:cs="Times New Roman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5B5D1B"/>
    <w:pPr>
      <w:keepNext/>
      <w:keepLines/>
      <w:spacing w:before="200"/>
      <w:outlineLvl w:val="2"/>
    </w:pPr>
    <w:rPr>
      <w:rFonts w:cs="Times New Roman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5B5D1B"/>
    <w:pPr>
      <w:keepNext/>
      <w:keepLines/>
      <w:spacing w:before="200"/>
      <w:outlineLvl w:val="3"/>
    </w:pPr>
    <w:rPr>
      <w:rFonts w:cs="Times New Roman"/>
      <w:b/>
      <w:bCs/>
      <w:i/>
      <w:iCs/>
      <w:color w:val="4F81BD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5D6E7E"/>
    <w:rPr>
      <w:rFonts w:ascii="Arial" w:hAnsi="Arial" w:cs="Arial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9"/>
    <w:rsid w:val="005B5D1B"/>
    <w:rPr>
      <w:rFonts w:ascii="Arial" w:hAnsi="Arial" w:cs="Arial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9"/>
    <w:rsid w:val="005B5D1B"/>
    <w:rPr>
      <w:rFonts w:ascii="Arial" w:hAnsi="Arial" w:cs="Arial"/>
      <w:b/>
      <w:bCs/>
      <w:color w:val="4F81BD"/>
    </w:rPr>
  </w:style>
  <w:style w:type="character" w:customStyle="1" w:styleId="Nadpis4Char">
    <w:name w:val="Nadpis 4 Char"/>
    <w:link w:val="Nadpis4"/>
    <w:uiPriority w:val="99"/>
    <w:rsid w:val="005B5D1B"/>
    <w:rPr>
      <w:rFonts w:ascii="Arial" w:hAnsi="Arial" w:cs="Arial"/>
      <w:b/>
      <w:bCs/>
      <w:i/>
      <w:iCs/>
      <w:color w:val="4F81BD"/>
    </w:rPr>
  </w:style>
  <w:style w:type="paragraph" w:styleId="Bezmezer">
    <w:name w:val="No Spacing"/>
    <w:uiPriority w:val="99"/>
    <w:qFormat/>
    <w:rsid w:val="005B5D1B"/>
    <w:pPr>
      <w:ind w:left="227" w:hanging="227"/>
    </w:pPr>
    <w:rPr>
      <w:rFonts w:cs="Arial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rsid w:val="005D6E7E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rsid w:val="005D6E7E"/>
    <w:rPr>
      <w:rFonts w:ascii="Arial" w:hAnsi="Arial" w:cs="Arial"/>
      <w:sz w:val="18"/>
      <w:szCs w:val="18"/>
    </w:rPr>
  </w:style>
  <w:style w:type="paragraph" w:styleId="Zpat">
    <w:name w:val="footer"/>
    <w:basedOn w:val="Normln"/>
    <w:link w:val="ZpatChar"/>
    <w:uiPriority w:val="99"/>
    <w:rsid w:val="005D6E7E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5D6E7E"/>
    <w:rPr>
      <w:rFonts w:ascii="Arial" w:hAnsi="Arial" w:cs="Arial"/>
      <w:sz w:val="18"/>
      <w:szCs w:val="18"/>
    </w:rPr>
  </w:style>
  <w:style w:type="table" w:styleId="Mkatabulky">
    <w:name w:val="Table Grid"/>
    <w:basedOn w:val="Normlntabulka"/>
    <w:uiPriority w:val="59"/>
    <w:rsid w:val="005D6E7E"/>
    <w:rPr>
      <w:rFonts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E158ED"/>
    <w:pPr>
      <w:ind w:left="720"/>
      <w:contextualSpacing/>
    </w:pPr>
  </w:style>
  <w:style w:type="character" w:styleId="Hypertextovodkaz">
    <w:name w:val="Hyperlink"/>
    <w:uiPriority w:val="99"/>
    <w:rsid w:val="00595E95"/>
    <w:rPr>
      <w:color w:val="0000FF"/>
      <w:u w:val="single"/>
    </w:rPr>
  </w:style>
  <w:style w:type="character" w:styleId="slostrnky">
    <w:name w:val="page number"/>
    <w:rsid w:val="00184ED6"/>
    <w:rPr>
      <w:rFonts w:ascii="Arial" w:hAnsi="Arial" w:cs="Arial"/>
      <w:sz w:val="16"/>
      <w:szCs w:val="16"/>
    </w:rPr>
  </w:style>
  <w:style w:type="paragraph" w:customStyle="1" w:styleId="kbFixedtext">
    <w:name w:val="kb_Fixed_text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sz w:val="16"/>
      <w:szCs w:val="16"/>
      <w:lang w:eastAsia="cs-CZ"/>
    </w:rPr>
  </w:style>
  <w:style w:type="paragraph" w:customStyle="1" w:styleId="kbRegistration">
    <w:name w:val="kb_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caps/>
      <w:sz w:val="8"/>
      <w:szCs w:val="8"/>
      <w:lang w:eastAsia="cs-CZ"/>
    </w:rPr>
  </w:style>
  <w:style w:type="paragraph" w:customStyle="1" w:styleId="Registration">
    <w:name w:val="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caps/>
      <w:sz w:val="8"/>
      <w:szCs w:val="8"/>
      <w:lang w:eastAsia="cs-CZ"/>
    </w:rPr>
  </w:style>
  <w:style w:type="character" w:styleId="Odkaznakoment">
    <w:name w:val="annotation reference"/>
    <w:uiPriority w:val="99"/>
    <w:semiHidden/>
    <w:rsid w:val="00D70F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70F74"/>
    <w:rPr>
      <w:rFonts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70F74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70F7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70F74"/>
    <w:rPr>
      <w:rFonts w:ascii="Arial" w:hAnsi="Arial" w:cs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D70F7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70F74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5724E"/>
    <w:rPr>
      <w:rFonts w:cs="Arial"/>
      <w:sz w:val="18"/>
      <w:szCs w:val="18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0D39A4"/>
    <w:rPr>
      <w:rFonts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0D39A4"/>
    <w:rPr>
      <w:rFonts w:ascii="Arial" w:hAnsi="Arial" w:cs="Arial"/>
      <w:sz w:val="20"/>
      <w:szCs w:val="20"/>
    </w:rPr>
  </w:style>
  <w:style w:type="character" w:styleId="Znakapoznpodarou">
    <w:name w:val="footnote reference"/>
    <w:uiPriority w:val="99"/>
    <w:semiHidden/>
    <w:rsid w:val="000D39A4"/>
    <w:rPr>
      <w:position w:val="6"/>
      <w:sz w:val="16"/>
      <w:szCs w:val="16"/>
    </w:rPr>
  </w:style>
  <w:style w:type="paragraph" w:customStyle="1" w:styleId="Odstavecseseznamem1">
    <w:name w:val="Odstavec se seznamem1"/>
    <w:basedOn w:val="Normln"/>
    <w:rsid w:val="00F31A66"/>
    <w:pPr>
      <w:ind w:left="720"/>
    </w:pPr>
  </w:style>
  <w:style w:type="character" w:customStyle="1" w:styleId="Styl10b">
    <w:name w:val="Styl 10 b."/>
    <w:rsid w:val="006D5FF5"/>
    <w:rPr>
      <w:sz w:val="18"/>
    </w:rPr>
  </w:style>
  <w:style w:type="paragraph" w:customStyle="1" w:styleId="Default">
    <w:name w:val="Default"/>
    <w:rsid w:val="006B5416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18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PRAVIDLA ČASOVÉHO POŘADÍ ÚHRAD POHLEDÁVEK</vt:lpstr>
    </vt:vector>
  </TitlesOfParts>
  <Company>Komerční banka, a.s.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 ČASOVÉHO POŘADÍ ÚHRAD POHLEDÁVEK</dc:title>
  <dc:subject/>
  <dc:creator>Madleova Jana</dc:creator>
  <cp:keywords/>
  <cp:lastModifiedBy>Šmerková Hana</cp:lastModifiedBy>
  <cp:revision>2</cp:revision>
  <cp:lastPrinted>2014-06-23T15:08:00Z</cp:lastPrinted>
  <dcterms:created xsi:type="dcterms:W3CDTF">2025-04-09T07:33:00Z</dcterms:created>
  <dcterms:modified xsi:type="dcterms:W3CDTF">2025-04-09T07:33:00Z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2025-03-28T09:06:22Z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076d9757-80ae-4c87-b4d7-9ffa7a0710d0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133b1f74-095e-444a-901e-4ded607e8b2e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