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BA4A3" w14:textId="77777777" w:rsidR="009C278C" w:rsidRDefault="00000000">
      <w:pPr>
        <w:spacing w:after="148" w:line="259" w:lineRule="auto"/>
        <w:ind w:left="252" w:firstLine="0"/>
        <w:jc w:val="center"/>
      </w:pPr>
      <w:r>
        <w:rPr>
          <w:u w:val="single" w:color="000000"/>
        </w:rPr>
        <w:t>SMLOUVA O REALIZACI DIVADELNÍHO PŘEDSTAVENÍ</w:t>
      </w:r>
    </w:p>
    <w:p w14:paraId="14B7EFE3" w14:textId="01A9B2EC" w:rsidR="009C278C" w:rsidRDefault="00000000">
      <w:pPr>
        <w:spacing w:after="114"/>
        <w:ind w:left="24"/>
      </w:pPr>
      <w:r>
        <w:t>Objednavatel:</w:t>
      </w:r>
    </w:p>
    <w:p w14:paraId="6F7A95E1" w14:textId="77777777" w:rsidR="009C278C" w:rsidRDefault="00000000">
      <w:pPr>
        <w:ind w:left="89"/>
      </w:pPr>
      <w:r>
        <w:t>Smetanův dům Litomyšl</w:t>
      </w:r>
    </w:p>
    <w:p w14:paraId="4CD4BE57" w14:textId="77777777" w:rsidR="009C278C" w:rsidRDefault="00000000">
      <w:pPr>
        <w:ind w:left="24"/>
      </w:pPr>
      <w:r>
        <w:t>Komenského nám. 402</w:t>
      </w:r>
    </w:p>
    <w:p w14:paraId="1896F523" w14:textId="77777777" w:rsidR="009C278C" w:rsidRDefault="00000000">
      <w:pPr>
        <w:spacing w:after="26"/>
        <w:ind w:left="24" w:right="7980"/>
      </w:pPr>
      <w:r>
        <w:t>570 01 Litomyšl IČO: 00527416</w:t>
      </w:r>
    </w:p>
    <w:p w14:paraId="7246F7E9" w14:textId="149EEF92" w:rsidR="009C278C" w:rsidRDefault="00000000">
      <w:pPr>
        <w:ind w:left="24"/>
      </w:pPr>
      <w:r>
        <w:t xml:space="preserve">č. </w:t>
      </w:r>
      <w:proofErr w:type="spellStart"/>
      <w:r>
        <w:t>ú.</w:t>
      </w:r>
      <w:proofErr w:type="spellEnd"/>
      <w:r>
        <w:t xml:space="preserve"> MONETA MONEY BANK </w:t>
      </w:r>
      <w:r w:rsidR="00F543B4">
        <w:t>…………………………….</w:t>
      </w:r>
    </w:p>
    <w:tbl>
      <w:tblPr>
        <w:tblStyle w:val="TableGrid"/>
        <w:tblW w:w="10277" w:type="dxa"/>
        <w:tblInd w:w="29" w:type="dxa"/>
        <w:tblCellMar>
          <w:top w:w="2" w:type="dxa"/>
          <w:left w:w="0" w:type="dxa"/>
          <w:bottom w:w="1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7758"/>
        <w:gridCol w:w="988"/>
      </w:tblGrid>
      <w:tr w:rsidR="009C278C" w14:paraId="3EAC5A1F" w14:textId="77777777" w:rsidTr="00F543B4">
        <w:trPr>
          <w:trHeight w:val="604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7A18854" w14:textId="746EE457" w:rsidR="009C278C" w:rsidRDefault="00000000">
            <w:pPr>
              <w:spacing w:after="208" w:line="259" w:lineRule="auto"/>
              <w:ind w:left="50" w:firstLine="0"/>
              <w:jc w:val="left"/>
            </w:pPr>
            <w:r>
              <w:t xml:space="preserve">Zastoupený: </w:t>
            </w:r>
            <w:r w:rsidR="00F543B4">
              <w:t>…</w:t>
            </w:r>
            <w:proofErr w:type="gramStart"/>
            <w:r w:rsidR="00F543B4">
              <w:t>…….</w:t>
            </w:r>
            <w:proofErr w:type="gramEnd"/>
            <w:r w:rsidR="00F543B4">
              <w:t>.</w:t>
            </w:r>
          </w:p>
          <w:p w14:paraId="7AF7BA88" w14:textId="4D1777EE" w:rsidR="009C278C" w:rsidRDefault="00000000">
            <w:pPr>
              <w:spacing w:after="255" w:line="259" w:lineRule="auto"/>
              <w:ind w:left="22" w:firstLine="0"/>
              <w:jc w:val="left"/>
            </w:pPr>
            <w:r>
              <w:t>Dodavatel:</w:t>
            </w:r>
          </w:p>
          <w:p w14:paraId="0CBBE035" w14:textId="77777777" w:rsidR="009C278C" w:rsidRDefault="00000000">
            <w:pPr>
              <w:spacing w:after="0" w:line="259" w:lineRule="auto"/>
              <w:ind w:left="36" w:firstLine="0"/>
              <w:jc w:val="left"/>
            </w:pPr>
            <w:r>
              <w:t>POINT, s.r.o.</w:t>
            </w:r>
            <w:r>
              <w:rPr>
                <w:noProof/>
              </w:rPr>
              <w:drawing>
                <wp:inline distT="0" distB="0" distL="0" distR="0" wp14:anchorId="17C95818" wp14:editId="2245579A">
                  <wp:extent cx="4573" cy="4574"/>
                  <wp:effectExtent l="0" t="0" r="0" b="0"/>
                  <wp:docPr id="1929" name="Picture 1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" name="Picture 19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93E8257" wp14:editId="4E1B23D0">
                  <wp:extent cx="4574" cy="4574"/>
                  <wp:effectExtent l="0" t="0" r="0" b="0"/>
                  <wp:docPr id="1928" name="Picture 1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" name="Picture 19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  <w:p w14:paraId="1E94FAD7" w14:textId="77777777" w:rsidR="009C278C" w:rsidRDefault="00000000">
            <w:pPr>
              <w:spacing w:after="3" w:line="259" w:lineRule="auto"/>
              <w:ind w:left="29" w:firstLine="0"/>
              <w:jc w:val="left"/>
            </w:pPr>
            <w:r>
              <w:t>V Přelomu 3/45</w:t>
            </w:r>
          </w:p>
          <w:p w14:paraId="5467DCAD" w14:textId="77777777" w:rsidR="009C278C" w:rsidRDefault="00000000">
            <w:pPr>
              <w:spacing w:after="0" w:line="259" w:lineRule="auto"/>
              <w:ind w:left="43" w:firstLine="0"/>
              <w:jc w:val="left"/>
            </w:pPr>
            <w:r>
              <w:t>150 00 Praha 5</w:t>
            </w:r>
          </w:p>
          <w:p w14:paraId="2F89B922" w14:textId="77777777" w:rsidR="009C278C" w:rsidRDefault="00000000">
            <w:pPr>
              <w:spacing w:after="12" w:line="259" w:lineRule="auto"/>
              <w:ind w:left="36" w:firstLine="0"/>
              <w:jc w:val="left"/>
            </w:pPr>
            <w:r>
              <w:t>IČO: 60472146</w:t>
            </w:r>
          </w:p>
          <w:p w14:paraId="5190107D" w14:textId="77777777" w:rsidR="009C278C" w:rsidRDefault="00000000">
            <w:pPr>
              <w:spacing w:after="0" w:line="259" w:lineRule="auto"/>
              <w:ind w:left="36" w:firstLine="0"/>
              <w:jc w:val="left"/>
            </w:pPr>
            <w:r>
              <w:t>DIČ: CZ60472146</w:t>
            </w:r>
          </w:p>
        </w:tc>
        <w:tc>
          <w:tcPr>
            <w:tcW w:w="7758" w:type="dxa"/>
            <w:tcBorders>
              <w:top w:val="nil"/>
              <w:left w:val="nil"/>
              <w:bottom w:val="nil"/>
              <w:right w:val="nil"/>
            </w:tcBorders>
          </w:tcPr>
          <w:p w14:paraId="1ED55BA9" w14:textId="161B878E" w:rsidR="009C278C" w:rsidRDefault="00F543B4">
            <w:pPr>
              <w:spacing w:after="0" w:line="259" w:lineRule="auto"/>
              <w:ind w:left="14" w:firstLine="0"/>
              <w:jc w:val="left"/>
            </w:pPr>
            <w:r>
              <w:t>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  <w:r w:rsidR="00000000">
              <w:t>, ředitelem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A2A2A79" w14:textId="77777777" w:rsidR="009C278C" w:rsidRDefault="009C278C">
            <w:pPr>
              <w:spacing w:after="160" w:line="259" w:lineRule="auto"/>
              <w:ind w:left="0" w:firstLine="0"/>
              <w:jc w:val="left"/>
            </w:pPr>
          </w:p>
        </w:tc>
      </w:tr>
      <w:tr w:rsidR="009C278C" w14:paraId="241A27EE" w14:textId="77777777" w:rsidTr="00F543B4">
        <w:trPr>
          <w:trHeight w:val="139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50A1BF8" w14:textId="34141256" w:rsidR="009C278C" w:rsidRDefault="00000000">
            <w:pPr>
              <w:spacing w:after="0" w:line="259" w:lineRule="auto"/>
              <w:ind w:left="36" w:firstLine="0"/>
              <w:jc w:val="left"/>
            </w:pPr>
            <w:r>
              <w:t>Zastoupená: Mgr.</w:t>
            </w:r>
          </w:p>
        </w:tc>
        <w:tc>
          <w:tcPr>
            <w:tcW w:w="7758" w:type="dxa"/>
            <w:tcBorders>
              <w:top w:val="nil"/>
              <w:left w:val="nil"/>
              <w:bottom w:val="nil"/>
              <w:right w:val="nil"/>
            </w:tcBorders>
          </w:tcPr>
          <w:p w14:paraId="1FDFE897" w14:textId="7C8F0415" w:rsidR="009C278C" w:rsidRDefault="00F543B4">
            <w:pPr>
              <w:spacing w:after="0" w:line="259" w:lineRule="auto"/>
              <w:ind w:left="0" w:firstLine="0"/>
              <w:jc w:val="left"/>
            </w:pPr>
            <w:r>
              <w:t>………………………………</w:t>
            </w:r>
            <w:proofErr w:type="gramStart"/>
            <w:r>
              <w:t>…….</w:t>
            </w:r>
            <w:proofErr w:type="gramEnd"/>
            <w:r w:rsidR="00000000">
              <w:t>, jednatelkou společnosti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BEAA71E" w14:textId="77777777" w:rsidR="009C278C" w:rsidRDefault="009C278C">
            <w:pPr>
              <w:spacing w:after="160" w:line="259" w:lineRule="auto"/>
              <w:ind w:left="0" w:firstLine="0"/>
              <w:jc w:val="left"/>
            </w:pPr>
          </w:p>
        </w:tc>
      </w:tr>
      <w:tr w:rsidR="009C278C" w14:paraId="27415EB5" w14:textId="77777777" w:rsidTr="00F543B4">
        <w:trPr>
          <w:trHeight w:val="129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A9D05" w14:textId="2CE55C1E" w:rsidR="009C278C" w:rsidRDefault="00000000">
            <w:pPr>
              <w:spacing w:after="0" w:line="259" w:lineRule="auto"/>
              <w:ind w:left="29" w:firstLine="0"/>
              <w:jc w:val="left"/>
            </w:pPr>
            <w:r>
              <w:t>Představení:</w:t>
            </w:r>
          </w:p>
        </w:tc>
        <w:tc>
          <w:tcPr>
            <w:tcW w:w="7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68E33" w14:textId="77777777" w:rsidR="009C278C" w:rsidRDefault="00000000">
            <w:pPr>
              <w:spacing w:after="0" w:line="259" w:lineRule="auto"/>
              <w:ind w:left="1383" w:firstLine="0"/>
              <w:jc w:val="left"/>
            </w:pPr>
            <w:r>
              <w:rPr>
                <w:sz w:val="20"/>
              </w:rPr>
              <w:t>CAVEWOMAN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3EA1C02" w14:textId="77777777" w:rsidR="009C278C" w:rsidRDefault="009C278C">
            <w:pPr>
              <w:spacing w:after="160" w:line="259" w:lineRule="auto"/>
              <w:ind w:left="0" w:firstLine="0"/>
              <w:jc w:val="left"/>
            </w:pPr>
          </w:p>
        </w:tc>
      </w:tr>
      <w:tr w:rsidR="009C278C" w14:paraId="594957DA" w14:textId="77777777" w:rsidTr="00F543B4">
        <w:trPr>
          <w:trHeight w:val="66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1DB0166" w14:textId="212E20B6" w:rsidR="009C278C" w:rsidRDefault="00000000">
            <w:pPr>
              <w:spacing w:after="0" w:line="259" w:lineRule="auto"/>
              <w:ind w:left="22" w:firstLine="0"/>
              <w:jc w:val="left"/>
            </w:pPr>
            <w:r>
              <w:t>Term</w:t>
            </w:r>
            <w:r w:rsidR="00F543B4">
              <w:t>í</w:t>
            </w:r>
            <w:r>
              <w:t>n:</w:t>
            </w:r>
          </w:p>
        </w:tc>
        <w:tc>
          <w:tcPr>
            <w:tcW w:w="7758" w:type="dxa"/>
            <w:tcBorders>
              <w:top w:val="nil"/>
              <w:left w:val="nil"/>
              <w:bottom w:val="nil"/>
              <w:right w:val="nil"/>
            </w:tcBorders>
          </w:tcPr>
          <w:p w14:paraId="19D17003" w14:textId="77777777" w:rsidR="009C278C" w:rsidRDefault="00000000">
            <w:pPr>
              <w:spacing w:after="0" w:line="259" w:lineRule="auto"/>
              <w:ind w:left="1412" w:firstLine="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8 .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4 .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2025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2C2E149" w14:textId="77777777" w:rsidR="009C278C" w:rsidRDefault="009C278C">
            <w:pPr>
              <w:spacing w:after="160" w:line="259" w:lineRule="auto"/>
              <w:ind w:left="0" w:firstLine="0"/>
              <w:jc w:val="left"/>
            </w:pPr>
          </w:p>
        </w:tc>
      </w:tr>
      <w:tr w:rsidR="009C278C" w14:paraId="69FF54BB" w14:textId="77777777" w:rsidTr="00F543B4">
        <w:trPr>
          <w:trHeight w:val="67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DBC3815" w14:textId="760BA903" w:rsidR="009C278C" w:rsidRDefault="00000000">
            <w:pPr>
              <w:spacing w:after="0" w:line="259" w:lineRule="auto"/>
              <w:ind w:left="7" w:firstLine="0"/>
              <w:jc w:val="left"/>
            </w:pPr>
            <w:r>
              <w:t>Místo konání:</w:t>
            </w:r>
          </w:p>
        </w:tc>
        <w:tc>
          <w:tcPr>
            <w:tcW w:w="7758" w:type="dxa"/>
            <w:tcBorders>
              <w:top w:val="nil"/>
              <w:left w:val="nil"/>
              <w:bottom w:val="nil"/>
              <w:right w:val="nil"/>
            </w:tcBorders>
          </w:tcPr>
          <w:p w14:paraId="68C0816D" w14:textId="77777777" w:rsidR="009C278C" w:rsidRDefault="00000000">
            <w:pPr>
              <w:spacing w:after="0" w:line="259" w:lineRule="auto"/>
              <w:ind w:left="0" w:right="158" w:firstLine="0"/>
              <w:jc w:val="right"/>
            </w:pPr>
            <w:proofErr w:type="spellStart"/>
            <w:r>
              <w:t>Multi</w:t>
            </w:r>
            <w:proofErr w:type="spellEnd"/>
            <w:r>
              <w:t xml:space="preserve"> funkční sál — Jízdárna, Jiráskova 133,</w:t>
            </w:r>
          </w:p>
        </w:tc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321FEB" w14:textId="5175B65C" w:rsidR="009C278C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Litomyš</w:t>
            </w:r>
            <w:r w:rsidR="00F543B4">
              <w:rPr>
                <w:sz w:val="20"/>
              </w:rPr>
              <w:t>l</w:t>
            </w:r>
          </w:p>
        </w:tc>
      </w:tr>
      <w:tr w:rsidR="009C278C" w14:paraId="08A04A37" w14:textId="77777777" w:rsidTr="00F543B4">
        <w:trPr>
          <w:trHeight w:val="484"/>
        </w:trPr>
        <w:tc>
          <w:tcPr>
            <w:tcW w:w="9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28C63" w14:textId="385FC82F" w:rsidR="009C278C" w:rsidRDefault="00000000">
            <w:pPr>
              <w:tabs>
                <w:tab w:val="center" w:pos="3860"/>
              </w:tabs>
              <w:spacing w:after="10" w:line="259" w:lineRule="auto"/>
              <w:ind w:left="0" w:firstLine="0"/>
              <w:jc w:val="left"/>
            </w:pPr>
            <w:r>
              <w:t>Začátek představení:</w:t>
            </w:r>
            <w:r>
              <w:tab/>
              <w:t>19.00 hod.</w:t>
            </w:r>
          </w:p>
          <w:p w14:paraId="76B06E81" w14:textId="77777777" w:rsidR="009C278C" w:rsidRDefault="00000000">
            <w:pPr>
              <w:tabs>
                <w:tab w:val="center" w:pos="3760"/>
              </w:tabs>
              <w:spacing w:after="24" w:line="259" w:lineRule="auto"/>
              <w:ind w:left="0" w:firstLine="0"/>
              <w:jc w:val="left"/>
            </w:pPr>
            <w:r>
              <w:t>Kapacita sálu:</w:t>
            </w:r>
            <w:r>
              <w:tab/>
              <w:t>500 míst</w:t>
            </w:r>
          </w:p>
          <w:p w14:paraId="698C4212" w14:textId="3637BF16" w:rsidR="009C278C" w:rsidRDefault="00000000">
            <w:pPr>
              <w:spacing w:after="41" w:line="290" w:lineRule="auto"/>
              <w:ind w:left="22" w:firstLine="0"/>
              <w:jc w:val="left"/>
            </w:pPr>
            <w:r>
              <w:t>Délka trvání:</w:t>
            </w:r>
            <w:r>
              <w:tab/>
              <w:t xml:space="preserve">cca 90 minut (představení nemá přestávku) </w:t>
            </w:r>
            <w:r w:rsidR="00F543B4">
              <w:br/>
            </w:r>
            <w:r>
              <w:t>Začátek stavby dekorací:</w:t>
            </w:r>
            <w:r>
              <w:tab/>
              <w:t>cca 17.00 hod.</w:t>
            </w:r>
          </w:p>
          <w:p w14:paraId="44CFAC71" w14:textId="11DF1510" w:rsidR="009C278C" w:rsidRDefault="00000000">
            <w:pPr>
              <w:tabs>
                <w:tab w:val="center" w:pos="3972"/>
              </w:tabs>
              <w:spacing w:after="18" w:line="259" w:lineRule="auto"/>
              <w:ind w:left="0" w:firstLine="0"/>
              <w:jc w:val="left"/>
            </w:pPr>
            <w:r>
              <w:t>Demontáž:</w:t>
            </w:r>
            <w:r>
              <w:tab/>
              <w:t>cca 30 minut</w:t>
            </w:r>
          </w:p>
          <w:p w14:paraId="6E174736" w14:textId="0CEEEBFB" w:rsidR="009C278C" w:rsidRDefault="00000000">
            <w:pPr>
              <w:tabs>
                <w:tab w:val="center" w:pos="3925"/>
                <w:tab w:val="center" w:pos="5261"/>
              </w:tabs>
              <w:spacing w:after="31" w:line="259" w:lineRule="auto"/>
              <w:ind w:left="0" w:firstLine="0"/>
              <w:jc w:val="left"/>
            </w:pPr>
            <w:r>
              <w:t>Cena včetně dopravy:</w:t>
            </w:r>
            <w:r>
              <w:tab/>
              <w:t>75 000 Kč +DPH</w:t>
            </w:r>
          </w:p>
          <w:p w14:paraId="0E13CC7F" w14:textId="563D02BA" w:rsidR="009C278C" w:rsidRDefault="00000000">
            <w:pPr>
              <w:tabs>
                <w:tab w:val="center" w:pos="3360"/>
                <w:tab w:val="center" w:pos="3475"/>
                <w:tab w:val="center" w:pos="4480"/>
                <w:tab w:val="center" w:pos="6158"/>
              </w:tabs>
              <w:spacing w:after="0" w:line="259" w:lineRule="auto"/>
              <w:ind w:left="0" w:firstLine="0"/>
              <w:jc w:val="left"/>
            </w:pPr>
            <w:r>
              <w:t>Autorské poplatky: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239C519" wp14:editId="7D4AFE16">
                  <wp:extent cx="50309" cy="82327"/>
                  <wp:effectExtent l="0" t="0" r="0" b="0"/>
                  <wp:docPr id="1930" name="Picture 1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" name="Picture 19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09" cy="82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1028010" wp14:editId="17F7D023">
                  <wp:extent cx="50309" cy="82327"/>
                  <wp:effectExtent l="0" t="0" r="0" b="0"/>
                  <wp:docPr id="1931" name="Picture 1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" name="Picture 193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09" cy="82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8F89EE4" wp14:editId="14F451F2">
                  <wp:extent cx="50309" cy="77753"/>
                  <wp:effectExtent l="0" t="0" r="0" b="0"/>
                  <wp:docPr id="1932" name="Picture 1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" name="Picture 19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09" cy="77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z hrubé tržby +DPH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98CA94" w14:textId="77777777" w:rsidR="009C278C" w:rsidRDefault="009C278C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84BC72C" w14:textId="77777777" w:rsidR="009C278C" w:rsidRDefault="00000000">
      <w:pPr>
        <w:ind w:left="24"/>
      </w:pPr>
      <w:r>
        <w:t>Platební podmínky:</w:t>
      </w:r>
    </w:p>
    <w:p w14:paraId="5E249662" w14:textId="4442635C" w:rsidR="009C278C" w:rsidRDefault="00000000">
      <w:pPr>
        <w:spacing w:after="208" w:line="227" w:lineRule="auto"/>
        <w:ind w:left="22" w:right="1260" w:firstLine="14"/>
        <w:jc w:val="left"/>
      </w:pPr>
      <w:r>
        <w:t>cena představení bude uhrazena převodem na účet dodavatele na základě daňového dokladu (splatnost 7 dní) vystaveného dodavatelem v den konání představení. Autorské poplatky budou uhrazeny převodem na účet dodavatele na základě daňového dokladu (splatnost 7 dní) vystaveného dodavatelem po odehrání představení a předání uzávěrky prodeje vstupenek (do 7 dnů)</w:t>
      </w:r>
      <w:r>
        <w:rPr>
          <w:noProof/>
        </w:rPr>
        <w:drawing>
          <wp:inline distT="0" distB="0" distL="0" distR="0" wp14:anchorId="7BF85E78" wp14:editId="024D0C39">
            <wp:extent cx="36588" cy="22869"/>
            <wp:effectExtent l="0" t="0" r="0" b="0"/>
            <wp:docPr id="9853" name="Picture 9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3" name="Picture 985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88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A1EAB" w14:textId="77777777" w:rsidR="009C278C" w:rsidRDefault="00000000">
      <w:pPr>
        <w:spacing w:after="222"/>
        <w:ind w:left="24"/>
      </w:pPr>
      <w:r>
        <w:t>Cena zahrnuje dopravu, stavbu a demontáž dekorací, technickou obsluhu světel, technickou obsluhu zvuku, plakáty.</w:t>
      </w:r>
    </w:p>
    <w:p w14:paraId="656763A1" w14:textId="555DC572" w:rsidR="009C278C" w:rsidRDefault="00000000">
      <w:pPr>
        <w:ind w:left="24"/>
      </w:pPr>
      <w:r>
        <w:t xml:space="preserve">Kontaktní osoba za dodavatele: </w:t>
      </w:r>
      <w:r w:rsidR="00BF189B">
        <w:t>…………………</w:t>
      </w:r>
      <w:proofErr w:type="gramStart"/>
      <w:r w:rsidR="00BF189B">
        <w:t>…….</w:t>
      </w:r>
      <w:proofErr w:type="gramEnd"/>
      <w:r>
        <w:t xml:space="preserve"> </w:t>
      </w:r>
      <w:r w:rsidR="00BF189B">
        <w:t>…………………….</w:t>
      </w:r>
      <w:r>
        <w:t xml:space="preserve">, </w:t>
      </w:r>
      <w:r w:rsidR="00BF189B">
        <w:t>……………………………,</w:t>
      </w:r>
      <w:r>
        <w:t xml:space="preserve"> </w:t>
      </w:r>
      <w:r w:rsidR="00BF189B">
        <w:t>……………………………..</w:t>
      </w:r>
    </w:p>
    <w:p w14:paraId="4A660BB4" w14:textId="7E38E799" w:rsidR="009C278C" w:rsidRDefault="00BF189B">
      <w:pPr>
        <w:pStyle w:val="Nadpis1"/>
      </w:pPr>
      <w:r>
        <w:t>…</w:t>
      </w:r>
    </w:p>
    <w:p w14:paraId="47DBC7AA" w14:textId="37C14A89" w:rsidR="009C278C" w:rsidRDefault="00000000">
      <w:pPr>
        <w:spacing w:after="207"/>
        <w:ind w:left="24"/>
      </w:pPr>
      <w:r>
        <w:t xml:space="preserve">Kontaktní osoba pro technické zabezpečení: </w:t>
      </w:r>
      <w:r w:rsidR="00BF189B">
        <w:t>……………………</w:t>
      </w:r>
      <w:proofErr w:type="gramStart"/>
      <w:r w:rsidR="00BF189B">
        <w:t>…….</w:t>
      </w:r>
      <w:proofErr w:type="gramEnd"/>
      <w:r w:rsidR="00BF189B">
        <w:t>,</w:t>
      </w:r>
      <w:r>
        <w:t xml:space="preserve"> </w:t>
      </w:r>
      <w:r w:rsidR="00BF189B">
        <w:t>……………………………….</w:t>
      </w:r>
    </w:p>
    <w:p w14:paraId="5587A557" w14:textId="5D3BAFE5" w:rsidR="009C278C" w:rsidRDefault="00000000">
      <w:pPr>
        <w:spacing w:after="123"/>
        <w:ind w:left="24" w:right="259"/>
      </w:pPr>
      <w:r>
        <w:t xml:space="preserve">Ze strany objednavatele je třeba zajistit jednoho pracovníka který, umožní technikům dodavatele přístup do kabiny osvětlovače a zvukaře, divadelní ozvučení a osvětlení viz níže, přístup do divadla cca od 17. 00 hod. tak, aby stavba mohla začít hned po příjezdu. </w:t>
      </w:r>
      <w:r>
        <w:rPr>
          <w:noProof/>
        </w:rPr>
        <w:drawing>
          <wp:inline distT="0" distB="0" distL="0" distR="0" wp14:anchorId="60DA861A" wp14:editId="3A577169">
            <wp:extent cx="4574" cy="4574"/>
            <wp:effectExtent l="0" t="0" r="0" b="0"/>
            <wp:docPr id="1936" name="Picture 1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" name="Picture 19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 herce prosíme zajistit Šatnu umístěnou co nejblíže podia s drobným občerstvením (voda, káva, čaj).</w:t>
      </w:r>
    </w:p>
    <w:p w14:paraId="4FDED99D" w14:textId="4AA4E052" w:rsidR="009C278C" w:rsidRDefault="00000000">
      <w:pPr>
        <w:spacing w:after="0" w:line="259" w:lineRule="auto"/>
        <w:ind w:left="7" w:firstLine="0"/>
        <w:jc w:val="left"/>
      </w:pPr>
      <w:r>
        <w:rPr>
          <w:u w:val="single" w:color="000000"/>
        </w:rPr>
        <w:t>Technické požadavky — za</w:t>
      </w:r>
      <w:r w:rsidR="00F543B4">
        <w:rPr>
          <w:u w:val="single" w:color="000000"/>
        </w:rPr>
        <w:t>j</w:t>
      </w:r>
      <w:r>
        <w:rPr>
          <w:u w:val="single" w:color="000000"/>
        </w:rPr>
        <w:t>istí ob</w:t>
      </w:r>
      <w:r w:rsidR="00F543B4">
        <w:rPr>
          <w:u w:val="single" w:color="000000"/>
        </w:rPr>
        <w:t>j</w:t>
      </w:r>
      <w:r>
        <w:rPr>
          <w:u w:val="single" w:color="000000"/>
        </w:rPr>
        <w:t>ednavatel:</w:t>
      </w:r>
    </w:p>
    <w:p w14:paraId="334F422A" w14:textId="77777777" w:rsidR="009C278C" w:rsidRDefault="00000000">
      <w:pPr>
        <w:spacing w:after="201"/>
        <w:ind w:left="24"/>
      </w:pPr>
      <w:r>
        <w:t>Pódium: minimální rozměr '</w:t>
      </w:r>
      <w:proofErr w:type="gramStart"/>
      <w:r>
        <w:t>7m</w:t>
      </w:r>
      <w:proofErr w:type="gramEnd"/>
      <w:r>
        <w:t xml:space="preserve"> x </w:t>
      </w:r>
      <w:proofErr w:type="gramStart"/>
      <w:r>
        <w:t>5m</w:t>
      </w:r>
      <w:proofErr w:type="gramEnd"/>
      <w:r>
        <w:t>, černě vykryté</w:t>
      </w:r>
    </w:p>
    <w:p w14:paraId="02AA0ED7" w14:textId="77777777" w:rsidR="009C278C" w:rsidRDefault="00000000">
      <w:pPr>
        <w:ind w:left="24"/>
      </w:pPr>
      <w:r>
        <w:t>Požadavky na světla:</w:t>
      </w:r>
    </w:p>
    <w:p w14:paraId="51080FD1" w14:textId="77777777" w:rsidR="009C278C" w:rsidRDefault="00000000">
      <w:pPr>
        <w:numPr>
          <w:ilvl w:val="0"/>
          <w:numId w:val="1"/>
        </w:numPr>
        <w:ind w:hanging="223"/>
      </w:pPr>
      <w:r>
        <w:lastRenderedPageBreak/>
        <w:t>Vysvícení forbíny min 2 ks (4 ks) FHR s klapkami</w:t>
      </w:r>
    </w:p>
    <w:p w14:paraId="3D53AA3B" w14:textId="77777777" w:rsidR="009C278C" w:rsidRDefault="00000000">
      <w:pPr>
        <w:numPr>
          <w:ilvl w:val="0"/>
          <w:numId w:val="1"/>
        </w:numPr>
        <w:ind w:hanging="223"/>
      </w:pPr>
      <w:r>
        <w:t>Plošné vysvícení pódia min 4ks FHR (může být PAR, ale dostatečný počet)</w:t>
      </w:r>
    </w:p>
    <w:p w14:paraId="4DB67A17" w14:textId="77777777" w:rsidR="009C278C" w:rsidRDefault="00000000">
      <w:pPr>
        <w:ind w:left="24"/>
      </w:pPr>
      <w:r>
        <w:t>— Bodově vysvícené dva body min 2 ks F HR s klapkami</w:t>
      </w:r>
    </w:p>
    <w:p w14:paraId="6C76AA55" w14:textId="03C32C44" w:rsidR="009C278C" w:rsidRDefault="00000000">
      <w:pPr>
        <w:ind w:left="24" w:right="1628"/>
      </w:pPr>
      <w:r>
        <w:t xml:space="preserve">— Barevné svícení LED RGB </w:t>
      </w:r>
      <w:proofErr w:type="gramStart"/>
      <w:r>
        <w:t>o</w:t>
      </w:r>
      <w:proofErr w:type="gramEnd"/>
      <w:r>
        <w:t xml:space="preserve"> pokud není LED míchání, máme vlastní světla RGB, potřebujeme DMX prop</w:t>
      </w:r>
      <w:r w:rsidR="00F543B4">
        <w:t>oj</w:t>
      </w:r>
      <w:r>
        <w:t>en</w:t>
      </w:r>
      <w:r w:rsidR="00F543B4">
        <w:t>í</w:t>
      </w:r>
      <w:r>
        <w:t xml:space="preserve"> pódium režie — Osvětlovací pult s minimálně 7 </w:t>
      </w:r>
      <w:proofErr w:type="spellStart"/>
      <w:r>
        <w:t>submastry</w:t>
      </w:r>
      <w:proofErr w:type="spellEnd"/>
    </w:p>
    <w:p w14:paraId="1F7160E3" w14:textId="22B794BA" w:rsidR="009C278C" w:rsidRDefault="00000000">
      <w:pPr>
        <w:spacing w:after="141"/>
        <w:ind w:left="24"/>
      </w:pPr>
      <w:r>
        <w:t xml:space="preserve">FHR je jen příklad. Potřebujeme jakákoliv divadelní světla s klapkami, </w:t>
      </w:r>
      <w:proofErr w:type="spellStart"/>
      <w:r>
        <w:t>zoomovatelná</w:t>
      </w:r>
      <w:proofErr w:type="spellEnd"/>
      <w:r>
        <w:t>.</w:t>
      </w:r>
    </w:p>
    <w:p w14:paraId="5B9EAE6B" w14:textId="77777777" w:rsidR="009C278C" w:rsidRDefault="00000000">
      <w:pPr>
        <w:ind w:left="24"/>
      </w:pPr>
      <w:r>
        <w:t>Požadavky na zvuk:</w:t>
      </w:r>
    </w:p>
    <w:p w14:paraId="7196236C" w14:textId="77D161E8" w:rsidR="009C278C" w:rsidRDefault="00000000">
      <w:pPr>
        <w:ind w:left="24"/>
      </w:pPr>
      <w:r>
        <w:t>— Hlavní systém LR s mixpultem</w:t>
      </w:r>
    </w:p>
    <w:p w14:paraId="27D9DD4C" w14:textId="77777777" w:rsidR="009C278C" w:rsidRDefault="00000000">
      <w:pPr>
        <w:ind w:left="24"/>
      </w:pPr>
      <w:r>
        <w:t>— Monitorový systém z portálů min. I ks na levé straně pódia</w:t>
      </w:r>
    </w:p>
    <w:p w14:paraId="6C0B7836" w14:textId="77777777" w:rsidR="009C278C" w:rsidRDefault="00000000">
      <w:pPr>
        <w:numPr>
          <w:ilvl w:val="0"/>
          <w:numId w:val="1"/>
        </w:numPr>
        <w:spacing w:after="181"/>
        <w:ind w:hanging="223"/>
      </w:pPr>
      <w:r>
        <w:t>Přehrávač používáme vlastní 2 line in do pultu</w:t>
      </w:r>
    </w:p>
    <w:p w14:paraId="0F0F9406" w14:textId="77777777" w:rsidR="009C278C" w:rsidRDefault="00000000">
      <w:pPr>
        <w:spacing w:after="298"/>
        <w:ind w:left="24"/>
      </w:pPr>
      <w:r>
        <w:t>Při představení není povoleno pořizovat obrazové ani zvukové záznamy.</w:t>
      </w:r>
    </w:p>
    <w:p w14:paraId="63AE6CF0" w14:textId="7BB871C5" w:rsidR="009C278C" w:rsidRDefault="00000000">
      <w:pPr>
        <w:ind w:left="24" w:right="1822"/>
      </w:pPr>
      <w:r>
        <w:t xml:space="preserve">Kontaktní osoba za objednavatele: </w:t>
      </w:r>
      <w:r w:rsidR="00BF189B">
        <w:t>…………………………</w:t>
      </w:r>
      <w:proofErr w:type="gramStart"/>
      <w:r w:rsidR="00BF189B">
        <w:t>…….</w:t>
      </w:r>
      <w:proofErr w:type="gramEnd"/>
      <w:r w:rsidR="00BF189B">
        <w:t>.</w:t>
      </w:r>
      <w:r>
        <w:t xml:space="preserve">, </w:t>
      </w:r>
      <w:r w:rsidR="00BF189B">
        <w:t>…………………………</w:t>
      </w:r>
      <w:proofErr w:type="gramStart"/>
      <w:r w:rsidR="00BF189B">
        <w:t>…….</w:t>
      </w:r>
      <w:proofErr w:type="gramEnd"/>
      <w:r w:rsidR="00BF189B">
        <w:t>.</w:t>
      </w:r>
      <w:r>
        <w:t xml:space="preserve"> </w:t>
      </w:r>
      <w:r w:rsidR="00F543B4">
        <w:br/>
      </w:r>
      <w:r w:rsidR="00BF189B">
        <w:t>……………………………………………………..</w:t>
      </w:r>
    </w:p>
    <w:p w14:paraId="35962D52" w14:textId="40633553" w:rsidR="009C278C" w:rsidRDefault="00000000">
      <w:pPr>
        <w:spacing w:after="183"/>
        <w:ind w:left="24"/>
      </w:pPr>
      <w:r>
        <w:t xml:space="preserve">Kontaktní osoba pro zajištění přístupu do divadla a kabiny osvětlovače a zvukaře: </w:t>
      </w:r>
      <w:r w:rsidR="00BF189B">
        <w:t>…………………..</w:t>
      </w:r>
    </w:p>
    <w:p w14:paraId="5D557F79" w14:textId="570D47F8" w:rsidR="009C278C" w:rsidRDefault="00000000">
      <w:pPr>
        <w:spacing w:after="144"/>
        <w:ind w:left="24"/>
      </w:pPr>
      <w:r>
        <w:t>Nekonání a odřeknutí představení:</w:t>
      </w:r>
    </w:p>
    <w:p w14:paraId="3408393F" w14:textId="338EDA53" w:rsidR="009C278C" w:rsidRDefault="00000000">
      <w:pPr>
        <w:numPr>
          <w:ilvl w:val="0"/>
          <w:numId w:val="2"/>
        </w:numPr>
        <w:spacing w:after="154"/>
        <w:ind w:hanging="339"/>
      </w:pPr>
      <w:r>
        <w:t>Zrušení představení z vyšší moci: závažné důvody (onemocnění některého z účinkujících, nepředvídatelná přírodní katastrofa, úřední zákaz atd.) dávají oběma stranám právo, po včasném, průkazném vyrozumění, od smlouvy odstoupit, nebo změnit její podmínky, a to bez jakýchkoli nároků na finanční úhradu škody.</w:t>
      </w:r>
    </w:p>
    <w:p w14:paraId="3A88FC21" w14:textId="21EE9D17" w:rsidR="009C278C" w:rsidRDefault="00000000">
      <w:pPr>
        <w:numPr>
          <w:ilvl w:val="0"/>
          <w:numId w:val="2"/>
        </w:numPr>
        <w:spacing w:after="231"/>
        <w:ind w:hanging="339"/>
      </w:pPr>
      <w:proofErr w:type="gramStart"/>
      <w:r>
        <w:t>Odřekne—</w:t>
      </w:r>
      <w:proofErr w:type="spellStart"/>
      <w:r>
        <w:t>li</w:t>
      </w:r>
      <w:proofErr w:type="spellEnd"/>
      <w:proofErr w:type="gramEnd"/>
      <w:r>
        <w:t xml:space="preserve"> OBJEDNAVATEL vystoupení z jiných </w:t>
      </w:r>
      <w:proofErr w:type="gramStart"/>
      <w:r>
        <w:t>důvodů</w:t>
      </w:r>
      <w:proofErr w:type="gramEnd"/>
      <w:r>
        <w:t xml:space="preserve"> než je uvedeno v odstavci a</w:t>
      </w:r>
      <w:r w:rsidR="00F543B4">
        <w:t>)</w:t>
      </w:r>
      <w:r>
        <w:rPr>
          <w:noProof/>
        </w:rPr>
        <w:drawing>
          <wp:inline distT="0" distB="0" distL="0" distR="0" wp14:anchorId="660663B8" wp14:editId="1E2C8926">
            <wp:extent cx="260691" cy="100622"/>
            <wp:effectExtent l="0" t="0" r="0" b="0"/>
            <wp:docPr id="9856" name="Picture 9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6" name="Picture 985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0691" cy="10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povinen zaplatit DODAVATELI dohodnuté částky.</w:t>
      </w:r>
    </w:p>
    <w:p w14:paraId="343D5A73" w14:textId="5A0D48E8" w:rsidR="009C278C" w:rsidRDefault="00000000">
      <w:pPr>
        <w:numPr>
          <w:ilvl w:val="0"/>
          <w:numId w:val="2"/>
        </w:numPr>
        <w:spacing w:after="422"/>
        <w:ind w:hanging="339"/>
      </w:pPr>
      <w:r>
        <w:t xml:space="preserve">Odřekne-li vystoupení DODAVATEL z jiných </w:t>
      </w:r>
      <w:proofErr w:type="gramStart"/>
      <w:r>
        <w:t>důvodů</w:t>
      </w:r>
      <w:proofErr w:type="gramEnd"/>
      <w:r>
        <w:t xml:space="preserve"> než je uvedeno v odstavci a), je povinen zaplatit OBJEDNAVATELI dohodnuté částky.</w:t>
      </w:r>
    </w:p>
    <w:p w14:paraId="30C3CD2A" w14:textId="049FB767" w:rsidR="009C278C" w:rsidRDefault="00000000">
      <w:pPr>
        <w:spacing w:after="187"/>
        <w:ind w:left="24"/>
      </w:pPr>
      <w:r>
        <w:t>Závěrečná ustanoven</w:t>
      </w:r>
      <w:r w:rsidR="00F543B4">
        <w:t>í</w:t>
      </w:r>
      <w:r>
        <w:t>:</w:t>
      </w:r>
      <w:r>
        <w:rPr>
          <w:noProof/>
        </w:rPr>
        <w:drawing>
          <wp:inline distT="0" distB="0" distL="0" distR="0" wp14:anchorId="2D964196" wp14:editId="785ED59B">
            <wp:extent cx="4574" cy="4574"/>
            <wp:effectExtent l="0" t="0" r="0" b="0"/>
            <wp:docPr id="4409" name="Picture 4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9" name="Picture 440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28080" w14:textId="47648510" w:rsidR="009C278C" w:rsidRDefault="00000000">
      <w:pPr>
        <w:numPr>
          <w:ilvl w:val="0"/>
          <w:numId w:val="3"/>
        </w:numPr>
        <w:spacing w:after="161"/>
        <w:ind w:right="846" w:hanging="331"/>
      </w:pPr>
      <w:r>
        <w:t>Tuto smlouvu lze měnit a doplňovat pouze písemnými dodatky podepsanými oběma stranami.</w:t>
      </w:r>
    </w:p>
    <w:p w14:paraId="0F2889D7" w14:textId="77777777" w:rsidR="009C278C" w:rsidRDefault="00000000">
      <w:pPr>
        <w:numPr>
          <w:ilvl w:val="0"/>
          <w:numId w:val="3"/>
        </w:numPr>
        <w:ind w:right="846" w:hanging="331"/>
      </w:pPr>
      <w:r>
        <w:t>Strany se zavazují nesdělit třetí osobě obsah a podmínky této smlouvy bez souhlasu strany druhé. Obsah této smlouvy a vztahy z ní vyplývající jsou obchodním tajemstvím ve smyslu S 504 občanského zákoníku.</w:t>
      </w:r>
    </w:p>
    <w:p w14:paraId="213CC0B1" w14:textId="3EBDAFB6" w:rsidR="009C278C" w:rsidRDefault="00000000">
      <w:pPr>
        <w:ind w:left="694"/>
      </w:pPr>
      <w:r>
        <w:t>Point s.r.o. bere na vědomí, že smlouva o realizaci divadelního představení bude po jejím podpisu zveře</w:t>
      </w:r>
      <w:r w:rsidR="00F543B4">
        <w:t>j</w:t>
      </w:r>
      <w:r>
        <w:t>něna v Registru smluv dle zákona o registru smluv č. 340/2015 Sb.</w:t>
      </w:r>
    </w:p>
    <w:p w14:paraId="32B919FF" w14:textId="647AA23A" w:rsidR="009C278C" w:rsidRDefault="00000000">
      <w:pPr>
        <w:ind w:left="687"/>
      </w:pPr>
      <w:r>
        <w:t>Odměna je úda</w:t>
      </w:r>
      <w:r w:rsidR="00F543B4">
        <w:t>j</w:t>
      </w:r>
      <w:r>
        <w:t>em, který se nezveřejňuje ve smyslu S 3 odst. 2 písm. j č. 340/2015</w:t>
      </w:r>
    </w:p>
    <w:p w14:paraId="0227215C" w14:textId="77777777" w:rsidR="009C278C" w:rsidRDefault="00000000">
      <w:pPr>
        <w:spacing w:after="197"/>
        <w:ind w:left="694"/>
      </w:pPr>
      <w:r>
        <w:t>Sb., Jakož i neuveřejněnou informací ve smyslu S 3 odst. 1 zákona č. 340/2015 Sb.</w:t>
      </w:r>
    </w:p>
    <w:p w14:paraId="3237721B" w14:textId="77777777" w:rsidR="009C278C" w:rsidRDefault="00000000">
      <w:pPr>
        <w:numPr>
          <w:ilvl w:val="0"/>
          <w:numId w:val="4"/>
        </w:numPr>
        <w:spacing w:after="189"/>
        <w:ind w:right="1019" w:hanging="339"/>
      </w:pPr>
      <w:r>
        <w:t>Tato smlouva je vyhotovena ve dvou exemplářích, z nichž po jednom z nich obdrží každá ze smluvních stran.</w:t>
      </w:r>
    </w:p>
    <w:p w14:paraId="14214BAF" w14:textId="47CC99FC" w:rsidR="009C278C" w:rsidRDefault="00000000">
      <w:pPr>
        <w:numPr>
          <w:ilvl w:val="0"/>
          <w:numId w:val="4"/>
        </w:numPr>
        <w:ind w:right="1019" w:hanging="339"/>
      </w:pPr>
      <w:r>
        <w:t>Smlouva nabývá účinnosti dnem podpisu oběma stranami.</w:t>
      </w:r>
    </w:p>
    <w:p w14:paraId="0F92E862" w14:textId="77777777" w:rsidR="009C278C" w:rsidRDefault="009C278C"/>
    <w:p w14:paraId="5C6122D5" w14:textId="77777777" w:rsidR="00F543B4" w:rsidRDefault="00F543B4">
      <w:pPr>
        <w:sectPr w:rsidR="00F543B4">
          <w:pgSz w:w="11920" w:h="16840"/>
          <w:pgMar w:top="1779" w:right="958" w:bottom="1651" w:left="871" w:header="708" w:footer="708" w:gutter="0"/>
          <w:cols w:space="708"/>
        </w:sectPr>
      </w:pPr>
    </w:p>
    <w:tbl>
      <w:tblPr>
        <w:tblStyle w:val="TableGrid"/>
        <w:tblpPr w:vertAnchor="text" w:tblpX="-5834" w:tblpY="-830"/>
        <w:tblOverlap w:val="never"/>
        <w:tblW w:w="872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03"/>
        <w:gridCol w:w="3126"/>
      </w:tblGrid>
      <w:tr w:rsidR="009C278C" w14:paraId="353B05ED" w14:textId="77777777">
        <w:trPr>
          <w:trHeight w:val="864"/>
        </w:trPr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</w:tcPr>
          <w:p w14:paraId="1582304E" w14:textId="77777777" w:rsidR="009C278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V Praze dne: </w:t>
            </w:r>
            <w:r>
              <w:rPr>
                <w:noProof/>
              </w:rPr>
              <w:drawing>
                <wp:inline distT="0" distB="0" distL="0" distR="0" wp14:anchorId="69358B66" wp14:editId="4631BE11">
                  <wp:extent cx="946722" cy="155507"/>
                  <wp:effectExtent l="0" t="0" r="0" b="0"/>
                  <wp:docPr id="9858" name="Picture 9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8" name="Picture 985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22" cy="155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</w:tcPr>
          <w:p w14:paraId="3E83DB88" w14:textId="77777777" w:rsidR="009C278C" w:rsidRDefault="00000000">
            <w:pPr>
              <w:spacing w:after="387" w:line="259" w:lineRule="auto"/>
              <w:ind w:left="122" w:firstLine="0"/>
              <w:jc w:val="center"/>
            </w:pPr>
            <w:r>
              <w:t>V Litomyšli dne: 28. 2. 2025</w:t>
            </w:r>
          </w:p>
          <w:p w14:paraId="6389B6E9" w14:textId="2DE805C4" w:rsidR="009C278C" w:rsidRDefault="009C278C">
            <w:pPr>
              <w:spacing w:after="0" w:line="259" w:lineRule="auto"/>
              <w:ind w:left="0" w:firstLine="0"/>
              <w:jc w:val="right"/>
            </w:pPr>
          </w:p>
        </w:tc>
      </w:tr>
    </w:tbl>
    <w:p w14:paraId="5BEC6AC8" w14:textId="13682FD7" w:rsidR="009C278C" w:rsidRDefault="009C278C" w:rsidP="00F543B4">
      <w:pPr>
        <w:spacing w:after="0" w:line="259" w:lineRule="auto"/>
        <w:ind w:left="0" w:right="166" w:firstLine="0"/>
        <w:jc w:val="left"/>
      </w:pPr>
    </w:p>
    <w:sectPr w:rsidR="009C278C">
      <w:type w:val="continuous"/>
      <w:pgSz w:w="11920" w:h="16840"/>
      <w:pgMar w:top="1779" w:right="2312" w:bottom="2154" w:left="672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9A7A29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520788656" o:spid="_x0000_i1025" type="#_x0000_t75" style="width:1.5pt;height:.75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0DDE25B7" wp14:editId="1E59A3FE">
            <wp:extent cx="19050" cy="9525"/>
            <wp:effectExtent l="0" t="0" r="0" b="0"/>
            <wp:docPr id="520788656" name="Obrázek 520788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37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CD546D7"/>
    <w:multiLevelType w:val="hybridMultilevel"/>
    <w:tmpl w:val="BE08F0F2"/>
    <w:lvl w:ilvl="0" w:tplc="216EE2A4">
      <w:start w:val="1"/>
      <w:numFmt w:val="lowerLetter"/>
      <w:lvlText w:val="%1)"/>
      <w:lvlJc w:val="left"/>
      <w:pPr>
        <w:ind w:left="6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24ED66">
      <w:start w:val="1"/>
      <w:numFmt w:val="lowerLetter"/>
      <w:lvlText w:val="%2"/>
      <w:lvlJc w:val="left"/>
      <w:pPr>
        <w:ind w:left="14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2EC2D6">
      <w:start w:val="1"/>
      <w:numFmt w:val="lowerRoman"/>
      <w:lvlText w:val="%3"/>
      <w:lvlJc w:val="left"/>
      <w:pPr>
        <w:ind w:left="21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8AE2BC">
      <w:start w:val="1"/>
      <w:numFmt w:val="decimal"/>
      <w:lvlText w:val="%4"/>
      <w:lvlJc w:val="left"/>
      <w:pPr>
        <w:ind w:left="284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3AB8E0">
      <w:start w:val="1"/>
      <w:numFmt w:val="lowerLetter"/>
      <w:lvlText w:val="%5"/>
      <w:lvlJc w:val="left"/>
      <w:pPr>
        <w:ind w:left="356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BA1DDA">
      <w:start w:val="1"/>
      <w:numFmt w:val="lowerRoman"/>
      <w:lvlText w:val="%6"/>
      <w:lvlJc w:val="left"/>
      <w:pPr>
        <w:ind w:left="428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B6F52C">
      <w:start w:val="1"/>
      <w:numFmt w:val="decimal"/>
      <w:lvlText w:val="%7"/>
      <w:lvlJc w:val="left"/>
      <w:pPr>
        <w:ind w:left="50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561C2A">
      <w:start w:val="1"/>
      <w:numFmt w:val="lowerLetter"/>
      <w:lvlText w:val="%8"/>
      <w:lvlJc w:val="left"/>
      <w:pPr>
        <w:ind w:left="57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1CC1A6">
      <w:start w:val="1"/>
      <w:numFmt w:val="lowerRoman"/>
      <w:lvlText w:val="%9"/>
      <w:lvlJc w:val="left"/>
      <w:pPr>
        <w:ind w:left="644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AF394A"/>
    <w:multiLevelType w:val="hybridMultilevel"/>
    <w:tmpl w:val="11006CE8"/>
    <w:lvl w:ilvl="0" w:tplc="72F23A6C">
      <w:start w:val="1"/>
      <w:numFmt w:val="lowerLetter"/>
      <w:lvlText w:val="%1)"/>
      <w:lvlJc w:val="left"/>
      <w:pPr>
        <w:ind w:left="7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5C1FB6">
      <w:start w:val="1"/>
      <w:numFmt w:val="lowerLetter"/>
      <w:lvlText w:val="%2"/>
      <w:lvlJc w:val="left"/>
      <w:pPr>
        <w:ind w:left="14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C27E94">
      <w:start w:val="1"/>
      <w:numFmt w:val="lowerRoman"/>
      <w:lvlText w:val="%3"/>
      <w:lvlJc w:val="left"/>
      <w:pPr>
        <w:ind w:left="21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548DE0">
      <w:start w:val="1"/>
      <w:numFmt w:val="decimal"/>
      <w:lvlText w:val="%4"/>
      <w:lvlJc w:val="left"/>
      <w:pPr>
        <w:ind w:left="28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BC3312">
      <w:start w:val="1"/>
      <w:numFmt w:val="lowerLetter"/>
      <w:lvlText w:val="%5"/>
      <w:lvlJc w:val="left"/>
      <w:pPr>
        <w:ind w:left="35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5E10DA">
      <w:start w:val="1"/>
      <w:numFmt w:val="lowerRoman"/>
      <w:lvlText w:val="%6"/>
      <w:lvlJc w:val="left"/>
      <w:pPr>
        <w:ind w:left="42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F605BC">
      <w:start w:val="1"/>
      <w:numFmt w:val="decimal"/>
      <w:lvlText w:val="%7"/>
      <w:lvlJc w:val="left"/>
      <w:pPr>
        <w:ind w:left="50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5CA1A8">
      <w:start w:val="1"/>
      <w:numFmt w:val="lowerLetter"/>
      <w:lvlText w:val="%8"/>
      <w:lvlJc w:val="left"/>
      <w:pPr>
        <w:ind w:left="57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762722">
      <w:start w:val="1"/>
      <w:numFmt w:val="lowerRoman"/>
      <w:lvlText w:val="%9"/>
      <w:lvlJc w:val="left"/>
      <w:pPr>
        <w:ind w:left="64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C36CC5"/>
    <w:multiLevelType w:val="hybridMultilevel"/>
    <w:tmpl w:val="4022DB9E"/>
    <w:lvl w:ilvl="0" w:tplc="C81ED274">
      <w:start w:val="1"/>
      <w:numFmt w:val="bullet"/>
      <w:lvlText w:val="•"/>
      <w:lvlPicBulletId w:val="0"/>
      <w:lvlJc w:val="left"/>
      <w:pPr>
        <w:ind w:left="24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54750A">
      <w:start w:val="1"/>
      <w:numFmt w:val="bullet"/>
      <w:lvlText w:val="o"/>
      <w:lvlJc w:val="left"/>
      <w:pPr>
        <w:ind w:left="12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51C3AF4">
      <w:start w:val="1"/>
      <w:numFmt w:val="bullet"/>
      <w:lvlText w:val="▪"/>
      <w:lvlJc w:val="left"/>
      <w:pPr>
        <w:ind w:left="19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222634">
      <w:start w:val="1"/>
      <w:numFmt w:val="bullet"/>
      <w:lvlText w:val="•"/>
      <w:lvlJc w:val="left"/>
      <w:pPr>
        <w:ind w:left="26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AEC1DE">
      <w:start w:val="1"/>
      <w:numFmt w:val="bullet"/>
      <w:lvlText w:val="o"/>
      <w:lvlJc w:val="left"/>
      <w:pPr>
        <w:ind w:left="34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92629E4">
      <w:start w:val="1"/>
      <w:numFmt w:val="bullet"/>
      <w:lvlText w:val="▪"/>
      <w:lvlJc w:val="left"/>
      <w:pPr>
        <w:ind w:left="41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11E17C2">
      <w:start w:val="1"/>
      <w:numFmt w:val="bullet"/>
      <w:lvlText w:val="•"/>
      <w:lvlJc w:val="left"/>
      <w:pPr>
        <w:ind w:left="48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92F4B8">
      <w:start w:val="1"/>
      <w:numFmt w:val="bullet"/>
      <w:lvlText w:val="o"/>
      <w:lvlJc w:val="left"/>
      <w:pPr>
        <w:ind w:left="55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E24E4E2">
      <w:start w:val="1"/>
      <w:numFmt w:val="bullet"/>
      <w:lvlText w:val="▪"/>
      <w:lvlJc w:val="left"/>
      <w:pPr>
        <w:ind w:left="62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307EE7"/>
    <w:multiLevelType w:val="hybridMultilevel"/>
    <w:tmpl w:val="6996F7F4"/>
    <w:lvl w:ilvl="0" w:tplc="E95AE612">
      <w:start w:val="4"/>
      <w:numFmt w:val="lowerLetter"/>
      <w:lvlText w:val="%1)"/>
      <w:lvlJc w:val="left"/>
      <w:pPr>
        <w:ind w:left="6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1EC7B2">
      <w:start w:val="1"/>
      <w:numFmt w:val="lowerLetter"/>
      <w:lvlText w:val="%2"/>
      <w:lvlJc w:val="left"/>
      <w:pPr>
        <w:ind w:left="14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22C336">
      <w:start w:val="1"/>
      <w:numFmt w:val="lowerRoman"/>
      <w:lvlText w:val="%3"/>
      <w:lvlJc w:val="left"/>
      <w:pPr>
        <w:ind w:left="21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3E0942">
      <w:start w:val="1"/>
      <w:numFmt w:val="decimal"/>
      <w:lvlText w:val="%4"/>
      <w:lvlJc w:val="left"/>
      <w:pPr>
        <w:ind w:left="284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F20F20">
      <w:start w:val="1"/>
      <w:numFmt w:val="lowerLetter"/>
      <w:lvlText w:val="%5"/>
      <w:lvlJc w:val="left"/>
      <w:pPr>
        <w:ind w:left="356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7CA76A">
      <w:start w:val="1"/>
      <w:numFmt w:val="lowerRoman"/>
      <w:lvlText w:val="%6"/>
      <w:lvlJc w:val="left"/>
      <w:pPr>
        <w:ind w:left="428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CC6C9C">
      <w:start w:val="1"/>
      <w:numFmt w:val="decimal"/>
      <w:lvlText w:val="%7"/>
      <w:lvlJc w:val="left"/>
      <w:pPr>
        <w:ind w:left="50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4E736C">
      <w:start w:val="1"/>
      <w:numFmt w:val="lowerLetter"/>
      <w:lvlText w:val="%8"/>
      <w:lvlJc w:val="left"/>
      <w:pPr>
        <w:ind w:left="57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46178C">
      <w:start w:val="1"/>
      <w:numFmt w:val="lowerRoman"/>
      <w:lvlText w:val="%9"/>
      <w:lvlJc w:val="left"/>
      <w:pPr>
        <w:ind w:left="644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1869978">
    <w:abstractNumId w:val="2"/>
  </w:num>
  <w:num w:numId="2" w16cid:durableId="505248049">
    <w:abstractNumId w:val="1"/>
  </w:num>
  <w:num w:numId="3" w16cid:durableId="1990939631">
    <w:abstractNumId w:val="0"/>
  </w:num>
  <w:num w:numId="4" w16cid:durableId="1941645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78C"/>
    <w:rsid w:val="004E1DD0"/>
    <w:rsid w:val="009C278C"/>
    <w:rsid w:val="00BF189B"/>
    <w:rsid w:val="00F5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77FE"/>
  <w15:docId w15:val="{0B93F11E-E281-43BC-92B7-0DF21F90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1" w:lineRule="auto"/>
      <w:ind w:left="82" w:hanging="3"/>
      <w:jc w:val="both"/>
    </w:pPr>
    <w:rPr>
      <w:rFonts w:ascii="Courier New" w:eastAsia="Courier New" w:hAnsi="Courier New" w:cs="Courier New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29"/>
      <w:outlineLvl w:val="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image" Target="media/image11.jpg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12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1" Type="http://schemas.openxmlformats.org/officeDocument/2006/relationships/image" Target="media/image9.jpg"/><Relationship Id="rId5" Type="http://schemas.openxmlformats.org/officeDocument/2006/relationships/image" Target="media/image3.jpg"/><Relationship Id="rId15" Type="http://schemas.openxmlformats.org/officeDocument/2006/relationships/theme" Target="theme/theme1.xml"/><Relationship Id="rId10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image" Target="media/image7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soucek@smetanuvdum.litomysl.cz</dc:creator>
  <cp:keywords/>
  <cp:lastModifiedBy>soucek@smetanuvdum.litomysl.cz</cp:lastModifiedBy>
  <cp:revision>2</cp:revision>
  <dcterms:created xsi:type="dcterms:W3CDTF">2025-04-09T08:11:00Z</dcterms:created>
  <dcterms:modified xsi:type="dcterms:W3CDTF">2025-04-09T08:11:00Z</dcterms:modified>
</cp:coreProperties>
</file>