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112443" w:rsidRDefault="006A7B64" w:rsidP="00773DB1">
      <w:pPr>
        <w:ind w:left="567" w:hanging="567"/>
        <w:rPr>
          <w:rFonts w:cs="Times New Roman"/>
        </w:rPr>
      </w:pPr>
      <w:r w:rsidRPr="00112443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48589AC6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3B5E6A">
        <w:rPr>
          <w:rFonts w:cs="Times New Roman"/>
          <w:bCs/>
        </w:rPr>
        <w:t>xxxxxxxxxxxxx</w:t>
      </w:r>
    </w:p>
    <w:p w14:paraId="1570BA0A" w14:textId="1C3CED84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3B5E6A">
        <w:rPr>
          <w:rFonts w:cs="Times New Roman"/>
          <w:bCs/>
        </w:rPr>
        <w:t>xxxxxxxxxxxxx</w:t>
      </w:r>
    </w:p>
    <w:p w14:paraId="08332414" w14:textId="2A7988FE" w:rsidR="00A9548E" w:rsidRPr="00A15479" w:rsidRDefault="00A9548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56148F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14EC3758" w14:textId="040DD94E" w:rsidR="00112443" w:rsidRPr="00FB2AC7" w:rsidRDefault="00AE68A1" w:rsidP="00AF4D55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Sarah Šašková</w:t>
      </w:r>
    </w:p>
    <w:p w14:paraId="6B099F9A" w14:textId="0CA0EECC" w:rsidR="00112443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  <w:bCs/>
        </w:rPr>
        <w:t xml:space="preserve">sídlo: </w:t>
      </w:r>
      <w:r w:rsidR="00AE68A1">
        <w:rPr>
          <w:rFonts w:cs="Times New Roman"/>
        </w:rPr>
        <w:t>Újezd 401/35, 118 00 Praha 1 - Malá Strana</w:t>
      </w:r>
    </w:p>
    <w:p w14:paraId="7CC55839" w14:textId="75CD2391" w:rsidR="00AF4D55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>zapsaný:</w:t>
      </w:r>
      <w:r w:rsidR="00112443" w:rsidRPr="00FB2AC7">
        <w:rPr>
          <w:rFonts w:cs="Times New Roman"/>
        </w:rPr>
        <w:t xml:space="preserve"> v živnostenském rejstříku veden</w:t>
      </w:r>
      <w:r w:rsidR="00AE68A1">
        <w:rPr>
          <w:rFonts w:cs="Times New Roman"/>
        </w:rPr>
        <w:t>é</w:t>
      </w:r>
      <w:r w:rsidR="00112443" w:rsidRPr="00FB2AC7">
        <w:rPr>
          <w:rFonts w:cs="Times New Roman"/>
        </w:rPr>
        <w:t xml:space="preserve">m </w:t>
      </w:r>
      <w:r w:rsidR="00AE68A1">
        <w:rPr>
          <w:rFonts w:cs="Times New Roman"/>
        </w:rPr>
        <w:t>Úřadem městské části Praha 1</w:t>
      </w:r>
      <w:r w:rsidR="00112443" w:rsidRPr="00FB2AC7">
        <w:rPr>
          <w:rFonts w:cs="Times New Roman"/>
        </w:rPr>
        <w:t> </w:t>
      </w:r>
    </w:p>
    <w:p w14:paraId="39D66D8E" w14:textId="0D748037" w:rsidR="00AF4D55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 xml:space="preserve">IČO: </w:t>
      </w:r>
      <w:r w:rsidR="00AE68A1">
        <w:rPr>
          <w:rFonts w:cs="Times New Roman"/>
        </w:rPr>
        <w:t>19094175</w:t>
      </w:r>
    </w:p>
    <w:p w14:paraId="126037B9" w14:textId="110692E4" w:rsidR="00AF4D55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 xml:space="preserve">bankovní spojení: </w:t>
      </w:r>
      <w:r w:rsidR="003B5E6A">
        <w:rPr>
          <w:rFonts w:cs="Times New Roman"/>
        </w:rPr>
        <w:t>xxxxxxxxxxxxx</w:t>
      </w:r>
    </w:p>
    <w:p w14:paraId="10465C4C" w14:textId="372879D1" w:rsidR="00AF4D55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 xml:space="preserve">číslo účtu: </w:t>
      </w:r>
      <w:r w:rsidR="003B5E6A">
        <w:rPr>
          <w:rFonts w:cs="Times New Roman"/>
        </w:rPr>
        <w:t>xxxxxxxxxxxxxxxxxxx</w:t>
      </w:r>
    </w:p>
    <w:p w14:paraId="764F89E7" w14:textId="1E3F0566" w:rsidR="00AF4D55" w:rsidRPr="00FB2AC7" w:rsidRDefault="00A9548E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>neplátce</w:t>
      </w:r>
      <w:r w:rsidR="00AF4D55" w:rsidRPr="00FB2AC7">
        <w:rPr>
          <w:rFonts w:cs="Times New Roman"/>
        </w:rPr>
        <w:t xml:space="preserve"> DPH </w:t>
      </w:r>
      <w:r w:rsidR="00112443" w:rsidRPr="00FB2AC7">
        <w:rPr>
          <w:rFonts w:cs="Times New Roman"/>
        </w:rPr>
        <w:t xml:space="preserve"> </w:t>
      </w:r>
    </w:p>
    <w:p w14:paraId="646A48E5" w14:textId="77777777" w:rsidR="00AF4D55" w:rsidRPr="00FB2AC7" w:rsidRDefault="00AF4D55" w:rsidP="00AF4D55">
      <w:pPr>
        <w:pStyle w:val="Zkladntext"/>
        <w:spacing w:line="276" w:lineRule="auto"/>
        <w:rPr>
          <w:rFonts w:cs="Times New Roman"/>
        </w:rPr>
      </w:pPr>
      <w:r w:rsidRPr="00FB2AC7">
        <w:rPr>
          <w:rFonts w:cs="Times New Roman"/>
        </w:rPr>
        <w:t>(dále jen „</w:t>
      </w:r>
      <w:r w:rsidRPr="00FB2AC7">
        <w:rPr>
          <w:rFonts w:cs="Times New Roman"/>
          <w:b/>
        </w:rPr>
        <w:t>dodavatel</w:t>
      </w:r>
      <w:r w:rsidRPr="00FB2AC7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5077D9E2" w14:textId="77777777" w:rsidR="00146143" w:rsidRDefault="00146143" w:rsidP="00146143">
      <w:pPr>
        <w:spacing w:after="120" w:line="276" w:lineRule="auto"/>
        <w:jc w:val="center"/>
        <w:rPr>
          <w:rFonts w:cs="Times New Roman"/>
          <w:b/>
        </w:rPr>
      </w:pPr>
    </w:p>
    <w:p w14:paraId="37D69110" w14:textId="67DA3923" w:rsidR="00AF4D55" w:rsidRPr="00FB2AC7" w:rsidRDefault="00AF4D55" w:rsidP="004770D9">
      <w:pPr>
        <w:spacing w:before="240"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 w:rsidRPr="00FB2AC7">
        <w:rPr>
          <w:rFonts w:cs="Times New Roman"/>
          <w:b/>
        </w:rPr>
        <w:t xml:space="preserve">dohodu č. ZAK </w:t>
      </w:r>
      <w:r w:rsidR="00AE68A1">
        <w:rPr>
          <w:rFonts w:cs="Times New Roman"/>
          <w:b/>
        </w:rPr>
        <w:t>25-0093</w:t>
      </w:r>
      <w:r w:rsidRPr="00FB2AC7">
        <w:rPr>
          <w:rFonts w:cs="Times New Roman"/>
          <w:b/>
        </w:rPr>
        <w:t xml:space="preserve"> </w:t>
      </w:r>
      <w:r w:rsidRPr="00FB2AC7">
        <w:rPr>
          <w:rFonts w:cs="Times New Roman"/>
        </w:rPr>
        <w:t>s názvem</w:t>
      </w:r>
    </w:p>
    <w:p w14:paraId="713237F6" w14:textId="4A19BD41" w:rsidR="00112443" w:rsidRPr="00FB2AC7" w:rsidRDefault="00716673" w:rsidP="00112443">
      <w:pPr>
        <w:spacing w:after="120" w:line="276" w:lineRule="auto"/>
        <w:jc w:val="center"/>
        <w:rPr>
          <w:b/>
          <w:bCs/>
        </w:rPr>
      </w:pPr>
      <w:r w:rsidRPr="00FB2AC7">
        <w:rPr>
          <w:rFonts w:cs="Times New Roman"/>
          <w:b/>
        </w:rPr>
        <w:t>„</w:t>
      </w:r>
      <w:r w:rsidR="00AE68A1">
        <w:rPr>
          <w:b/>
          <w:bCs/>
        </w:rPr>
        <w:t>CAMP: PR specialista pro rok 2025</w:t>
      </w:r>
      <w:r w:rsidR="00112443" w:rsidRPr="00FB2AC7">
        <w:rPr>
          <w:b/>
          <w:bCs/>
        </w:rPr>
        <w:t>“</w:t>
      </w:r>
    </w:p>
    <w:p w14:paraId="3D87DAF8" w14:textId="10421A6B" w:rsidR="00AF4D55" w:rsidRPr="00FB2AC7" w:rsidRDefault="00AF4D55" w:rsidP="00112443">
      <w:pPr>
        <w:spacing w:after="120" w:line="276" w:lineRule="auto"/>
        <w:rPr>
          <w:rFonts w:cs="Times New Roman"/>
          <w:b/>
        </w:rPr>
      </w:pP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FB2AC7">
        <w:rPr>
          <w:rFonts w:cs="Times New Roman"/>
          <w:bCs/>
        </w:rPr>
        <w:t>(dále jen „</w:t>
      </w:r>
      <w:r w:rsidRPr="00FB2AC7">
        <w:rPr>
          <w:rFonts w:cs="Times New Roman"/>
          <w:b/>
          <w:bCs/>
        </w:rPr>
        <w:t>smlouva</w:t>
      </w:r>
      <w:r w:rsidRPr="00FB2AC7">
        <w:rPr>
          <w:rFonts w:cs="Times New Roman"/>
          <w:bCs/>
        </w:rPr>
        <w:t>“)</w:t>
      </w:r>
    </w:p>
    <w:p w14:paraId="283901B1" w14:textId="77777777" w:rsidR="00AF4D55" w:rsidRDefault="00AF4D55" w:rsidP="0056148F">
      <w:pPr>
        <w:spacing w:before="240" w:after="240" w:line="276" w:lineRule="auto"/>
        <w:ind w:hanging="284"/>
        <w:jc w:val="center"/>
      </w:pPr>
      <w:bookmarkStart w:id="0" w:name="_Hlk145583798"/>
    </w:p>
    <w:p w14:paraId="2E02B01B" w14:textId="3850FAA3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51A41A18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782A26">
        <w:rPr>
          <w:b/>
          <w:bCs/>
        </w:rPr>
        <w:t>CAMP: PR specialista pro rok 2025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FB2AC7">
        <w:rPr>
          <w:rFonts w:cs="Times New Roman"/>
          <w:b/>
        </w:rPr>
        <w:t>2</w:t>
      </w:r>
      <w:r w:rsidR="00782A26">
        <w:rPr>
          <w:rFonts w:cs="Times New Roman"/>
          <w:b/>
        </w:rPr>
        <w:t>5-0093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61C98724" w14:textId="77777777" w:rsidR="0056148F" w:rsidRDefault="0056148F" w:rsidP="0056148F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1164CFE9" w14:textId="0F9BDF63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</w:t>
      </w:r>
      <w:r w:rsidRPr="00E110B2">
        <w:rPr>
          <w:rFonts w:cs="Times New Roman"/>
        </w:rPr>
        <w:t xml:space="preserve">uzavírány a realizovány dílčí smlouvy (dále jen </w:t>
      </w:r>
      <w:r w:rsidR="00B13DC6" w:rsidRPr="00E110B2">
        <w:rPr>
          <w:rFonts w:cs="Times New Roman"/>
        </w:rPr>
        <w:t>„</w:t>
      </w:r>
      <w:r w:rsidR="00FF3E0B" w:rsidRPr="00E110B2">
        <w:rPr>
          <w:rFonts w:cs="Times New Roman"/>
        </w:rPr>
        <w:t>d</w:t>
      </w:r>
      <w:r w:rsidRPr="00E110B2">
        <w:rPr>
          <w:rFonts w:cs="Times New Roman"/>
        </w:rPr>
        <w:t xml:space="preserve">ílčí smlouvy“), dle kterých </w:t>
      </w:r>
      <w:r w:rsidR="0056148F" w:rsidRPr="00E110B2">
        <w:rPr>
          <w:rFonts w:cs="Times New Roman"/>
        </w:rPr>
        <w:t xml:space="preserve">bude dodavatel realizovat </w:t>
      </w:r>
      <w:r w:rsidR="00E110B2">
        <w:rPr>
          <w:rFonts w:cs="Times New Roman"/>
        </w:rPr>
        <w:t xml:space="preserve">podporu při zajištění komunikace a styku Centra architektury a městského plánování (dále jen „CAMP) s veřejností a médii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 xml:space="preserve">u </w:t>
      </w:r>
      <w:r w:rsidR="00256395">
        <w:rPr>
          <w:rFonts w:cs="Times New Roman"/>
        </w:rPr>
        <w:br/>
      </w:r>
      <w:r w:rsidR="00FF3E0B">
        <w:rPr>
          <w:rFonts w:cs="Times New Roman"/>
        </w:rPr>
        <w:t>za předmět smlouvy</w:t>
      </w:r>
      <w:r w:rsidRPr="00796DBC">
        <w:rPr>
          <w:rFonts w:cs="Times New Roman"/>
        </w:rPr>
        <w:t>.</w:t>
      </w:r>
    </w:p>
    <w:p w14:paraId="4A4CD7B4" w14:textId="77777777" w:rsidR="0056148F" w:rsidRDefault="0056148F" w:rsidP="0056148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5F7A53">
        <w:rPr>
          <w:rFonts w:cs="Times New Roman"/>
        </w:rPr>
        <w:t>Podrobná specifikace předmětu smlouvy:</w:t>
      </w:r>
    </w:p>
    <w:p w14:paraId="125B85B0" w14:textId="6D2F9DA1" w:rsidR="005F7A53" w:rsidRDefault="005F7A53" w:rsidP="005F7A53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Dodavatel bude propagovat aktuální program i budoucí aktivity CAMPu jako jsou výstavy, přednášky tuzemských i zahraničních hostů, doprovodný program, dětský program a také web CAMP.</w:t>
      </w:r>
    </w:p>
    <w:p w14:paraId="75C97A74" w14:textId="1A2B6F9F" w:rsidR="005F7A53" w:rsidRDefault="005F7A53" w:rsidP="005F7A53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Dodavatel bude mít na starosti vykonávání aktivit, které jsou navázané na komunikační strategii CAMPu a naplňování cílů jako jsou zvýšení povědomí o CAMPu a navýšení návštěvnosti fyzického prostoru i webových stánek.</w:t>
      </w:r>
    </w:p>
    <w:p w14:paraId="51D6D0F6" w14:textId="2637B5E8" w:rsidR="005F7A53" w:rsidRDefault="005F7A53" w:rsidP="005F7A53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Dodavatel bude mít zároveň na starosti koordinaci úkolů jako např. kontrola grafických výstupů či různé formáty inzerce.</w:t>
      </w: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73B8C7A6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6316C7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23D575E0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K uzavření </w:t>
      </w:r>
      <w:r w:rsidR="00C11D90">
        <w:rPr>
          <w:rFonts w:cs="Times New Roman"/>
        </w:rPr>
        <w:t>jednotlivé dílčí smlouvy</w:t>
      </w:r>
      <w:r w:rsidR="00C11D90" w:rsidRPr="00C11D90">
        <w:rPr>
          <w:rFonts w:cs="Times New Roman"/>
        </w:rPr>
        <w:t xml:space="preserve"> dojde vždy na základě </w:t>
      </w:r>
      <w:r w:rsidR="00BD51AC">
        <w:rPr>
          <w:rFonts w:cs="Times New Roman"/>
        </w:rPr>
        <w:t xml:space="preserve">písemné dílčí </w:t>
      </w:r>
      <w:r w:rsidR="00C11D90" w:rsidRPr="00C11D90">
        <w:rPr>
          <w:rFonts w:cs="Times New Roman"/>
        </w:rPr>
        <w:t xml:space="preserve">objednávky </w:t>
      </w:r>
      <w:r w:rsidR="00C11D90" w:rsidRPr="00E110B2">
        <w:rPr>
          <w:rFonts w:cs="Times New Roman"/>
        </w:rPr>
        <w:t>objednatele</w:t>
      </w:r>
      <w:r w:rsidR="005C3AD8" w:rsidRPr="00E110B2">
        <w:rPr>
          <w:rFonts w:cs="Times New Roman"/>
        </w:rPr>
        <w:t xml:space="preserve"> </w:t>
      </w:r>
      <w:bookmarkStart w:id="1" w:name="_Hlk168907974"/>
      <w:r w:rsidR="005C3AD8" w:rsidRPr="00E110B2">
        <w:rPr>
          <w:rFonts w:cs="Times New Roman"/>
        </w:rPr>
        <w:t>(prostřednictvím kontaktní osoby objednatele uvedené v této rámcové dohodě, pokud hodnota dílčí objednávky ne</w:t>
      </w:r>
      <w:r w:rsidR="0058730A" w:rsidRPr="00E110B2">
        <w:rPr>
          <w:rFonts w:cs="Times New Roman"/>
        </w:rPr>
        <w:t>do</w:t>
      </w:r>
      <w:r w:rsidR="005C3AD8" w:rsidRPr="00E110B2">
        <w:rPr>
          <w:rFonts w:cs="Times New Roman"/>
        </w:rPr>
        <w:t>sáhne částk</w:t>
      </w:r>
      <w:r w:rsidR="0058730A" w:rsidRPr="00E110B2">
        <w:rPr>
          <w:rFonts w:cs="Times New Roman"/>
        </w:rPr>
        <w:t>y</w:t>
      </w:r>
      <w:r w:rsidR="005C3AD8" w:rsidRPr="00E110B2">
        <w:rPr>
          <w:rFonts w:cs="Times New Roman"/>
        </w:rPr>
        <w:t xml:space="preserve"> 50.000 Kč bez DPH)</w:t>
      </w:r>
      <w:r w:rsidR="00C11D90" w:rsidRPr="00E110B2">
        <w:rPr>
          <w:rFonts w:cs="Times New Roman"/>
        </w:rPr>
        <w:t>,</w:t>
      </w:r>
      <w:r w:rsidR="00C11D90">
        <w:rPr>
          <w:rFonts w:cs="Times New Roman"/>
        </w:rPr>
        <w:t xml:space="preserve"> </w:t>
      </w:r>
      <w:bookmarkEnd w:id="1"/>
      <w:r w:rsidR="00C11D90">
        <w:rPr>
          <w:rFonts w:cs="Times New Roman"/>
        </w:rPr>
        <w:t>jejíž obsahem bude zejména</w:t>
      </w:r>
      <w:r w:rsidR="00C11D90" w:rsidRPr="00C11D90">
        <w:rPr>
          <w:rFonts w:cs="Times New Roman"/>
          <w:b/>
          <w:bCs/>
        </w:rPr>
        <w:t xml:space="preserve">: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60AA7F95" w14:textId="4B6B56C8" w:rsidR="00FE2031" w:rsidRPr="007969DB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9DB">
        <w:rPr>
          <w:rFonts w:cs="Times New Roman"/>
        </w:rPr>
        <w:t xml:space="preserve">V rámci zpracování </w:t>
      </w:r>
      <w:r w:rsidR="00E21EE7" w:rsidRPr="007969DB">
        <w:rPr>
          <w:rFonts w:cs="Times New Roman"/>
        </w:rPr>
        <w:t>předmětu plnění</w:t>
      </w:r>
      <w:r w:rsidRPr="007969DB">
        <w:rPr>
          <w:rFonts w:cs="Times New Roman"/>
        </w:rPr>
        <w:t xml:space="preserve"> se </w:t>
      </w:r>
      <w:r w:rsidR="00E21EE7" w:rsidRPr="007969DB">
        <w:rPr>
          <w:rFonts w:cs="Times New Roman"/>
        </w:rPr>
        <w:t>dodavatel</w:t>
      </w:r>
      <w:r w:rsidRPr="007969DB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7969DB">
        <w:rPr>
          <w:rFonts w:cs="Times New Roman"/>
        </w:rPr>
        <w:t xml:space="preserve"> </w:t>
      </w:r>
      <w:r w:rsidRPr="007969DB">
        <w:rPr>
          <w:rFonts w:cs="Times New Roman"/>
        </w:rPr>
        <w:t>a zavazuje se</w:t>
      </w:r>
      <w:r w:rsidR="009E48D6" w:rsidRPr="007969DB">
        <w:rPr>
          <w:rFonts w:cs="Times New Roman"/>
        </w:rPr>
        <w:t xml:space="preserve"> </w:t>
      </w:r>
      <w:r w:rsidRPr="007969DB">
        <w:rPr>
          <w:rFonts w:cs="Times New Roman"/>
        </w:rPr>
        <w:t>k respektování závěrů na</w:t>
      </w:r>
      <w:r w:rsidR="00716673" w:rsidRPr="007969DB">
        <w:rPr>
          <w:rFonts w:cs="Times New Roman"/>
        </w:rPr>
        <w:t> </w:t>
      </w:r>
      <w:r w:rsidRPr="007969DB">
        <w:rPr>
          <w:rFonts w:cs="Times New Roman"/>
        </w:rPr>
        <w:t xml:space="preserve">nich přijatých. </w:t>
      </w:r>
      <w:r w:rsidR="00041C27" w:rsidRPr="007969DB">
        <w:rPr>
          <w:rFonts w:cs="Times New Roman"/>
        </w:rPr>
        <w:t>P</w:t>
      </w:r>
      <w:r w:rsidRPr="007969DB">
        <w:rPr>
          <w:rFonts w:cs="Times New Roman"/>
        </w:rPr>
        <w:t xml:space="preserve">očet a termíny porad </w:t>
      </w:r>
      <w:r w:rsidR="00041C27" w:rsidRPr="007969DB">
        <w:rPr>
          <w:rFonts w:cs="Times New Roman"/>
        </w:rPr>
        <w:t xml:space="preserve">stanoví </w:t>
      </w:r>
      <w:r w:rsidRPr="007969DB">
        <w:rPr>
          <w:rFonts w:cs="Times New Roman"/>
        </w:rPr>
        <w:t xml:space="preserve">objednatel podle postupu prací na </w:t>
      </w:r>
      <w:r w:rsidR="00E21EE7" w:rsidRPr="007969DB">
        <w:rPr>
          <w:rFonts w:cs="Times New Roman"/>
        </w:rPr>
        <w:t>předmětu plnění</w:t>
      </w:r>
      <w:r w:rsidRPr="007969DB">
        <w:rPr>
          <w:rFonts w:cs="Times New Roman"/>
        </w:rPr>
        <w:t xml:space="preserve">. </w:t>
      </w:r>
    </w:p>
    <w:p w14:paraId="4E545FEE" w14:textId="69A30F0C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3B1EF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 xml:space="preserve">bjednatele okamžikem </w:t>
      </w:r>
      <w:r w:rsidR="000527C9">
        <w:rPr>
          <w:rFonts w:cs="Times New Roman"/>
        </w:rPr>
        <w:t>předání 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18AA0974" w:rsidR="00CE703C" w:rsidRDefault="00DC6596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250.000,-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>
        <w:rPr>
          <w:rFonts w:cs="Times New Roman"/>
        </w:rPr>
        <w:t xml:space="preserve"> dvěstěpadesáttisíc</w:t>
      </w:r>
      <w:r w:rsidR="00CE703C" w:rsidRPr="00A15479">
        <w:rPr>
          <w:rFonts w:cs="Times New Roman"/>
        </w:rPr>
        <w:t xml:space="preserve"> korun českých)</w:t>
      </w:r>
      <w:r>
        <w:rPr>
          <w:rFonts w:cs="Times New Roman"/>
        </w:rPr>
        <w:t>.</w:t>
      </w:r>
      <w:r w:rsidR="001D54B4" w:rsidRPr="00A15479">
        <w:rPr>
          <w:rFonts w:cs="Times New Roman"/>
        </w:rPr>
        <w:t xml:space="preserve"> </w:t>
      </w:r>
    </w:p>
    <w:p w14:paraId="5EB35DF1" w14:textId="6FC8C371" w:rsidR="0082053B" w:rsidRPr="0082053B" w:rsidRDefault="0082053B" w:rsidP="003C0923">
      <w:pPr>
        <w:spacing w:line="276" w:lineRule="auto"/>
        <w:ind w:left="-284" w:firstLine="284"/>
        <w:jc w:val="both"/>
        <w:rPr>
          <w:rFonts w:cs="Times New Roman"/>
        </w:rPr>
      </w:pPr>
      <w:r w:rsidRPr="0082053B">
        <w:rPr>
          <w:rFonts w:cs="Times New Roman"/>
        </w:rPr>
        <w:t>Dodavatel není plátcem DPH.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Objednatel není povinen vyčerpat celou částku.</w:t>
      </w:r>
    </w:p>
    <w:p w14:paraId="7D429E00" w14:textId="148EC024" w:rsidR="00183CAB" w:rsidRDefault="00DC6596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Hodinová sazba: 250,- Kč/hod.</w:t>
      </w:r>
    </w:p>
    <w:p w14:paraId="678E340B" w14:textId="7777777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1238A090" w14:textId="38E5EBA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 xml:space="preserve">Vzor výkazu skutečně odpracovaných hodin je ke stažení na webových stránkách objednatele na adrese: </w:t>
      </w:r>
      <w:hyperlink r:id="rId11" w:history="1">
        <w:r w:rsidRPr="0037511C">
          <w:rPr>
            <w:rStyle w:val="Hypertextovodkaz"/>
            <w:rFonts w:cs="Times New Roman"/>
          </w:rPr>
          <w:t>http://www.iprpraha.cz/clanek/1950/vzory-dokumentu</w:t>
        </w:r>
      </w:hyperlink>
      <w:r w:rsidRPr="0037511C">
        <w:rPr>
          <w:rFonts w:cs="Times New Roman"/>
        </w:rPr>
        <w:t xml:space="preserve"> v záložce „Vzory dokumentů, na které odkazují smlouvy“.</w:t>
      </w:r>
    </w:p>
    <w:p w14:paraId="421F9D42" w14:textId="673629D2" w:rsidR="00CD4C0F" w:rsidRPr="00A15479" w:rsidRDefault="00CD4C0F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4" w:name="_Hlk162952457"/>
      <w:bookmarkEnd w:id="2"/>
      <w:bookmarkEnd w:id="3"/>
      <w:r w:rsidRPr="0037511C">
        <w:rPr>
          <w:rFonts w:cs="Times New Roman"/>
        </w:rPr>
        <w:t xml:space="preserve">Platba za splnění předmětu smlouvy dle dílčích smluv se uskuteční </w:t>
      </w:r>
      <w:r w:rsidR="000527C9" w:rsidRPr="0037511C">
        <w:rPr>
          <w:rFonts w:cs="Times New Roman"/>
        </w:rPr>
        <w:t>na základě objednatelem odsouhlaseného</w:t>
      </w:r>
      <w:r w:rsidR="002F0DB0" w:rsidRPr="0037511C">
        <w:rPr>
          <w:rFonts w:cs="Times New Roman"/>
        </w:rPr>
        <w:t xml:space="preserve"> </w:t>
      </w:r>
      <w:r w:rsidRPr="0037511C">
        <w:t xml:space="preserve">výkazu skutečně odpracovaných hodin </w:t>
      </w:r>
      <w:r w:rsidR="000527C9" w:rsidRPr="0037511C">
        <w:t xml:space="preserve">předloženého dodavatelem </w:t>
      </w:r>
      <w:r w:rsidRPr="0037511C">
        <w:t xml:space="preserve">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</w:p>
    <w:bookmarkEnd w:id="4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1AFE009D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E110B2">
        <w:rPr>
          <w:rFonts w:cs="Times New Roman"/>
        </w:rPr>
        <w:t xml:space="preserve"> </w:t>
      </w:r>
      <w:r w:rsidR="00E110B2" w:rsidRPr="00BF5360">
        <w:rPr>
          <w:rFonts w:cs="Times New Roman"/>
          <w:b/>
          <w:bCs/>
        </w:rPr>
        <w:t xml:space="preserve">a doručena </w:t>
      </w:r>
      <w:r w:rsidR="006F52CA" w:rsidRPr="00BF5360">
        <w:rPr>
          <w:rFonts w:cs="Times New Roman"/>
          <w:b/>
          <w:bCs/>
        </w:rPr>
        <w:t>na</w:t>
      </w:r>
      <w:r w:rsidR="00E110B2" w:rsidRPr="00BF5360">
        <w:rPr>
          <w:rFonts w:cs="Times New Roman"/>
          <w:b/>
          <w:bCs/>
        </w:rPr>
        <w:t xml:space="preserve"> e-mail kontaktní osoby</w:t>
      </w:r>
      <w:r w:rsidR="00E110B2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0BD043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</w:t>
      </w:r>
      <w:r w:rsidR="000527C9">
        <w:rPr>
          <w:rFonts w:cs="Times New Roman"/>
        </w:rPr>
        <w:t>ý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65C88985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75A159E5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 xml:space="preserve">, </w:t>
      </w:r>
      <w:r w:rsidR="00AF0C57" w:rsidRPr="00A15479">
        <w:rPr>
          <w:rFonts w:cs="Times New Roman"/>
        </w:rPr>
        <w:lastRenderedPageBreak/>
        <w:t>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6" w:name="_Hlk162358095"/>
      <w:r>
        <w:rPr>
          <w:rFonts w:cs="Times New Roman"/>
        </w:rPr>
        <w:t>dodava</w:t>
      </w:r>
      <w:bookmarkEnd w:id="6"/>
      <w:r w:rsidR="00AF0C57" w:rsidRPr="00A15479">
        <w:rPr>
          <w:rFonts w:cs="Times New Roman"/>
        </w:rPr>
        <w:t>teli a</w:t>
      </w:r>
      <w:r w:rsidR="00A44EC8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21E4DA32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39366EF" w14:textId="4A434B67" w:rsidR="00F55B08" w:rsidRPr="00F55B08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F55B0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322862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 w:rsidRPr="00B72146">
        <w:rPr>
          <w:rFonts w:cs="Times New Roman"/>
        </w:rPr>
        <w:t>dodavatele</w:t>
      </w:r>
      <w:r w:rsidRPr="00B72146">
        <w:rPr>
          <w:rFonts w:cs="Times New Roman"/>
        </w:rPr>
        <w:t xml:space="preserve"> z těchto důvodů</w:t>
      </w:r>
      <w:r w:rsidR="00BC08EB" w:rsidRPr="00B72146">
        <w:rPr>
          <w:rFonts w:cs="Times New Roman"/>
        </w:rPr>
        <w:t xml:space="preserve"> </w:t>
      </w:r>
      <w:r w:rsidRPr="00B72146">
        <w:rPr>
          <w:rFonts w:cs="Times New Roman"/>
        </w:rPr>
        <w:t>15</w:t>
      </w:r>
      <w:r w:rsidR="00BC08EB" w:rsidRPr="00B72146">
        <w:rPr>
          <w:rFonts w:cs="Times New Roman"/>
        </w:rPr>
        <w:t> </w:t>
      </w:r>
      <w:r w:rsidRPr="00B72146">
        <w:rPr>
          <w:rFonts w:cs="Times New Roman"/>
        </w:rPr>
        <w:t xml:space="preserve">dnů, je objednatel oprávněn od </w:t>
      </w:r>
      <w:r w:rsidR="00F260B6" w:rsidRPr="00B72146">
        <w:rPr>
          <w:rFonts w:cs="Times New Roman"/>
        </w:rPr>
        <w:t xml:space="preserve">dílčí </w:t>
      </w:r>
      <w:r w:rsidRPr="00B72146">
        <w:rPr>
          <w:rFonts w:cs="Times New Roman"/>
        </w:rPr>
        <w:t xml:space="preserve">smlouvy odstoupit. </w:t>
      </w:r>
      <w:r w:rsidR="00F260B6" w:rsidRPr="00B72146">
        <w:rPr>
          <w:rFonts w:cs="Times New Roman"/>
        </w:rPr>
        <w:t>Dodava</w:t>
      </w:r>
      <w:r w:rsidRPr="00B72146">
        <w:rPr>
          <w:rFonts w:cs="Times New Roman"/>
        </w:rPr>
        <w:t>tel</w:t>
      </w:r>
      <w:r w:rsidRPr="00A15479">
        <w:rPr>
          <w:rFonts w:cs="Times New Roman"/>
        </w:rPr>
        <w:t xml:space="preserve"> je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F55B0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368C21B9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7424B2C9" w:rsidR="009E4AB3" w:rsidRPr="00F55B08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969DB">
        <w:rPr>
          <w:rFonts w:cs="Times New Roman"/>
        </w:rPr>
        <w:t xml:space="preserve">Objednatel je oprávněn </w:t>
      </w:r>
      <w:r w:rsidR="00E062FC" w:rsidRPr="007969DB">
        <w:rPr>
          <w:rFonts w:cs="Times New Roman"/>
        </w:rPr>
        <w:t xml:space="preserve">být informován </w:t>
      </w:r>
      <w:r w:rsidRPr="007969DB">
        <w:rPr>
          <w:rFonts w:cs="Times New Roman"/>
        </w:rPr>
        <w:t>průběžn</w:t>
      </w:r>
      <w:r w:rsidR="00725CD0" w:rsidRPr="007969DB">
        <w:rPr>
          <w:rFonts w:cs="Times New Roman"/>
        </w:rPr>
        <w:t>ě</w:t>
      </w:r>
      <w:r w:rsidRPr="007969DB">
        <w:rPr>
          <w:rFonts w:cs="Times New Roman"/>
        </w:rPr>
        <w:t xml:space="preserve"> </w:t>
      </w:r>
      <w:r w:rsidR="00725CD0" w:rsidRPr="007969DB">
        <w:rPr>
          <w:rFonts w:cs="Times New Roman"/>
        </w:rPr>
        <w:t xml:space="preserve">o </w:t>
      </w:r>
      <w:r w:rsidRPr="007969DB">
        <w:rPr>
          <w:rFonts w:cs="Times New Roman"/>
        </w:rPr>
        <w:t xml:space="preserve">provádění </w:t>
      </w:r>
      <w:r w:rsidR="004F205D" w:rsidRPr="007969DB">
        <w:rPr>
          <w:rFonts w:cs="Times New Roman"/>
        </w:rPr>
        <w:t>předmětu smlouvy</w:t>
      </w:r>
      <w:r w:rsidRPr="007969DB">
        <w:rPr>
          <w:rFonts w:cs="Times New Roman"/>
        </w:rPr>
        <w:t xml:space="preserve"> (dále také „</w:t>
      </w:r>
      <w:r w:rsidR="00E062FC" w:rsidRPr="007969DB">
        <w:rPr>
          <w:rFonts w:cs="Times New Roman"/>
          <w:b/>
        </w:rPr>
        <w:t>report stavu</w:t>
      </w:r>
      <w:r w:rsidRPr="007969DB">
        <w:rPr>
          <w:rFonts w:cs="Times New Roman"/>
        </w:rPr>
        <w:t xml:space="preserve">”). </w:t>
      </w:r>
      <w:r w:rsidR="0007397E" w:rsidRPr="007969DB">
        <w:rPr>
          <w:rFonts w:cs="Times New Roman"/>
        </w:rPr>
        <w:t xml:space="preserve">Orientační frekvence předávání informací je 1 x za 14 dnů (postačí elektronickou cestou). </w:t>
      </w:r>
      <w:r w:rsidRPr="007969DB">
        <w:rPr>
          <w:rFonts w:cs="Times New Roman"/>
        </w:rPr>
        <w:t>Objednatel má právo k</w:t>
      </w:r>
      <w:r w:rsidR="00BC08EB" w:rsidRPr="007969DB">
        <w:rPr>
          <w:rFonts w:cs="Times New Roman"/>
        </w:rPr>
        <w:t> </w:t>
      </w:r>
      <w:r w:rsidRPr="007969DB">
        <w:rPr>
          <w:rFonts w:cs="Times New Roman"/>
        </w:rPr>
        <w:t>předloženým materiálům dávat své připomínky. Objednatel se vyjádř</w:t>
      </w:r>
      <w:r w:rsidR="0007397E" w:rsidRPr="007969DB">
        <w:rPr>
          <w:rFonts w:cs="Times New Roman"/>
        </w:rPr>
        <w:t>í</w:t>
      </w:r>
      <w:r w:rsidRPr="007969DB">
        <w:rPr>
          <w:rFonts w:cs="Times New Roman"/>
        </w:rPr>
        <w:t xml:space="preserve"> k</w:t>
      </w:r>
      <w:r w:rsidR="00716673" w:rsidRPr="007969DB">
        <w:rPr>
          <w:rFonts w:cs="Times New Roman"/>
        </w:rPr>
        <w:t> </w:t>
      </w:r>
      <w:r w:rsidR="004F205D" w:rsidRPr="007969DB">
        <w:rPr>
          <w:rFonts w:cs="Times New Roman"/>
        </w:rPr>
        <w:t>dodavate</w:t>
      </w:r>
      <w:r w:rsidRPr="007969DB">
        <w:rPr>
          <w:rFonts w:cs="Times New Roman"/>
        </w:rPr>
        <w:t xml:space="preserve">lem předloženým materiálům do </w:t>
      </w:r>
      <w:r w:rsidR="0037511C" w:rsidRPr="007969DB">
        <w:rPr>
          <w:rFonts w:cs="Times New Roman"/>
        </w:rPr>
        <w:t>5</w:t>
      </w:r>
      <w:r w:rsidRPr="007969DB">
        <w:rPr>
          <w:rFonts w:cs="Times New Roman"/>
        </w:rPr>
        <w:t xml:space="preserve"> pracovních dnů od jejich předložení. Na základě tohoto</w:t>
      </w:r>
      <w:r w:rsidRPr="00F55B08">
        <w:rPr>
          <w:rFonts w:cs="Times New Roman"/>
        </w:rPr>
        <w:t xml:space="preserve"> vyjádření bude </w:t>
      </w:r>
      <w:r w:rsidR="004F205D" w:rsidRPr="00F55B08">
        <w:rPr>
          <w:rFonts w:cs="Times New Roman"/>
        </w:rPr>
        <w:t>předmět smlouvy</w:t>
      </w:r>
      <w:r w:rsidRPr="00F55B08">
        <w:rPr>
          <w:rFonts w:cs="Times New Roman"/>
        </w:rPr>
        <w:t xml:space="preserve"> upraven, resp. dopracován a dokončen.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72DBEC2F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716673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14069EC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F55B08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2D4085D" w14:textId="77777777" w:rsidR="00F55B08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7229A1">
        <w:rPr>
          <w:rFonts w:cs="Times New Roman"/>
        </w:rPr>
        <w:t xml:space="preserve"> spolu s předáním </w:t>
      </w:r>
      <w:r>
        <w:rPr>
          <w:rFonts w:cs="Times New Roman"/>
        </w:rPr>
        <w:t>předmětu smlouvy</w:t>
      </w:r>
      <w:r w:rsidRPr="007229A1">
        <w:rPr>
          <w:rFonts w:cs="Times New Roman"/>
        </w:rPr>
        <w:t xml:space="preserve"> odevzdá kontaktní osobě objednatele výkaz skutečně odpracovaných hodin (tzv. výčetku).</w:t>
      </w:r>
    </w:p>
    <w:p w14:paraId="61B71DBD" w14:textId="214BF03F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FB029A">
        <w:t>odevzdání</w:t>
      </w:r>
      <w:r w:rsidR="00CA6E36">
        <w:t xml:space="preserve"> </w:t>
      </w:r>
      <w:r w:rsidR="00372DDF" w:rsidRPr="00787871">
        <w:t xml:space="preserve">dokončeného </w:t>
      </w:r>
      <w:r w:rsidR="00D01740">
        <w:t>předmětu smlouvy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162DA04F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B72146">
        <w:rPr>
          <w:rFonts w:cs="Times New Roman"/>
        </w:rPr>
        <w:t>Dodava</w:t>
      </w:r>
      <w:r w:rsidR="00730826" w:rsidRPr="00B72146">
        <w:rPr>
          <w:rFonts w:cs="Times New Roman"/>
        </w:rPr>
        <w:t xml:space="preserve">tel se zavazuje </w:t>
      </w:r>
      <w:r w:rsidR="00B72146" w:rsidRPr="00B72146">
        <w:rPr>
          <w:rFonts w:cs="Times New Roman"/>
        </w:rPr>
        <w:t xml:space="preserve">v souvislosti s </w:t>
      </w:r>
      <w:r w:rsidR="0037511C" w:rsidRPr="00B72146">
        <w:rPr>
          <w:rFonts w:cs="Times New Roman"/>
        </w:rPr>
        <w:t>veřejnou zakázk</w:t>
      </w:r>
      <w:r w:rsidR="00B72146" w:rsidRPr="00B72146">
        <w:rPr>
          <w:rFonts w:cs="Times New Roman"/>
        </w:rPr>
        <w:t>o</w:t>
      </w:r>
      <w:r w:rsidR="0037511C" w:rsidRPr="00B72146">
        <w:rPr>
          <w:rFonts w:cs="Times New Roman"/>
        </w:rPr>
        <w:t>u „</w:t>
      </w:r>
      <w:r w:rsidR="00B72146" w:rsidRPr="00B72146">
        <w:rPr>
          <w:rFonts w:cs="Times New Roman"/>
        </w:rPr>
        <w:t>CAMP: PR specialista pro rok 2025</w:t>
      </w:r>
      <w:r w:rsidR="0037511C" w:rsidRPr="00B72146">
        <w:rPr>
          <w:rFonts w:cs="Times New Roman"/>
        </w:rPr>
        <w:t>“</w:t>
      </w:r>
      <w:r w:rsidR="00DA0616" w:rsidRPr="00B72146">
        <w:rPr>
          <w:rFonts w:cs="Times New Roman"/>
        </w:rPr>
        <w:t xml:space="preserve"> </w:t>
      </w:r>
      <w:r w:rsidR="00730826" w:rsidRPr="00B72146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A9548E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6624ABF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DA0616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57AB45EE" w14:textId="5EE53559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0476721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8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2DE1AECD" w14:textId="73281DC1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 nemá být autorské dílo ve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45FBB056" w14:textId="6DF7B529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12AB0F62" w14:textId="0B8F6BBE" w:rsidR="00B422E2" w:rsidRPr="008C7F5C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6CE568ED" w14:textId="4779F001" w:rsidR="00B422E2" w:rsidRDefault="00B422E2" w:rsidP="00F55B08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132E4C53" w:rsidR="00B422E2" w:rsidRPr="00AF6C46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F6C46">
        <w:rPr>
          <w:rFonts w:cs="Times New Roman"/>
        </w:rPr>
        <w:t xml:space="preserve">Za prodlení s termínem předání </w:t>
      </w:r>
      <w:r w:rsidR="003413B5" w:rsidRPr="00AF6C46">
        <w:rPr>
          <w:rFonts w:cs="Times New Roman"/>
        </w:rPr>
        <w:t>předmětu smlouvy</w:t>
      </w:r>
      <w:r w:rsidRPr="00AF6C46">
        <w:rPr>
          <w:rFonts w:cs="Times New Roman"/>
        </w:rPr>
        <w:t xml:space="preserve"> zaplatí </w:t>
      </w:r>
      <w:r w:rsidR="003413B5" w:rsidRPr="00AF6C46">
        <w:rPr>
          <w:rFonts w:cs="Times New Roman"/>
        </w:rPr>
        <w:t>dodava</w:t>
      </w:r>
      <w:r w:rsidRPr="00AF6C46">
        <w:rPr>
          <w:rFonts w:cs="Times New Roman"/>
        </w:rPr>
        <w:t>tel objednateli smluvní pokutu ve výši 500 Kč za každý započatý den prodlení.</w:t>
      </w:r>
    </w:p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7BF4CCB2" w:rsidR="00B422E2" w:rsidRPr="00AF6C46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F6C46">
        <w:rPr>
          <w:rFonts w:cs="Times New Roman"/>
        </w:rPr>
        <w:t xml:space="preserve">Za každé jednotlivé porušení povinnosti uvedené v čl. </w:t>
      </w:r>
      <w:r w:rsidR="00BF3B91" w:rsidRPr="00AF6C46">
        <w:rPr>
          <w:rFonts w:cs="Times New Roman"/>
        </w:rPr>
        <w:t>VIII</w:t>
      </w:r>
      <w:r w:rsidRPr="00AF6C46">
        <w:rPr>
          <w:rFonts w:cs="Times New Roman"/>
        </w:rPr>
        <w:t xml:space="preserve"> odst. </w:t>
      </w:r>
      <w:r w:rsidR="006661FC" w:rsidRPr="00AF6C46">
        <w:rPr>
          <w:rFonts w:cs="Times New Roman"/>
        </w:rPr>
        <w:t xml:space="preserve">1 </w:t>
      </w:r>
      <w:r w:rsidR="002A3353" w:rsidRPr="00AF6C46">
        <w:rPr>
          <w:rFonts w:cs="Times New Roman"/>
        </w:rPr>
        <w:t>nebo</w:t>
      </w:r>
      <w:r w:rsidR="006661FC" w:rsidRPr="00AF6C46">
        <w:rPr>
          <w:rFonts w:cs="Times New Roman"/>
        </w:rPr>
        <w:t xml:space="preserve"> </w:t>
      </w:r>
      <w:r w:rsidR="005B281F" w:rsidRPr="00AF6C46">
        <w:rPr>
          <w:rFonts w:cs="Times New Roman"/>
        </w:rPr>
        <w:t>2</w:t>
      </w:r>
      <w:r w:rsidRPr="00AF6C46">
        <w:rPr>
          <w:rFonts w:cs="Times New Roman"/>
        </w:rPr>
        <w:t xml:space="preserve"> této smlouvy je </w:t>
      </w:r>
      <w:r w:rsidR="003413B5" w:rsidRPr="00AF6C46">
        <w:rPr>
          <w:rFonts w:cs="Times New Roman"/>
        </w:rPr>
        <w:t>dodava</w:t>
      </w:r>
      <w:r w:rsidRPr="00AF6C46">
        <w:rPr>
          <w:rFonts w:cs="Times New Roman"/>
        </w:rPr>
        <w:t xml:space="preserve">tel povinen zaplatit objednateli smluvní pokutu ve výši </w:t>
      </w:r>
      <w:r w:rsidR="00AF6C46" w:rsidRPr="00AF6C46">
        <w:rPr>
          <w:rFonts w:cs="Times New Roman"/>
        </w:rPr>
        <w:t>2</w:t>
      </w:r>
      <w:r w:rsidRPr="00AF6C46">
        <w:rPr>
          <w:rFonts w:cs="Times New Roman"/>
        </w:rPr>
        <w:t xml:space="preserve">5.000 Kč (slovy: </w:t>
      </w:r>
      <w:r w:rsidR="00AF6C46" w:rsidRPr="00AF6C46">
        <w:rPr>
          <w:rFonts w:cs="Times New Roman"/>
        </w:rPr>
        <w:t xml:space="preserve">dvacetpět </w:t>
      </w:r>
      <w:r w:rsidRPr="00AF6C46">
        <w:rPr>
          <w:rFonts w:cs="Times New Roman"/>
        </w:rPr>
        <w:t>tisíc korun českých).</w:t>
      </w:r>
    </w:p>
    <w:p w14:paraId="43CC444D" w14:textId="3A9CB53C" w:rsidR="00B422E2" w:rsidRPr="00AF6C46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F6C46">
        <w:rPr>
          <w:rFonts w:cs="Times New Roman"/>
          <w:iCs/>
        </w:rPr>
        <w:t xml:space="preserve">Za každé jednotlivé porušení povinností uvedených v čl. </w:t>
      </w:r>
      <w:r w:rsidR="00BF3B91" w:rsidRPr="00AF6C46">
        <w:rPr>
          <w:rFonts w:cs="Times New Roman"/>
          <w:iCs/>
        </w:rPr>
        <w:t>I</w:t>
      </w:r>
      <w:r w:rsidRPr="00AF6C46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AF6C46">
        <w:rPr>
          <w:rFonts w:cs="Times New Roman"/>
          <w:iCs/>
        </w:rPr>
        <w:t>dodava</w:t>
      </w:r>
      <w:r w:rsidRPr="00AF6C46">
        <w:rPr>
          <w:rFonts w:cs="Times New Roman"/>
          <w:iCs/>
        </w:rPr>
        <w:t xml:space="preserve">tel povinen zaplatit objednateli smluvní pokutu ve výši </w:t>
      </w:r>
      <w:r w:rsidR="00AF6C46" w:rsidRPr="00AF6C46">
        <w:rPr>
          <w:rFonts w:cs="Times New Roman"/>
          <w:iCs/>
        </w:rPr>
        <w:t>50.</w:t>
      </w:r>
      <w:r w:rsidRPr="00AF6C46">
        <w:rPr>
          <w:rFonts w:cs="Times New Roman"/>
          <w:iCs/>
        </w:rPr>
        <w:t xml:space="preserve">000 Kč </w:t>
      </w:r>
      <w:r w:rsidRPr="00AF6C46">
        <w:rPr>
          <w:rFonts w:cs="Times New Roman"/>
        </w:rPr>
        <w:t xml:space="preserve">(slovy: </w:t>
      </w:r>
      <w:r w:rsidR="00AF6C46" w:rsidRPr="00AF6C46">
        <w:rPr>
          <w:rFonts w:cs="Times New Roman"/>
        </w:rPr>
        <w:t>padesát</w:t>
      </w:r>
      <w:r w:rsidRPr="00AF6C46">
        <w:rPr>
          <w:rFonts w:cs="Times New Roman"/>
        </w:rPr>
        <w:t xml:space="preserve"> tisíc korun českých)</w:t>
      </w:r>
    </w:p>
    <w:p w14:paraId="0E651C03" w14:textId="372EB649" w:rsidR="00B422E2" w:rsidRPr="00AF6C46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F6C46">
        <w:rPr>
          <w:rFonts w:cs="Times New Roman"/>
        </w:rPr>
        <w:t xml:space="preserve">V případě, že se </w:t>
      </w:r>
      <w:r w:rsidR="004F2310" w:rsidRPr="00AF6C46">
        <w:rPr>
          <w:rFonts w:cs="Times New Roman"/>
        </w:rPr>
        <w:t>dodavat</w:t>
      </w:r>
      <w:r w:rsidRPr="00AF6C46">
        <w:rPr>
          <w:rFonts w:cs="Times New Roman"/>
        </w:rPr>
        <w:t xml:space="preserve">el neúčastní řádně oznámené pracovní porady dle čl. I odst. </w:t>
      </w:r>
      <w:r w:rsidR="003B1F0B" w:rsidRPr="00AF6C46">
        <w:rPr>
          <w:rFonts w:cs="Times New Roman"/>
        </w:rPr>
        <w:t xml:space="preserve">5 </w:t>
      </w:r>
      <w:r w:rsidRPr="00AF6C46">
        <w:rPr>
          <w:rFonts w:cs="Times New Roman"/>
        </w:rPr>
        <w:t xml:space="preserve">a čl. III odst. </w:t>
      </w:r>
      <w:r w:rsidR="0075320B" w:rsidRPr="00AF6C46">
        <w:rPr>
          <w:rFonts w:cs="Times New Roman"/>
        </w:rPr>
        <w:t>3</w:t>
      </w:r>
      <w:r w:rsidRPr="00AF6C46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57F050FE" w14:textId="07F22C06" w:rsidR="00B422E2" w:rsidRPr="00AF6C46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F6C46">
        <w:rPr>
          <w:rFonts w:cs="Times New Roman"/>
        </w:rPr>
        <w:t xml:space="preserve">V případě, že </w:t>
      </w:r>
      <w:r w:rsidR="004F2310" w:rsidRPr="00AF6C46">
        <w:rPr>
          <w:rFonts w:cs="Times New Roman"/>
        </w:rPr>
        <w:t>dodava</w:t>
      </w:r>
      <w:r w:rsidRPr="00AF6C46">
        <w:rPr>
          <w:rFonts w:cs="Times New Roman"/>
        </w:rPr>
        <w:t xml:space="preserve">tel neposkytne přes výzvu objednatele report stavu dle ust. čl. IV odst. 3 této smlouvy, zaplatí </w:t>
      </w:r>
      <w:r w:rsidR="009D508B" w:rsidRPr="00AF6C46">
        <w:rPr>
          <w:rFonts w:cs="Times New Roman"/>
        </w:rPr>
        <w:t>dodava</w:t>
      </w:r>
      <w:r w:rsidRPr="00AF6C46">
        <w:rPr>
          <w:rFonts w:cs="Times New Roman"/>
        </w:rPr>
        <w:t>tel objednateli smluvní pokutu ve výši 500 Kč za každý započatý den prodlení.</w:t>
      </w:r>
    </w:p>
    <w:p w14:paraId="395FF910" w14:textId="0F0B4300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 vadu </w:t>
      </w:r>
      <w:r w:rsidR="004F2310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 14 dnů od zjištění vady a jejího oznámení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</w:t>
      </w:r>
      <w:r w:rsidR="00FB029A">
        <w:rPr>
          <w:rFonts w:cs="Times New Roman"/>
        </w:rPr>
        <w:t>2</w:t>
      </w:r>
      <w:r w:rsidRPr="00A15479">
        <w:rPr>
          <w:rFonts w:cs="Times New Roman"/>
        </w:rPr>
        <w:t xml:space="preserve"> této smlouvy, zaplatí objednateli smluvní pokutu ve</w:t>
      </w:r>
      <w:r w:rsidR="00CB0842">
        <w:rPr>
          <w:rFonts w:cs="Times New Roman"/>
        </w:rPr>
        <w:t> </w:t>
      </w:r>
      <w:r w:rsidRPr="00A15479">
        <w:rPr>
          <w:rFonts w:cs="Times New Roman"/>
        </w:rPr>
        <w:t>výši</w:t>
      </w:r>
      <w:r w:rsidR="00CB0842">
        <w:rPr>
          <w:rFonts w:cs="Times New Roman"/>
        </w:rPr>
        <w:t> </w:t>
      </w:r>
      <w:r w:rsidR="00AF6C46">
        <w:rPr>
          <w:rFonts w:cs="Times New Roman"/>
        </w:rPr>
        <w:t>500,- Kč</w:t>
      </w:r>
      <w:r w:rsidRPr="00A15479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05A457C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>
        <w:rPr>
          <w:rFonts w:cs="Times New Roman"/>
        </w:rPr>
        <w:t xml:space="preserve">dne </w:t>
      </w:r>
      <w:r w:rsidR="00AF6C46">
        <w:rPr>
          <w:rFonts w:cs="Times New Roman"/>
        </w:rPr>
        <w:t>31.12.2025</w:t>
      </w:r>
      <w:r w:rsidR="00F57DD2">
        <w:rPr>
          <w:rFonts w:cs="Times New Roman"/>
        </w:rPr>
        <w:t>,</w:t>
      </w:r>
      <w:r w:rsidR="004F2310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4E6548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AF6C46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F6C46">
        <w:rPr>
          <w:rFonts w:cs="Times New Roman"/>
        </w:rPr>
        <w:t>písemnou výpovědí za podmínek uvedených v odst. 3 tohoto článku</w:t>
      </w:r>
      <w:r w:rsidR="001D54B4" w:rsidRPr="00AF6C46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F6C46">
        <w:rPr>
          <w:rFonts w:cs="Times New Roman"/>
        </w:rPr>
        <w:t>Smluvní strany mohou podat výpověď i bez udání důvodu. Výpovědní lhůta činí 3 měsíc</w:t>
      </w:r>
      <w:r w:rsidR="00D37798" w:rsidRPr="00AF6C46">
        <w:rPr>
          <w:rFonts w:cs="Times New Roman"/>
        </w:rPr>
        <w:t>e</w:t>
      </w:r>
      <w:r w:rsidRPr="00AF6C46">
        <w:rPr>
          <w:rFonts w:cs="Times New Roman"/>
        </w:rPr>
        <w:t xml:space="preserve"> a počíná běžet</w:t>
      </w:r>
      <w:r w:rsidRPr="00A15479">
        <w:rPr>
          <w:rFonts w:cs="Times New Roman"/>
        </w:rPr>
        <w:t xml:space="preserve">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A6123DD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3B1F0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58FBD582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AF6C46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2BA9B97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B1F0B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18923CBE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AF6C46">
        <w:rPr>
          <w:rFonts w:cs="Times New Roman"/>
        </w:rPr>
        <w:t>nfzwaps</w:t>
      </w:r>
      <w:r w:rsidRPr="00C541C1">
        <w:rPr>
          <w:rStyle w:val="Siln"/>
          <w:rFonts w:cs="Times New Roman"/>
          <w:b w:val="0"/>
          <w:shd w:val="clear" w:color="auto" w:fill="FFFFFF"/>
        </w:rPr>
        <w:t>)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77D1D7A6" w:rsidR="00F74C17" w:rsidRPr="00D0740D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0740D">
        <w:rPr>
          <w:rFonts w:cs="Times New Roman"/>
        </w:rPr>
        <w:t xml:space="preserve">Kontaktní osobou na straně objednatele je </w:t>
      </w:r>
      <w:r w:rsidR="003B5E6A">
        <w:rPr>
          <w:rFonts w:cs="Times New Roman"/>
        </w:rPr>
        <w:t>xxxxxxxxxxxxxxx</w:t>
      </w:r>
    </w:p>
    <w:p w14:paraId="63CC12DA" w14:textId="4C7FC614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tele je </w:t>
      </w:r>
      <w:r w:rsidR="003B5E6A">
        <w:rPr>
          <w:rFonts w:cs="Times New Roman"/>
        </w:rPr>
        <w:t>xxxxxxxxxxxxxxxx</w:t>
      </w:r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4F1D8037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0" w:name="_Hlk145937672"/>
      <w:r w:rsidRPr="00A15479">
        <w:rPr>
          <w:szCs w:val="22"/>
        </w:rPr>
        <w:t>XI</w:t>
      </w:r>
      <w:r w:rsidR="00FB2AC7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stal určenou osobou, je povinen o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9445C">
        <w:rPr>
          <w:rFonts w:cs="Times New Roman"/>
          <w:color w:val="auto"/>
          <w:sz w:val="22"/>
        </w:rPr>
        <w:t>o</w:t>
      </w:r>
      <w:r w:rsidRPr="00D9445C">
        <w:rPr>
          <w:rFonts w:cs="Times New Roman"/>
          <w:color w:val="auto"/>
          <w:sz w:val="22"/>
        </w:rPr>
        <w:t>bjednateli v souvislosti s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porušením této</w:t>
      </w:r>
      <w:r w:rsidR="0048274C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povinnosti jakákoliv škoda, je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tuto škodu</w:t>
      </w:r>
      <w:r w:rsidRPr="00A15479">
        <w:rPr>
          <w:rFonts w:cs="Times New Roman"/>
          <w:color w:val="auto"/>
          <w:sz w:val="22"/>
        </w:rPr>
        <w:t xml:space="preserve">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0"/>
    <w:p w14:paraId="6090563C" w14:textId="0A5CF006" w:rsidR="00435AF5" w:rsidRPr="00FB2AC7" w:rsidRDefault="00435AF5" w:rsidP="00FB2AC7">
      <w:pPr>
        <w:pStyle w:val="Standardnte"/>
        <w:spacing w:before="240" w:after="240" w:line="276" w:lineRule="auto"/>
        <w:rPr>
          <w:rFonts w:cs="Times New Roman"/>
          <w:b/>
          <w:bCs/>
          <w:highlight w:val="cyan"/>
        </w:rPr>
      </w:pPr>
    </w:p>
    <w:p w14:paraId="1C492FCA" w14:textId="39CCA130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FB2AC7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1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Pr="00FB2AC7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</w:t>
      </w:r>
      <w:r w:rsidRPr="00FB2AC7">
        <w:rPr>
          <w:rFonts w:cs="Times New Roman"/>
        </w:rPr>
        <w:t>stranou, nezpřístupní třetím osobám pro jiné účely než pro plnění závazků stanovených touto smlouvou.</w:t>
      </w:r>
    </w:p>
    <w:p w14:paraId="34B83C4B" w14:textId="2028EE67" w:rsidR="00945259" w:rsidRPr="00FB2AC7" w:rsidRDefault="00945259" w:rsidP="00F848A0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B2AC7">
        <w:rPr>
          <w:rFonts w:cs="Times New Roman"/>
        </w:rPr>
        <w:t>Tato smlouva je vyhotovena ve dvou stejnopisech, z nichž každý stejnopis má platnost originálu, dodavatel a objednatel obdrží po jednom vyhotovení</w:t>
      </w:r>
      <w:r w:rsidR="00F77AD7" w:rsidRPr="00FB2AC7">
        <w:rPr>
          <w:rFonts w:cs="Times New Roman"/>
        </w:rPr>
        <w:t>.</w:t>
      </w:r>
    </w:p>
    <w:p w14:paraId="7A7DDECF" w14:textId="3BDFAA3B" w:rsidR="003B6E46" w:rsidRPr="00945259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B2AC7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FB2AC7">
        <w:rPr>
          <w:rFonts w:cs="Times New Roman"/>
        </w:rPr>
        <w:t>, ledaže</w:t>
      </w:r>
      <w:r w:rsidR="00AD1951" w:rsidRPr="00FB2AC7">
        <w:rPr>
          <w:rFonts w:cs="Times New Roman"/>
        </w:rPr>
        <w:t xml:space="preserve"> </w:t>
      </w:r>
      <w:r w:rsidR="00C954B8" w:rsidRPr="00FB2AC7">
        <w:rPr>
          <w:rFonts w:cs="Times New Roman"/>
        </w:rPr>
        <w:t>oprávnění k jejich postoupení bez souhlasu druhé strany přímo vyplývá</w:t>
      </w:r>
      <w:r w:rsidR="00C954B8" w:rsidRPr="00945259">
        <w:rPr>
          <w:rFonts w:cs="Times New Roman"/>
        </w:rPr>
        <w:t xml:space="preserve"> z ujednání v této smlouvě obsaženém</w:t>
      </w:r>
      <w:r w:rsidRPr="00945259">
        <w:rPr>
          <w:rFonts w:cs="Times New Roman"/>
        </w:rPr>
        <w:t>. K přechodu práv a povinností na právní nástupce stran se souhlas nevyžaduje.</w:t>
      </w:r>
    </w:p>
    <w:p w14:paraId="49D99945" w14:textId="3B0DA149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r w:rsidR="00945259" w:rsidRPr="00A15479">
        <w:rPr>
          <w:rFonts w:cs="Times New Roman"/>
        </w:rPr>
        <w:t xml:space="preserve">zveřejnění smlouvy zasláním správci registru smluv </w:t>
      </w:r>
      <w:r w:rsidR="00945259">
        <w:rPr>
          <w:rFonts w:cs="Times New Roman"/>
        </w:rPr>
        <w:t>po</w:t>
      </w:r>
      <w:r w:rsidR="00945259" w:rsidRPr="00A15479">
        <w:rPr>
          <w:rFonts w:cs="Times New Roman"/>
        </w:rPr>
        <w:t xml:space="preserve"> podpisu smlouvy oběma smluvními</w:t>
      </w:r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945259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945259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2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3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BE2390" w14:textId="77777777" w:rsidR="006316C7" w:rsidRDefault="006316C7" w:rsidP="00F85CAB">
      <w:pPr>
        <w:spacing w:after="120" w:line="276" w:lineRule="auto"/>
        <w:ind w:hanging="284"/>
        <w:rPr>
          <w:rFonts w:cs="Times New Roman"/>
        </w:rPr>
      </w:pPr>
    </w:p>
    <w:p w14:paraId="1503FFE7" w14:textId="77777777" w:rsidR="00767E75" w:rsidRDefault="00767E75" w:rsidP="00D9445C">
      <w:pPr>
        <w:spacing w:after="120" w:line="276" w:lineRule="auto"/>
        <w:ind w:hanging="284"/>
        <w:rPr>
          <w:rFonts w:cs="Times New Roman"/>
        </w:rPr>
      </w:pPr>
    </w:p>
    <w:p w14:paraId="2F70FA92" w14:textId="13AAA837" w:rsidR="00EA3A9D" w:rsidRPr="00FB2AC7" w:rsidRDefault="001D54B4" w:rsidP="00D9445C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0740D">
        <w:rPr>
          <w:rFonts w:cs="Times New Roman"/>
        </w:rPr>
        <w:t xml:space="preserve">V Praze </w:t>
      </w:r>
      <w:r w:rsidR="00DC25B2" w:rsidRPr="00FB2AC7">
        <w:rPr>
          <w:rFonts w:cs="Times New Roman"/>
        </w:rPr>
        <w:t>dne</w:t>
      </w:r>
    </w:p>
    <w:p w14:paraId="77EBA168" w14:textId="77777777" w:rsidR="006316C7" w:rsidRDefault="006316C7" w:rsidP="0007550F">
      <w:pPr>
        <w:spacing w:after="120" w:line="276" w:lineRule="auto"/>
        <w:rPr>
          <w:rFonts w:cs="Times New Roman"/>
        </w:rPr>
      </w:pPr>
    </w:p>
    <w:p w14:paraId="35D21271" w14:textId="77777777" w:rsidR="00FB2AC7" w:rsidRDefault="00FB2AC7" w:rsidP="0007550F">
      <w:pPr>
        <w:spacing w:after="120" w:line="276" w:lineRule="auto"/>
        <w:rPr>
          <w:rFonts w:cs="Times New Roman"/>
        </w:rPr>
      </w:pPr>
    </w:p>
    <w:p w14:paraId="2597C146" w14:textId="77777777" w:rsidR="00FB2AC7" w:rsidRPr="00FB2AC7" w:rsidRDefault="00FB2AC7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FB2AC7" w:rsidRDefault="001D54B4" w:rsidP="0007550F">
      <w:pPr>
        <w:spacing w:after="120" w:line="276" w:lineRule="auto"/>
        <w:ind w:hanging="284"/>
        <w:rPr>
          <w:rFonts w:cs="Times New Roman"/>
        </w:rPr>
      </w:pPr>
      <w:r w:rsidRPr="00FB2AC7">
        <w:rPr>
          <w:rFonts w:cs="Times New Roman"/>
        </w:rPr>
        <w:t>………………………………..</w:t>
      </w:r>
      <w:r w:rsidRPr="00FB2AC7">
        <w:rPr>
          <w:rFonts w:cs="Times New Roman"/>
        </w:rPr>
        <w:tab/>
      </w:r>
      <w:r w:rsidRPr="00FB2AC7">
        <w:rPr>
          <w:rFonts w:cs="Times New Roman"/>
        </w:rPr>
        <w:tab/>
      </w:r>
      <w:r w:rsidRPr="00FB2AC7">
        <w:rPr>
          <w:rFonts w:cs="Times New Roman"/>
        </w:rPr>
        <w:tab/>
      </w:r>
      <w:r w:rsidR="003B6E46" w:rsidRPr="00FB2AC7">
        <w:rPr>
          <w:rFonts w:cs="Times New Roman"/>
        </w:rPr>
        <w:tab/>
      </w:r>
      <w:r w:rsidRPr="00FB2AC7">
        <w:rPr>
          <w:rFonts w:cs="Times New Roman"/>
        </w:rPr>
        <w:t>………………………………………….</w:t>
      </w:r>
    </w:p>
    <w:p w14:paraId="74C5C23F" w14:textId="22B8A837" w:rsidR="00945259" w:rsidRPr="00FB2AC7" w:rsidRDefault="00945259" w:rsidP="00945259">
      <w:pPr>
        <w:spacing w:line="276" w:lineRule="auto"/>
        <w:ind w:hanging="284"/>
        <w:rPr>
          <w:rFonts w:cs="Times New Roman"/>
          <w:b/>
        </w:rPr>
      </w:pPr>
      <w:r w:rsidRPr="00FB2AC7">
        <w:rPr>
          <w:rFonts w:cs="Times New Roman"/>
          <w:b/>
        </w:rPr>
        <w:t xml:space="preserve">Mgr. Adam Švejda </w:t>
      </w:r>
      <w:r w:rsidRPr="00FB2AC7">
        <w:rPr>
          <w:rFonts w:cs="Times New Roman"/>
          <w:b/>
        </w:rPr>
        <w:tab/>
      </w:r>
      <w:r w:rsidRPr="00FB2AC7">
        <w:rPr>
          <w:rFonts w:cs="Times New Roman"/>
          <w:b/>
        </w:rPr>
        <w:tab/>
      </w:r>
      <w:r w:rsidRPr="00FB2AC7">
        <w:rPr>
          <w:rFonts w:cs="Times New Roman"/>
          <w:b/>
        </w:rPr>
        <w:tab/>
      </w:r>
      <w:r w:rsidRPr="00FB2AC7">
        <w:rPr>
          <w:rFonts w:cs="Times New Roman"/>
          <w:b/>
        </w:rPr>
        <w:tab/>
      </w:r>
      <w:r w:rsidRPr="00FB2AC7">
        <w:rPr>
          <w:rFonts w:cs="Times New Roman"/>
          <w:b/>
        </w:rPr>
        <w:tab/>
      </w:r>
      <w:r w:rsidR="00D0740D">
        <w:rPr>
          <w:rFonts w:cs="Times New Roman"/>
          <w:b/>
        </w:rPr>
        <w:t>Sarah Šašková</w:t>
      </w:r>
      <w:r w:rsidR="00FB2AC7" w:rsidRPr="00FB2AC7">
        <w:rPr>
          <w:rFonts w:cs="Times New Roman"/>
        </w:rPr>
        <w:t xml:space="preserve"> </w:t>
      </w:r>
    </w:p>
    <w:p w14:paraId="61B9D429" w14:textId="69771184" w:rsidR="00945259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FB2AC7">
        <w:rPr>
          <w:rFonts w:cs="Times New Roman"/>
        </w:rPr>
        <w:t>zástupce ředitele pro ekonomickou</w:t>
      </w:r>
      <w:r w:rsidR="00CD6252" w:rsidRPr="00FB2AC7">
        <w:rPr>
          <w:rFonts w:cs="Times New Roman"/>
        </w:rPr>
        <w:t xml:space="preserve"> a provozní</w:t>
      </w:r>
      <w:r w:rsidRPr="00FB2AC7">
        <w:rPr>
          <w:rFonts w:cs="Times New Roman"/>
        </w:rPr>
        <w:t xml:space="preserve"> činnost</w:t>
      </w:r>
      <w:r w:rsidRPr="00A15479">
        <w:rPr>
          <w:rFonts w:cs="Times New Roman"/>
        </w:rPr>
        <w:tab/>
      </w:r>
      <w:r w:rsidR="00FB2AC7">
        <w:rPr>
          <w:rFonts w:cs="Times New Roman"/>
        </w:rPr>
        <w:t xml:space="preserve"> </w:t>
      </w:r>
    </w:p>
    <w:p w14:paraId="310D0AAD" w14:textId="227EB7B0" w:rsidR="00945259" w:rsidRPr="00A15479" w:rsidRDefault="00945259" w:rsidP="00945259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</w:p>
    <w:p w14:paraId="4AE2C43C" w14:textId="7C265B4B" w:rsidR="006C1EDF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0DD6" w14:textId="77777777" w:rsidR="00317CBD" w:rsidRDefault="00317CBD">
      <w:r>
        <w:separator/>
      </w:r>
    </w:p>
  </w:endnote>
  <w:endnote w:type="continuationSeparator" w:id="0">
    <w:p w14:paraId="3C452ACD" w14:textId="77777777" w:rsidR="00317CBD" w:rsidRDefault="0031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1BEE" w14:textId="77777777" w:rsidR="00317CBD" w:rsidRDefault="00317CBD">
      <w:r>
        <w:separator/>
      </w:r>
    </w:p>
  </w:footnote>
  <w:footnote w:type="continuationSeparator" w:id="0">
    <w:p w14:paraId="146F7C71" w14:textId="77777777" w:rsidR="00317CBD" w:rsidRDefault="0031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63ACE0EA" w:rsidR="00A94B18" w:rsidRPr="00112443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112443">
      <w:rPr>
        <w:sz w:val="22"/>
      </w:rPr>
      <w:t>objednatele: ZAK</w:t>
    </w:r>
    <w:r w:rsidR="00512330" w:rsidRPr="00112443">
      <w:rPr>
        <w:sz w:val="22"/>
      </w:rPr>
      <w:t xml:space="preserve"> </w:t>
    </w:r>
    <w:r w:rsidR="00AE68A1">
      <w:rPr>
        <w:sz w:val="22"/>
      </w:rPr>
      <w:t>25-0093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112443">
      <w:t xml:space="preserve">č. smlouvy </w:t>
    </w:r>
    <w:r w:rsidR="009D508B" w:rsidRPr="00112443">
      <w:t>dodava</w:t>
    </w:r>
    <w:r w:rsidRPr="00112443">
      <w:t>tele</w:t>
    </w:r>
    <w:r w:rsidR="00D81B70" w:rsidRPr="00112443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3270B86"/>
    <w:multiLevelType w:val="hybridMultilevel"/>
    <w:tmpl w:val="BA10AD22"/>
    <w:lvl w:ilvl="0" w:tplc="AD16B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8443">
    <w:abstractNumId w:val="0"/>
  </w:num>
  <w:num w:numId="2" w16cid:durableId="1606227266">
    <w:abstractNumId w:val="11"/>
  </w:num>
  <w:num w:numId="3" w16cid:durableId="1234857563">
    <w:abstractNumId w:val="31"/>
  </w:num>
  <w:num w:numId="4" w16cid:durableId="1269193890">
    <w:abstractNumId w:val="39"/>
  </w:num>
  <w:num w:numId="5" w16cid:durableId="2072730295">
    <w:abstractNumId w:val="29"/>
  </w:num>
  <w:num w:numId="6" w16cid:durableId="1141001880">
    <w:abstractNumId w:val="42"/>
  </w:num>
  <w:num w:numId="7" w16cid:durableId="239491167">
    <w:abstractNumId w:val="30"/>
  </w:num>
  <w:num w:numId="8" w16cid:durableId="1279140475">
    <w:abstractNumId w:val="21"/>
  </w:num>
  <w:num w:numId="9" w16cid:durableId="2031101442">
    <w:abstractNumId w:val="40"/>
  </w:num>
  <w:num w:numId="10" w16cid:durableId="1082289645">
    <w:abstractNumId w:val="35"/>
  </w:num>
  <w:num w:numId="11" w16cid:durableId="770583944">
    <w:abstractNumId w:val="20"/>
  </w:num>
  <w:num w:numId="12" w16cid:durableId="1465654708">
    <w:abstractNumId w:val="26"/>
  </w:num>
  <w:num w:numId="13" w16cid:durableId="1459302793">
    <w:abstractNumId w:val="34"/>
  </w:num>
  <w:num w:numId="14" w16cid:durableId="462624390">
    <w:abstractNumId w:val="24"/>
  </w:num>
  <w:num w:numId="15" w16cid:durableId="139663224">
    <w:abstractNumId w:val="23"/>
  </w:num>
  <w:num w:numId="16" w16cid:durableId="568348051">
    <w:abstractNumId w:val="41"/>
  </w:num>
  <w:num w:numId="17" w16cid:durableId="717435609">
    <w:abstractNumId w:val="43"/>
  </w:num>
  <w:num w:numId="18" w16cid:durableId="1546024670">
    <w:abstractNumId w:val="38"/>
  </w:num>
  <w:num w:numId="19" w16cid:durableId="2028864417">
    <w:abstractNumId w:val="33"/>
  </w:num>
  <w:num w:numId="20" w16cid:durableId="156575564">
    <w:abstractNumId w:val="36"/>
  </w:num>
  <w:num w:numId="21" w16cid:durableId="2110156996">
    <w:abstractNumId w:val="27"/>
  </w:num>
  <w:num w:numId="22" w16cid:durableId="1013457628">
    <w:abstractNumId w:val="22"/>
  </w:num>
  <w:num w:numId="23" w16cid:durableId="451287468">
    <w:abstractNumId w:val="2"/>
  </w:num>
  <w:num w:numId="24" w16cid:durableId="185532560">
    <w:abstractNumId w:val="14"/>
  </w:num>
  <w:num w:numId="25" w16cid:durableId="1413770390">
    <w:abstractNumId w:val="37"/>
  </w:num>
  <w:num w:numId="26" w16cid:durableId="567765672">
    <w:abstractNumId w:val="28"/>
  </w:num>
  <w:num w:numId="27" w16cid:durableId="516428632">
    <w:abstractNumId w:val="25"/>
  </w:num>
  <w:num w:numId="28" w16cid:durableId="1744135603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27C9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3E95"/>
    <w:rsid w:val="000A6D7E"/>
    <w:rsid w:val="000A6EB0"/>
    <w:rsid w:val="000B577A"/>
    <w:rsid w:val="000B6DDD"/>
    <w:rsid w:val="000C1948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2443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143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7E7D"/>
    <w:rsid w:val="00202E05"/>
    <w:rsid w:val="002057EB"/>
    <w:rsid w:val="00205D10"/>
    <w:rsid w:val="002159C4"/>
    <w:rsid w:val="00221B9C"/>
    <w:rsid w:val="002232FA"/>
    <w:rsid w:val="002234EC"/>
    <w:rsid w:val="00224D81"/>
    <w:rsid w:val="0022529B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6395"/>
    <w:rsid w:val="00257374"/>
    <w:rsid w:val="00261489"/>
    <w:rsid w:val="0026248A"/>
    <w:rsid w:val="00263F0D"/>
    <w:rsid w:val="00264F49"/>
    <w:rsid w:val="002667F0"/>
    <w:rsid w:val="00273077"/>
    <w:rsid w:val="00277188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3353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0DB0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64FE"/>
    <w:rsid w:val="00317A90"/>
    <w:rsid w:val="00317CBD"/>
    <w:rsid w:val="0032505C"/>
    <w:rsid w:val="00330250"/>
    <w:rsid w:val="00331390"/>
    <w:rsid w:val="003375C0"/>
    <w:rsid w:val="003413B5"/>
    <w:rsid w:val="00341B38"/>
    <w:rsid w:val="00344165"/>
    <w:rsid w:val="00347907"/>
    <w:rsid w:val="00351165"/>
    <w:rsid w:val="00354F1C"/>
    <w:rsid w:val="00360039"/>
    <w:rsid w:val="003620C5"/>
    <w:rsid w:val="00362671"/>
    <w:rsid w:val="00367E80"/>
    <w:rsid w:val="00372526"/>
    <w:rsid w:val="00372DDF"/>
    <w:rsid w:val="0037511C"/>
    <w:rsid w:val="00375836"/>
    <w:rsid w:val="0037586C"/>
    <w:rsid w:val="0038330D"/>
    <w:rsid w:val="00387A6E"/>
    <w:rsid w:val="003940F2"/>
    <w:rsid w:val="00395F31"/>
    <w:rsid w:val="003A3BD5"/>
    <w:rsid w:val="003A4191"/>
    <w:rsid w:val="003B1EFF"/>
    <w:rsid w:val="003B1F0B"/>
    <w:rsid w:val="003B5E6A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0D9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E6548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148F"/>
    <w:rsid w:val="0056225B"/>
    <w:rsid w:val="00572900"/>
    <w:rsid w:val="00581438"/>
    <w:rsid w:val="005815D6"/>
    <w:rsid w:val="005818CC"/>
    <w:rsid w:val="0058623D"/>
    <w:rsid w:val="0058730A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3AD8"/>
    <w:rsid w:val="005C754A"/>
    <w:rsid w:val="005D01A9"/>
    <w:rsid w:val="005D4027"/>
    <w:rsid w:val="005E4042"/>
    <w:rsid w:val="005E4843"/>
    <w:rsid w:val="005E5618"/>
    <w:rsid w:val="005F38A1"/>
    <w:rsid w:val="005F7A53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6C7"/>
    <w:rsid w:val="00631C30"/>
    <w:rsid w:val="006361ED"/>
    <w:rsid w:val="006411F0"/>
    <w:rsid w:val="00646F16"/>
    <w:rsid w:val="00647B57"/>
    <w:rsid w:val="00651395"/>
    <w:rsid w:val="006578A5"/>
    <w:rsid w:val="00666180"/>
    <w:rsid w:val="006661FC"/>
    <w:rsid w:val="00666DF2"/>
    <w:rsid w:val="00667092"/>
    <w:rsid w:val="0067120C"/>
    <w:rsid w:val="00677C35"/>
    <w:rsid w:val="00680E1A"/>
    <w:rsid w:val="00684D8C"/>
    <w:rsid w:val="006853D6"/>
    <w:rsid w:val="00693598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52CA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6673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67E75"/>
    <w:rsid w:val="00770489"/>
    <w:rsid w:val="007715FE"/>
    <w:rsid w:val="00771CF5"/>
    <w:rsid w:val="007721B0"/>
    <w:rsid w:val="00773DB1"/>
    <w:rsid w:val="007751A9"/>
    <w:rsid w:val="00775F16"/>
    <w:rsid w:val="00776648"/>
    <w:rsid w:val="00782A26"/>
    <w:rsid w:val="00787871"/>
    <w:rsid w:val="00792B3E"/>
    <w:rsid w:val="007969DB"/>
    <w:rsid w:val="00796DBC"/>
    <w:rsid w:val="007A0A70"/>
    <w:rsid w:val="007A33BA"/>
    <w:rsid w:val="007A3CEB"/>
    <w:rsid w:val="007A4B10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2F82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5F48"/>
    <w:rsid w:val="008065AE"/>
    <w:rsid w:val="008121FB"/>
    <w:rsid w:val="00815278"/>
    <w:rsid w:val="0081750C"/>
    <w:rsid w:val="0082053B"/>
    <w:rsid w:val="00820E58"/>
    <w:rsid w:val="00822E99"/>
    <w:rsid w:val="00822F7E"/>
    <w:rsid w:val="00823114"/>
    <w:rsid w:val="00831650"/>
    <w:rsid w:val="008343E7"/>
    <w:rsid w:val="00837F6B"/>
    <w:rsid w:val="00840920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A2286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45259"/>
    <w:rsid w:val="009512CA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12AE"/>
    <w:rsid w:val="009B1300"/>
    <w:rsid w:val="009B183A"/>
    <w:rsid w:val="009B1F22"/>
    <w:rsid w:val="009B2A5D"/>
    <w:rsid w:val="009B2A9A"/>
    <w:rsid w:val="009B5D97"/>
    <w:rsid w:val="009B60DD"/>
    <w:rsid w:val="009C0728"/>
    <w:rsid w:val="009C09AB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28DC"/>
    <w:rsid w:val="00A033B2"/>
    <w:rsid w:val="00A036E9"/>
    <w:rsid w:val="00A04ABD"/>
    <w:rsid w:val="00A04CCD"/>
    <w:rsid w:val="00A12EFD"/>
    <w:rsid w:val="00A15479"/>
    <w:rsid w:val="00A25914"/>
    <w:rsid w:val="00A31D79"/>
    <w:rsid w:val="00A34771"/>
    <w:rsid w:val="00A4062C"/>
    <w:rsid w:val="00A44EC8"/>
    <w:rsid w:val="00A464CE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548E"/>
    <w:rsid w:val="00A9606F"/>
    <w:rsid w:val="00AA1127"/>
    <w:rsid w:val="00AA23CA"/>
    <w:rsid w:val="00AA58BA"/>
    <w:rsid w:val="00AB01CF"/>
    <w:rsid w:val="00AB2247"/>
    <w:rsid w:val="00AB24EA"/>
    <w:rsid w:val="00AB60B1"/>
    <w:rsid w:val="00AC0F72"/>
    <w:rsid w:val="00AC35D0"/>
    <w:rsid w:val="00AD1951"/>
    <w:rsid w:val="00AD498A"/>
    <w:rsid w:val="00AD6852"/>
    <w:rsid w:val="00AD68DF"/>
    <w:rsid w:val="00AE0FE5"/>
    <w:rsid w:val="00AE68A1"/>
    <w:rsid w:val="00AF0A11"/>
    <w:rsid w:val="00AF0C57"/>
    <w:rsid w:val="00AF346F"/>
    <w:rsid w:val="00AF4D55"/>
    <w:rsid w:val="00AF6C46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2E33"/>
    <w:rsid w:val="00B541D8"/>
    <w:rsid w:val="00B55564"/>
    <w:rsid w:val="00B56306"/>
    <w:rsid w:val="00B631A3"/>
    <w:rsid w:val="00B64875"/>
    <w:rsid w:val="00B72146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5360"/>
    <w:rsid w:val="00BF665B"/>
    <w:rsid w:val="00BF70ED"/>
    <w:rsid w:val="00C02878"/>
    <w:rsid w:val="00C055BB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0797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D625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0740D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45C"/>
    <w:rsid w:val="00D94B6E"/>
    <w:rsid w:val="00D97D98"/>
    <w:rsid w:val="00D97EA1"/>
    <w:rsid w:val="00DA0616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C6596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0B2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35D2B"/>
    <w:rsid w:val="00E434AB"/>
    <w:rsid w:val="00E46A21"/>
    <w:rsid w:val="00E52A99"/>
    <w:rsid w:val="00E52B37"/>
    <w:rsid w:val="00E5300D"/>
    <w:rsid w:val="00E53398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5B08"/>
    <w:rsid w:val="00F57DD2"/>
    <w:rsid w:val="00F60AB7"/>
    <w:rsid w:val="00F62790"/>
    <w:rsid w:val="00F63739"/>
    <w:rsid w:val="00F70F09"/>
    <w:rsid w:val="00F70F34"/>
    <w:rsid w:val="00F7447E"/>
    <w:rsid w:val="00F74C17"/>
    <w:rsid w:val="00F7565F"/>
    <w:rsid w:val="00F758E8"/>
    <w:rsid w:val="00F75F74"/>
    <w:rsid w:val="00F77AD7"/>
    <w:rsid w:val="00F77D23"/>
    <w:rsid w:val="00F843F8"/>
    <w:rsid w:val="00F85CAB"/>
    <w:rsid w:val="00F901C3"/>
    <w:rsid w:val="00F9576C"/>
    <w:rsid w:val="00FB029A"/>
    <w:rsid w:val="00FB2AC7"/>
    <w:rsid w:val="00FB6077"/>
    <w:rsid w:val="00FC2D41"/>
    <w:rsid w:val="00FC4A3E"/>
    <w:rsid w:val="00FC4E66"/>
    <w:rsid w:val="00FC5EA8"/>
    <w:rsid w:val="00FD3D64"/>
    <w:rsid w:val="00FD4DDE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4083</Words>
  <Characters>24093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28120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2016-09-01T12:57:00Z</cp:lastPrinted>
  <dcterms:created xsi:type="dcterms:W3CDTF">2025-04-08T13:42:00Z</dcterms:created>
  <dcterms:modified xsi:type="dcterms:W3CDTF">2025-04-08T13:44:00Z</dcterms:modified>
</cp:coreProperties>
</file>