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3271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182" w:lineRule="auto"/>
        <w:ind w:left="160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BÁRTA-PROJEKT s.r.o.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POH/15787/2025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02" w:lineRule="auto"/>
        <w:ind w:left="0" w:right="0" w:firstLine="5240"/>
        <w:jc w:val="left"/>
        <w:rPr>
          <w:sz w:val="18"/>
          <w:szCs w:val="18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Na Průhoně 4800 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Vyřizuje:</w:t>
      </w:r>
      <w:bookmarkEnd w:id="3"/>
      <w:bookmarkEnd w:id="4"/>
      <w:bookmarkEnd w:id="5"/>
    </w:p>
    <w:p>
      <w:pPr>
        <w:pStyle w:val="Style4"/>
        <w:keepNext/>
        <w:keepLines/>
        <w:widowControl w:val="0"/>
        <w:shd w:val="clear" w:color="auto" w:fill="auto"/>
        <w:tabs>
          <w:tab w:pos="5155" w:val="left"/>
        </w:tabs>
        <w:bidi w:val="0"/>
        <w:spacing w:before="0" w:after="0" w:line="182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l.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il: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  <w:bookmarkEnd w:id="6"/>
      <w:bookmarkEnd w:id="7"/>
      <w:bookmarkEnd w:id="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04.04.2025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Chomutov, Spořická 4949, 430 46 Chomutov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  <w:bookmarkEnd w:id="10"/>
      <w:bookmarkEnd w:id="11"/>
      <w:bookmarkEnd w:id="9"/>
    </w:p>
    <w:p>
      <w:pPr>
        <w:pStyle w:val="Style11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</w:t>
        <w:tab/>
        <w:t>503055/1/2025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Požadovaný termín dodání:</w:t>
        <w:tab/>
        <w:t>22.08.2025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cena Kč bez DPH: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73 500,00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420" w:line="2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 inv. č.:</w:t>
        <w:tab/>
        <w:t>75171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vzájemné domluvy a předložené nabídky ze dne 28.03.2025 u Vás objednáváme zpracování projektové dokumentace pro výběr zhotovitele na rekonstrukci vstupů a zádveří v administrativní budově na závodě Povodí Ohře, státní podnik v Chomutově.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bude obsahovat: technickou zprávu, výkresovou část, oceněný a slepý výkaz výměr.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bude řešit popis rekonstrukce vstupů, návrhy na výměnu dveří a jejich instalaci, návrh úpravy jednoho vstupu na bezbariérový, včetně popisu požadavků na kvalitu práce a výpočet ceny rekonstrukce - rozděleno na jednotlivé vstupy.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zpracování dokumentace bude umožněna podrobná prohlídka místa realizace. Dále bude zorganizován min. 2x výrobní výbor a z toho 1 bude závěrečný s projednáním připomínek ke zpracované dokumentaci.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dokumentace navrhne termín pro konání výrobních výborů a zástupce objednatele je zorganizuje. Zhotovitel vyhotoví záznamy z jednání.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závěrečným projednání zhotovitel dokumentaci elektronicky zašle zástupci objednatele, který zajistí připomínky od kolegů a předá je zhotoviteli k zapracování před závěrečným výrobním výborem.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úspěšném uzavření závěrečného VV zhotovitel zajistí kompletaci díla. Kompletní dílo bude předáno zástupci objednatele elektronicky pro následné projednání v investiční komisi objednatele.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úspěšném projednání a schválení díla, předá zhotovitel zástupci objednatele v termínu do 5 pracovních dnů 3 tištěná paré kompletní dokumentace a digitální podobu díla na nosičích dat.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příslušnými platnými předpisy a technickými normami.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dílčí termín: předání kompletního díla (elektronicky) pro projednání na ZVV: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67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nejpozději do 10.8.2025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konečné plnění: předání a převzetí kompletní dokumentace po schválení v investiční komisi: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40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pracovních dnů po schválení v IK ZCV.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objednatele:.</w:t>
      </w:r>
      <w:r>
        <w:br w:type="page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bookmarkEnd w:id="12"/>
      <w:bookmarkEnd w:id="13"/>
      <w:bookmarkEnd w:id="1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Fakturujte prosím na adresu: Povodí Ohře, státní podnik, Bezručova 4219, 430 03 Chomutov. Fakturu lze zaslat elektronicky na e-mail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Předložená cenová nabídka je nedílnou součástí této objednávky.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závodu Chomutov</w:t>
      </w:r>
    </w:p>
    <w:sectPr>
      <w:footnotePr>
        <w:pos w:val="pageBottom"/>
        <w:numFmt w:val="decimal"/>
        <w:numRestart w:val="continuous"/>
      </w:footnotePr>
      <w:pgSz w:w="11909" w:h="16838"/>
      <w:pgMar w:top="1243" w:left="1111" w:right="833" w:bottom="1341" w:header="815" w:footer="91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192" w:lineRule="auto"/>
      <w:ind w:firstLine="262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 w:line="182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60"/>
      <w:ind w:left="13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