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5824" w14:textId="25597DA2" w:rsidR="00C56BCD" w:rsidRPr="00697A83" w:rsidRDefault="00C56BCD" w:rsidP="00C56BC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 xml:space="preserve">Dodatek č.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697A8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5B5272F" w14:textId="77777777" w:rsidR="00C56BCD" w:rsidRPr="00697A83" w:rsidRDefault="00C56BCD" w:rsidP="00C56BC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>ke Smlouvě o dílo</w:t>
      </w:r>
    </w:p>
    <w:p w14:paraId="01AD0235" w14:textId="77777777" w:rsidR="00C56BCD" w:rsidRPr="00697A83" w:rsidRDefault="00C56BCD" w:rsidP="00C56BC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>č. 166/24</w:t>
      </w:r>
    </w:p>
    <w:p w14:paraId="653A4D58" w14:textId="019E2354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uzavřené dne</w:t>
      </w:r>
      <w:r>
        <w:rPr>
          <w:rFonts w:ascii="Calibri" w:hAnsi="Calibri" w:cs="Calibri"/>
          <w:sz w:val="24"/>
          <w:szCs w:val="24"/>
        </w:rPr>
        <w:t xml:space="preserve"> 23.7.2024 </w:t>
      </w:r>
      <w:r w:rsidRPr="00697A83">
        <w:rPr>
          <w:rFonts w:ascii="Calibri" w:hAnsi="Calibri" w:cs="Calibri"/>
          <w:sz w:val="24"/>
          <w:szCs w:val="24"/>
        </w:rPr>
        <w:t>podle § 2586 a násl. zákona č. 89/2012 Sb., občanský zákoník, ve znění pozdějších předpisů (dále jen „</w:t>
      </w:r>
      <w:r w:rsidRPr="00697A83">
        <w:rPr>
          <w:rFonts w:ascii="Calibri" w:hAnsi="Calibri" w:cs="Calibri"/>
          <w:b/>
          <w:bCs/>
          <w:sz w:val="24"/>
          <w:szCs w:val="24"/>
        </w:rPr>
        <w:t>Občanský zákoník</w:t>
      </w:r>
      <w:r w:rsidRPr="00697A83">
        <w:rPr>
          <w:rFonts w:ascii="Calibri" w:hAnsi="Calibri" w:cs="Calibri"/>
          <w:sz w:val="24"/>
          <w:szCs w:val="24"/>
        </w:rPr>
        <w:t>“) mezi níže uvedenými smluvními stranami (dále jen „</w:t>
      </w:r>
      <w:r w:rsidRPr="00697A83">
        <w:rPr>
          <w:rFonts w:ascii="Calibri" w:hAnsi="Calibri" w:cs="Calibri"/>
          <w:b/>
          <w:bCs/>
          <w:sz w:val="24"/>
          <w:szCs w:val="24"/>
        </w:rPr>
        <w:t>Smlouva</w:t>
      </w:r>
      <w:r w:rsidRPr="00697A83">
        <w:rPr>
          <w:rFonts w:ascii="Calibri" w:hAnsi="Calibri" w:cs="Calibri"/>
          <w:sz w:val="24"/>
          <w:szCs w:val="24"/>
        </w:rPr>
        <w:t>“):</w:t>
      </w:r>
    </w:p>
    <w:p w14:paraId="08B61B9D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</w:p>
    <w:p w14:paraId="4D4E1D11" w14:textId="77777777" w:rsidR="00C56BCD" w:rsidRPr="00697A83" w:rsidRDefault="00C56BCD" w:rsidP="00C56BCD">
      <w:pPr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>Technologie hlavního města Prahy, a.s.</w:t>
      </w:r>
    </w:p>
    <w:p w14:paraId="48BDF682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se sídlem: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Dělnická 213/12, 170 00, Praha 7</w:t>
      </w:r>
    </w:p>
    <w:p w14:paraId="3AA6B131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zastoupená: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Michalem Fišerem, členem představenstva</w:t>
      </w:r>
    </w:p>
    <w:p w14:paraId="27E88815" w14:textId="77777777" w:rsidR="00C56BCD" w:rsidRPr="00697A83" w:rsidRDefault="00C56BCD" w:rsidP="00C56BCD">
      <w:pPr>
        <w:ind w:left="1416" w:firstLine="708"/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Liborem Fialou, členem představenstva</w:t>
      </w:r>
    </w:p>
    <w:p w14:paraId="1EB95AF5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IČO: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25672541</w:t>
      </w:r>
    </w:p>
    <w:p w14:paraId="47E32DDD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DIČ: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CZ25672541</w:t>
      </w:r>
    </w:p>
    <w:p w14:paraId="71634E59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bankovní spojení:</w:t>
      </w:r>
      <w:r w:rsidRPr="00697A83">
        <w:rPr>
          <w:rFonts w:ascii="Calibri" w:hAnsi="Calibri" w:cs="Calibri"/>
          <w:sz w:val="24"/>
          <w:szCs w:val="24"/>
        </w:rPr>
        <w:tab/>
        <w:t>Komerční banka, a.s., č. účtu: 115-5836140217/0100</w:t>
      </w:r>
    </w:p>
    <w:p w14:paraId="09C1AF16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OR: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MS Praha, oddíl B, vložka 5402</w:t>
      </w:r>
    </w:p>
    <w:p w14:paraId="6666911E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(dále jen „</w:t>
      </w:r>
      <w:r w:rsidRPr="00697A83">
        <w:rPr>
          <w:rFonts w:ascii="Calibri" w:hAnsi="Calibri" w:cs="Calibri"/>
          <w:b/>
          <w:sz w:val="24"/>
          <w:szCs w:val="24"/>
        </w:rPr>
        <w:t>Objednatel</w:t>
      </w:r>
      <w:r w:rsidRPr="00697A83">
        <w:rPr>
          <w:rFonts w:ascii="Calibri" w:hAnsi="Calibri" w:cs="Calibri"/>
          <w:sz w:val="24"/>
          <w:szCs w:val="24"/>
        </w:rPr>
        <w:t>“)</w:t>
      </w:r>
    </w:p>
    <w:p w14:paraId="07DA1999" w14:textId="77777777" w:rsidR="00C56BCD" w:rsidRPr="00697A83" w:rsidRDefault="00C56BCD" w:rsidP="00C56BCD">
      <w:pPr>
        <w:spacing w:after="0"/>
        <w:rPr>
          <w:rFonts w:ascii="Calibri" w:hAnsi="Calibri" w:cs="Calibri"/>
          <w:sz w:val="24"/>
          <w:szCs w:val="24"/>
        </w:rPr>
      </w:pPr>
    </w:p>
    <w:p w14:paraId="5514B30F" w14:textId="77777777" w:rsidR="00C56BCD" w:rsidRPr="00697A83" w:rsidRDefault="00C56BCD" w:rsidP="00C56BCD">
      <w:pPr>
        <w:spacing w:after="0"/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a</w:t>
      </w:r>
    </w:p>
    <w:p w14:paraId="1626344C" w14:textId="77777777" w:rsidR="00C56BCD" w:rsidRPr="00697A83" w:rsidRDefault="00C56BCD" w:rsidP="00C56BCD">
      <w:pPr>
        <w:spacing w:after="0"/>
        <w:rPr>
          <w:rFonts w:ascii="Calibri" w:hAnsi="Calibri" w:cs="Calibri"/>
          <w:sz w:val="24"/>
          <w:szCs w:val="24"/>
        </w:rPr>
      </w:pPr>
    </w:p>
    <w:p w14:paraId="52B10606" w14:textId="77777777" w:rsidR="00C56BCD" w:rsidRPr="00697A83" w:rsidRDefault="00C56BCD" w:rsidP="00C56BCD">
      <w:pPr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KOOPERATIVA vod družstvo</w:t>
      </w:r>
      <w:r w:rsidRPr="00697A83">
        <w:rPr>
          <w:rFonts w:ascii="Calibri" w:hAnsi="Calibri" w:cs="Calibri"/>
          <w:b/>
          <w:bCs/>
          <w:sz w:val="24"/>
          <w:szCs w:val="24"/>
        </w:rPr>
        <w:tab/>
      </w:r>
    </w:p>
    <w:p w14:paraId="6C40F9C8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se sídlem: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Sázavská 504, 285 04 Uhlířské Janovice</w:t>
      </w:r>
    </w:p>
    <w:p w14:paraId="13BB5330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zastoupená: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Ing. Miloslavem Melounem, předsedou družstva</w:t>
      </w:r>
    </w:p>
    <w:p w14:paraId="147310B6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IČO: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00028525</w:t>
      </w:r>
    </w:p>
    <w:p w14:paraId="1D54D968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DIČ: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CZ00028525</w:t>
      </w:r>
    </w:p>
    <w:p w14:paraId="5B25229A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bankovní spojení: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Komerční banka, a.s.</w:t>
      </w:r>
    </w:p>
    <w:p w14:paraId="3AAD5426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číslo účtu: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416-161/0100</w:t>
      </w:r>
    </w:p>
    <w:p w14:paraId="2682065B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OR: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 xml:space="preserve">MS v Praze, sp. zn.: oddíl </w:t>
      </w:r>
      <w:proofErr w:type="spellStart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DrXCIX</w:t>
      </w:r>
      <w:proofErr w:type="spellEnd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, vložka 696</w:t>
      </w:r>
    </w:p>
    <w:p w14:paraId="653A8EA6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(dále jen „</w:t>
      </w:r>
      <w:r w:rsidRPr="00697A83">
        <w:rPr>
          <w:rFonts w:ascii="Calibri" w:hAnsi="Calibri" w:cs="Calibri"/>
          <w:b/>
          <w:sz w:val="24"/>
          <w:szCs w:val="24"/>
        </w:rPr>
        <w:t>Zhotovitel</w:t>
      </w:r>
      <w:r w:rsidRPr="00697A83">
        <w:rPr>
          <w:rFonts w:ascii="Calibri" w:hAnsi="Calibri" w:cs="Calibri"/>
          <w:sz w:val="24"/>
          <w:szCs w:val="24"/>
        </w:rPr>
        <w:t>“)</w:t>
      </w:r>
    </w:p>
    <w:p w14:paraId="127F5BFC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(společně též „</w:t>
      </w:r>
      <w:r w:rsidRPr="00697A83">
        <w:rPr>
          <w:rFonts w:ascii="Calibri" w:hAnsi="Calibri" w:cs="Calibri"/>
          <w:b/>
          <w:bCs/>
          <w:sz w:val="24"/>
          <w:szCs w:val="24"/>
        </w:rPr>
        <w:t>Smluvní strany</w:t>
      </w:r>
      <w:r w:rsidRPr="00697A83">
        <w:rPr>
          <w:rFonts w:ascii="Calibri" w:hAnsi="Calibri" w:cs="Calibri"/>
          <w:sz w:val="24"/>
          <w:szCs w:val="24"/>
        </w:rPr>
        <w:t>“ nebo též jednotlivě jen „</w:t>
      </w:r>
      <w:r w:rsidRPr="00697A83">
        <w:rPr>
          <w:rFonts w:ascii="Calibri" w:hAnsi="Calibri" w:cs="Calibri"/>
          <w:b/>
          <w:bCs/>
          <w:sz w:val="24"/>
          <w:szCs w:val="24"/>
        </w:rPr>
        <w:t>Smluvní strana</w:t>
      </w:r>
      <w:r w:rsidRPr="00697A83">
        <w:rPr>
          <w:rFonts w:ascii="Calibri" w:hAnsi="Calibri" w:cs="Calibri"/>
          <w:sz w:val="24"/>
          <w:szCs w:val="24"/>
        </w:rPr>
        <w:t>“)</w:t>
      </w:r>
    </w:p>
    <w:p w14:paraId="3AF898AE" w14:textId="77777777" w:rsidR="00C56BCD" w:rsidRDefault="00C56BCD" w:rsidP="00C56BCD">
      <w:pPr>
        <w:rPr>
          <w:rFonts w:ascii="Calibri" w:hAnsi="Calibri" w:cs="Calibri"/>
          <w:sz w:val="24"/>
          <w:szCs w:val="24"/>
        </w:rPr>
      </w:pPr>
    </w:p>
    <w:p w14:paraId="6E0625A6" w14:textId="77777777" w:rsidR="00C56BCD" w:rsidRPr="00697A83" w:rsidRDefault="00C56BCD" w:rsidP="00C56BCD">
      <w:pPr>
        <w:rPr>
          <w:rFonts w:ascii="Calibri" w:hAnsi="Calibri" w:cs="Calibri"/>
          <w:sz w:val="24"/>
          <w:szCs w:val="24"/>
        </w:rPr>
      </w:pPr>
    </w:p>
    <w:p w14:paraId="7CDF345B" w14:textId="77777777" w:rsidR="00C56BCD" w:rsidRDefault="00C56BCD" w:rsidP="00C56BCD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72800425"/>
      <w:r w:rsidRPr="00633D78">
        <w:rPr>
          <w:rFonts w:ascii="Calibri" w:hAnsi="Calibri" w:cs="Calibri"/>
          <w:b/>
          <w:bCs/>
          <w:sz w:val="24"/>
          <w:szCs w:val="24"/>
        </w:rPr>
        <w:lastRenderedPageBreak/>
        <w:t>PREAMBULE:</w:t>
      </w:r>
    </w:p>
    <w:p w14:paraId="44ED1DF8" w14:textId="77777777" w:rsidR="00F7015C" w:rsidRPr="00633D78" w:rsidRDefault="00F7015C" w:rsidP="00C56BC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F08FA8" w14:textId="25A3A63F" w:rsidR="006B0780" w:rsidRPr="006B0780" w:rsidRDefault="00C56BCD" w:rsidP="00743D6F">
      <w:pPr>
        <w:pStyle w:val="Odstavecseseznamem"/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B0780">
        <w:rPr>
          <w:rFonts w:ascii="Calibri" w:hAnsi="Calibri" w:cs="Calibri"/>
          <w:sz w:val="24"/>
          <w:szCs w:val="24"/>
        </w:rPr>
        <w:t xml:space="preserve">Smlouva byla uzavřena na základě výsledku zadávacího řízení zadávaného v jednacím řízení s uveřejněním podle § 60 a násl. zákona č. 134/2016 Sb., o zadávání veřejných zakázek, ve znění pozdějších předpisů (dále jako „ZZVZ“) s názvem </w:t>
      </w:r>
      <w:r w:rsidRPr="006B0780">
        <w:rPr>
          <w:rFonts w:ascii="Calibri" w:hAnsi="Calibri" w:cs="Calibri"/>
          <w:b/>
          <w:sz w:val="24"/>
          <w:szCs w:val="24"/>
        </w:rPr>
        <w:t>„</w:t>
      </w:r>
      <w:r w:rsidRPr="006B0780">
        <w:rPr>
          <w:rFonts w:ascii="Calibri" w:hAnsi="Calibri" w:cs="Calibri"/>
          <w:b/>
          <w:bCs/>
          <w:sz w:val="24"/>
          <w:szCs w:val="24"/>
        </w:rPr>
        <w:t xml:space="preserve">Technický projekt pro design EVR lamp“ – Část 2 </w:t>
      </w:r>
      <w:r w:rsidRPr="006B0780">
        <w:rPr>
          <w:rFonts w:ascii="Calibri" w:hAnsi="Calibri" w:cs="Calibri"/>
          <w:sz w:val="24"/>
          <w:szCs w:val="24"/>
        </w:rPr>
        <w:t>(dále také jako „</w:t>
      </w:r>
      <w:r w:rsidRPr="006B0780">
        <w:rPr>
          <w:rFonts w:ascii="Calibri" w:hAnsi="Calibri" w:cs="Calibri"/>
          <w:b/>
          <w:bCs/>
          <w:sz w:val="24"/>
          <w:szCs w:val="24"/>
        </w:rPr>
        <w:t>Veřejná zakázka</w:t>
      </w:r>
      <w:r w:rsidRPr="006B0780">
        <w:rPr>
          <w:rFonts w:ascii="Calibri" w:hAnsi="Calibri" w:cs="Calibri"/>
          <w:sz w:val="24"/>
          <w:szCs w:val="24"/>
        </w:rPr>
        <w:t>“)</w:t>
      </w:r>
      <w:r w:rsidRPr="006B0780">
        <w:rPr>
          <w:rFonts w:ascii="Calibri" w:hAnsi="Calibri" w:cs="Calibri"/>
          <w:bCs/>
          <w:sz w:val="24"/>
          <w:szCs w:val="24"/>
        </w:rPr>
        <w:t xml:space="preserve">. </w:t>
      </w:r>
      <w:r w:rsidR="00AA072E">
        <w:rPr>
          <w:rFonts w:ascii="Calibri" w:hAnsi="Calibri" w:cs="Calibri"/>
          <w:bCs/>
          <w:sz w:val="24"/>
          <w:szCs w:val="24"/>
        </w:rPr>
        <w:t xml:space="preserve">Veřejná zakázka byla realizována na základě požadavku HMP z důvodu nového vzhledu patic veřejného osvětlení </w:t>
      </w:r>
      <w:r w:rsidR="006609E7">
        <w:rPr>
          <w:rFonts w:ascii="Calibri" w:hAnsi="Calibri" w:cs="Calibri"/>
          <w:bCs/>
          <w:sz w:val="24"/>
          <w:szCs w:val="24"/>
        </w:rPr>
        <w:t>pro EVR lampy.</w:t>
      </w:r>
    </w:p>
    <w:p w14:paraId="2DFECBD4" w14:textId="44996B3D" w:rsidR="006B0780" w:rsidRPr="005908B5" w:rsidRDefault="006B0780" w:rsidP="00743D6F">
      <w:pPr>
        <w:pStyle w:val="Odstavecseseznamem"/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B0780">
        <w:rPr>
          <w:rFonts w:ascii="Calibri" w:hAnsi="Calibri" w:cs="Calibri"/>
          <w:sz w:val="24"/>
          <w:szCs w:val="24"/>
        </w:rPr>
        <w:t xml:space="preserve">Strany uzavírají níže uvedeného dne, měsíce a roku postupem dle čl. </w:t>
      </w:r>
      <w:r w:rsidR="009D12BF">
        <w:rPr>
          <w:rFonts w:ascii="Calibri" w:hAnsi="Calibri" w:cs="Calibri"/>
          <w:sz w:val="24"/>
          <w:szCs w:val="24"/>
        </w:rPr>
        <w:t>14</w:t>
      </w:r>
      <w:r w:rsidRPr="006B0780">
        <w:rPr>
          <w:rFonts w:ascii="Calibri" w:hAnsi="Calibri" w:cs="Calibri"/>
          <w:sz w:val="24"/>
          <w:szCs w:val="24"/>
        </w:rPr>
        <w:t>. odst</w:t>
      </w:r>
      <w:r w:rsidRPr="005908B5">
        <w:rPr>
          <w:rFonts w:ascii="Calibri" w:hAnsi="Calibri" w:cs="Calibri"/>
          <w:sz w:val="24"/>
          <w:szCs w:val="24"/>
        </w:rPr>
        <w:t xml:space="preserve">. </w:t>
      </w:r>
      <w:r w:rsidR="009D12BF" w:rsidRPr="005908B5">
        <w:rPr>
          <w:rFonts w:ascii="Calibri" w:hAnsi="Calibri" w:cs="Calibri"/>
          <w:sz w:val="24"/>
          <w:szCs w:val="24"/>
        </w:rPr>
        <w:t>14.3</w:t>
      </w:r>
      <w:r w:rsidRPr="005908B5">
        <w:rPr>
          <w:rFonts w:ascii="Calibri" w:hAnsi="Calibri" w:cs="Calibri"/>
          <w:sz w:val="24"/>
          <w:szCs w:val="24"/>
        </w:rPr>
        <w:t xml:space="preserve">. </w:t>
      </w:r>
      <w:r w:rsidR="009D12BF" w:rsidRPr="005908B5">
        <w:rPr>
          <w:rFonts w:ascii="Calibri" w:hAnsi="Calibri" w:cs="Calibri"/>
          <w:sz w:val="24"/>
          <w:szCs w:val="24"/>
        </w:rPr>
        <w:t>Smlouvy o dílo</w:t>
      </w:r>
      <w:r w:rsidRPr="005908B5">
        <w:rPr>
          <w:rFonts w:ascii="Calibri" w:hAnsi="Calibri" w:cs="Calibri"/>
          <w:sz w:val="24"/>
          <w:szCs w:val="24"/>
        </w:rPr>
        <w:t xml:space="preserve"> tento Dodatek č. </w:t>
      </w:r>
      <w:r w:rsidR="009D12BF" w:rsidRPr="005908B5">
        <w:rPr>
          <w:rFonts w:ascii="Calibri" w:hAnsi="Calibri" w:cs="Calibri"/>
          <w:sz w:val="24"/>
          <w:szCs w:val="24"/>
        </w:rPr>
        <w:t>2</w:t>
      </w:r>
      <w:r w:rsidRPr="005908B5">
        <w:rPr>
          <w:rFonts w:ascii="Calibri" w:hAnsi="Calibri" w:cs="Calibri"/>
          <w:sz w:val="24"/>
          <w:szCs w:val="24"/>
        </w:rPr>
        <w:t xml:space="preserve"> k</w:t>
      </w:r>
      <w:r w:rsidR="009D12BF" w:rsidRPr="005908B5">
        <w:rPr>
          <w:rFonts w:ascii="Calibri" w:hAnsi="Calibri" w:cs="Calibri"/>
          <w:sz w:val="24"/>
          <w:szCs w:val="24"/>
        </w:rPr>
        <w:t>e</w:t>
      </w:r>
      <w:r w:rsidRPr="005908B5">
        <w:rPr>
          <w:rFonts w:ascii="Calibri" w:hAnsi="Calibri" w:cs="Calibri"/>
          <w:sz w:val="24"/>
          <w:szCs w:val="24"/>
        </w:rPr>
        <w:t xml:space="preserve"> </w:t>
      </w:r>
      <w:r w:rsidR="009D12BF" w:rsidRPr="005908B5">
        <w:rPr>
          <w:rFonts w:ascii="Calibri" w:hAnsi="Calibri" w:cs="Calibri"/>
          <w:sz w:val="24"/>
          <w:szCs w:val="24"/>
        </w:rPr>
        <w:t>Smlouvě o dílo</w:t>
      </w:r>
      <w:r w:rsidRPr="005908B5">
        <w:rPr>
          <w:rFonts w:ascii="Calibri" w:hAnsi="Calibri" w:cs="Calibri"/>
          <w:sz w:val="24"/>
          <w:szCs w:val="24"/>
        </w:rPr>
        <w:t xml:space="preserve"> (dále jen „</w:t>
      </w:r>
      <w:r w:rsidRPr="005908B5">
        <w:rPr>
          <w:rFonts w:ascii="Calibri" w:hAnsi="Calibri" w:cs="Calibri"/>
          <w:b/>
          <w:sz w:val="24"/>
          <w:szCs w:val="24"/>
        </w:rPr>
        <w:t>Dodatek</w:t>
      </w:r>
      <w:r w:rsidRPr="005908B5">
        <w:rPr>
          <w:rFonts w:ascii="Calibri" w:hAnsi="Calibri" w:cs="Calibri"/>
          <w:sz w:val="24"/>
          <w:szCs w:val="24"/>
        </w:rPr>
        <w:t xml:space="preserve">“), jehož předmětem je </w:t>
      </w:r>
      <w:r w:rsidR="00035F3E" w:rsidRPr="005908B5">
        <w:rPr>
          <w:rFonts w:ascii="Calibri" w:hAnsi="Calibri" w:cs="Calibri"/>
          <w:sz w:val="24"/>
          <w:szCs w:val="24"/>
        </w:rPr>
        <w:t xml:space="preserve">zejména </w:t>
      </w:r>
      <w:r w:rsidRPr="005908B5">
        <w:rPr>
          <w:rFonts w:ascii="Calibri" w:hAnsi="Calibri" w:cs="Calibri"/>
          <w:sz w:val="24"/>
          <w:szCs w:val="24"/>
        </w:rPr>
        <w:t xml:space="preserve">doplnění </w:t>
      </w:r>
      <w:r w:rsidR="00200FE5" w:rsidRPr="005908B5">
        <w:rPr>
          <w:rFonts w:ascii="Calibri" w:hAnsi="Calibri" w:cs="Calibri"/>
          <w:sz w:val="24"/>
          <w:szCs w:val="24"/>
        </w:rPr>
        <w:t xml:space="preserve"> </w:t>
      </w:r>
      <w:r w:rsidR="00633D78" w:rsidRPr="005908B5">
        <w:rPr>
          <w:rFonts w:ascii="Calibri" w:hAnsi="Calibri" w:cs="Calibri"/>
          <w:sz w:val="24"/>
          <w:szCs w:val="24"/>
        </w:rPr>
        <w:t>a upřesnění technického zadání uvedeného v Příloze č. 1</w:t>
      </w:r>
      <w:r w:rsidR="009D12BF" w:rsidRPr="005908B5">
        <w:rPr>
          <w:rFonts w:ascii="Calibri" w:hAnsi="Calibri" w:cs="Calibri"/>
          <w:sz w:val="24"/>
          <w:szCs w:val="24"/>
        </w:rPr>
        <w:t xml:space="preserve"> Smlouvy o dílo</w:t>
      </w:r>
      <w:r w:rsidRPr="005908B5">
        <w:rPr>
          <w:rFonts w:ascii="Calibri" w:hAnsi="Calibri" w:cs="Calibri"/>
          <w:sz w:val="24"/>
          <w:szCs w:val="24"/>
        </w:rPr>
        <w:t xml:space="preserve"> </w:t>
      </w:r>
      <w:r w:rsidR="009C6798" w:rsidRPr="005908B5">
        <w:rPr>
          <w:rFonts w:ascii="Calibri" w:hAnsi="Calibri" w:cs="Calibri"/>
          <w:sz w:val="24"/>
          <w:szCs w:val="24"/>
        </w:rPr>
        <w:t xml:space="preserve">(dále jen Smlouva) </w:t>
      </w:r>
      <w:r w:rsidR="00200FE5" w:rsidRPr="005908B5">
        <w:rPr>
          <w:rFonts w:ascii="Calibri" w:hAnsi="Calibri" w:cs="Calibri"/>
          <w:sz w:val="24"/>
          <w:szCs w:val="24"/>
        </w:rPr>
        <w:t xml:space="preserve">dle </w:t>
      </w:r>
      <w:r w:rsidRPr="005908B5">
        <w:rPr>
          <w:rFonts w:ascii="Calibri" w:hAnsi="Calibri" w:cs="Calibri"/>
          <w:sz w:val="24"/>
          <w:szCs w:val="24"/>
        </w:rPr>
        <w:t>aktuální</w:t>
      </w:r>
      <w:r w:rsidR="00200FE5" w:rsidRPr="005908B5">
        <w:rPr>
          <w:rFonts w:ascii="Calibri" w:hAnsi="Calibri" w:cs="Calibri"/>
          <w:sz w:val="24"/>
          <w:szCs w:val="24"/>
        </w:rPr>
        <w:t>ch</w:t>
      </w:r>
      <w:r w:rsidR="00E00C5A" w:rsidRPr="005908B5">
        <w:rPr>
          <w:rFonts w:ascii="Calibri" w:hAnsi="Calibri" w:cs="Calibri"/>
          <w:sz w:val="24"/>
          <w:szCs w:val="24"/>
        </w:rPr>
        <w:t xml:space="preserve"> </w:t>
      </w:r>
      <w:r w:rsidRPr="005908B5">
        <w:rPr>
          <w:rFonts w:ascii="Calibri" w:hAnsi="Calibri" w:cs="Calibri"/>
          <w:sz w:val="24"/>
          <w:szCs w:val="24"/>
        </w:rPr>
        <w:t xml:space="preserve">potřeb </w:t>
      </w:r>
      <w:r w:rsidR="003613A7" w:rsidRPr="005908B5">
        <w:rPr>
          <w:rFonts w:ascii="Calibri" w:hAnsi="Calibri" w:cs="Calibri"/>
          <w:sz w:val="24"/>
          <w:szCs w:val="24"/>
        </w:rPr>
        <w:t>Objednatele/</w:t>
      </w:r>
      <w:r w:rsidRPr="005908B5">
        <w:rPr>
          <w:rFonts w:ascii="Calibri" w:hAnsi="Calibri" w:cs="Calibri"/>
          <w:sz w:val="24"/>
          <w:szCs w:val="24"/>
        </w:rPr>
        <w:t xml:space="preserve">THMP, </w:t>
      </w:r>
      <w:r w:rsidR="00AD25DD" w:rsidRPr="005908B5">
        <w:rPr>
          <w:rFonts w:ascii="Calibri" w:hAnsi="Calibri" w:cs="Calibri"/>
          <w:sz w:val="24"/>
          <w:szCs w:val="24"/>
        </w:rPr>
        <w:t xml:space="preserve">kterou Objednatel nemohl </w:t>
      </w:r>
      <w:r w:rsidRPr="005908B5">
        <w:rPr>
          <w:rFonts w:ascii="Calibri" w:hAnsi="Calibri" w:cs="Calibri"/>
          <w:sz w:val="24"/>
          <w:szCs w:val="24"/>
        </w:rPr>
        <w:t xml:space="preserve">ani s náležitou péčí předvídat. </w:t>
      </w:r>
    </w:p>
    <w:p w14:paraId="6DAA36D1" w14:textId="3912AA74" w:rsidR="00AE4C53" w:rsidRPr="005908B5" w:rsidRDefault="009C6798" w:rsidP="00743D6F">
      <w:pPr>
        <w:pStyle w:val="Odstavecseseznamem"/>
        <w:numPr>
          <w:ilvl w:val="1"/>
          <w:numId w:val="6"/>
        </w:numPr>
        <w:ind w:left="567" w:hanging="567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908B5">
        <w:rPr>
          <w:rFonts w:ascii="Calibri" w:hAnsi="Calibri" w:cs="Calibri"/>
          <w:sz w:val="24"/>
          <w:szCs w:val="24"/>
        </w:rPr>
        <w:t>V</w:t>
      </w:r>
      <w:r w:rsidR="006B0780" w:rsidRPr="005908B5">
        <w:rPr>
          <w:rFonts w:ascii="Calibri" w:hAnsi="Calibri" w:cs="Calibri"/>
          <w:sz w:val="24"/>
          <w:szCs w:val="24"/>
        </w:rPr>
        <w:t xml:space="preserve"> rámci procesu provádění </w:t>
      </w:r>
      <w:r w:rsidR="00743D6F" w:rsidRPr="005908B5">
        <w:rPr>
          <w:rFonts w:ascii="Calibri" w:hAnsi="Calibri" w:cs="Calibri"/>
          <w:sz w:val="24"/>
          <w:szCs w:val="24"/>
        </w:rPr>
        <w:t xml:space="preserve">Díla </w:t>
      </w:r>
      <w:r w:rsidRPr="005908B5">
        <w:rPr>
          <w:rFonts w:ascii="Calibri" w:hAnsi="Calibri" w:cs="Calibri"/>
          <w:sz w:val="24"/>
          <w:szCs w:val="24"/>
        </w:rPr>
        <w:t>dle</w:t>
      </w:r>
      <w:r w:rsidR="006B0780" w:rsidRPr="005908B5">
        <w:rPr>
          <w:rFonts w:ascii="Calibri" w:hAnsi="Calibri" w:cs="Calibri"/>
          <w:sz w:val="24"/>
          <w:szCs w:val="24"/>
        </w:rPr>
        <w:t> podmín</w:t>
      </w:r>
      <w:r w:rsidRPr="005908B5">
        <w:rPr>
          <w:rFonts w:ascii="Calibri" w:hAnsi="Calibri" w:cs="Calibri"/>
          <w:sz w:val="24"/>
          <w:szCs w:val="24"/>
        </w:rPr>
        <w:t>e</w:t>
      </w:r>
      <w:r w:rsidR="006B0780" w:rsidRPr="005908B5">
        <w:rPr>
          <w:rFonts w:ascii="Calibri" w:hAnsi="Calibri" w:cs="Calibri"/>
          <w:sz w:val="24"/>
          <w:szCs w:val="24"/>
        </w:rPr>
        <w:t xml:space="preserve">k uzavřené </w:t>
      </w:r>
      <w:r w:rsidRPr="005908B5">
        <w:rPr>
          <w:rFonts w:ascii="Calibri" w:hAnsi="Calibri" w:cs="Calibri"/>
          <w:sz w:val="24"/>
          <w:szCs w:val="24"/>
        </w:rPr>
        <w:t>Smlouvy se</w:t>
      </w:r>
      <w:r w:rsidR="006B0780" w:rsidRPr="005908B5">
        <w:rPr>
          <w:rFonts w:ascii="Calibri" w:hAnsi="Calibri" w:cs="Calibri"/>
          <w:sz w:val="24"/>
          <w:szCs w:val="24"/>
        </w:rPr>
        <w:t xml:space="preserve"> ukázala předem nepředvídatelná potřeba </w:t>
      </w:r>
      <w:r w:rsidR="00346C0F" w:rsidRPr="005908B5">
        <w:rPr>
          <w:rFonts w:ascii="Calibri" w:hAnsi="Calibri" w:cs="Calibri"/>
          <w:sz w:val="24"/>
          <w:szCs w:val="24"/>
        </w:rPr>
        <w:t xml:space="preserve">víceprací, která spočívá v </w:t>
      </w:r>
      <w:r w:rsidR="003A644D" w:rsidRPr="005908B5">
        <w:rPr>
          <w:rFonts w:ascii="Calibri" w:hAnsi="Calibri" w:cs="Calibri"/>
          <w:sz w:val="24"/>
          <w:szCs w:val="24"/>
        </w:rPr>
        <w:t xml:space="preserve">doplnění </w:t>
      </w:r>
      <w:r w:rsidR="00EB5BEE" w:rsidRPr="005908B5">
        <w:rPr>
          <w:rFonts w:ascii="Calibri" w:hAnsi="Calibri" w:cs="Calibri"/>
          <w:sz w:val="24"/>
          <w:szCs w:val="24"/>
        </w:rPr>
        <w:t xml:space="preserve">a upřesnění </w:t>
      </w:r>
      <w:r w:rsidR="003A644D" w:rsidRPr="005908B5">
        <w:rPr>
          <w:rFonts w:ascii="Calibri" w:hAnsi="Calibri" w:cs="Calibri"/>
          <w:sz w:val="24"/>
          <w:szCs w:val="24"/>
        </w:rPr>
        <w:t xml:space="preserve">technické specifikace Předmětu </w:t>
      </w:r>
      <w:r w:rsidR="00743D6F" w:rsidRPr="005908B5">
        <w:rPr>
          <w:rFonts w:ascii="Calibri" w:hAnsi="Calibri" w:cs="Calibri"/>
          <w:sz w:val="24"/>
          <w:szCs w:val="24"/>
        </w:rPr>
        <w:t>Díla</w:t>
      </w:r>
      <w:r w:rsidR="006B0780" w:rsidRPr="005908B5">
        <w:rPr>
          <w:rFonts w:ascii="Calibri" w:hAnsi="Calibri" w:cs="Calibri"/>
          <w:sz w:val="24"/>
          <w:szCs w:val="24"/>
        </w:rPr>
        <w:t xml:space="preserve">, </w:t>
      </w:r>
      <w:r w:rsidR="00346C0F" w:rsidRPr="005908B5">
        <w:rPr>
          <w:rFonts w:ascii="Calibri" w:hAnsi="Calibri" w:cs="Calibri"/>
          <w:sz w:val="24"/>
          <w:szCs w:val="24"/>
        </w:rPr>
        <w:t xml:space="preserve">které </w:t>
      </w:r>
      <w:r w:rsidR="006B0780" w:rsidRPr="005908B5">
        <w:rPr>
          <w:rFonts w:ascii="Calibri" w:hAnsi="Calibri" w:cs="Calibri"/>
          <w:sz w:val="24"/>
          <w:szCs w:val="24"/>
        </w:rPr>
        <w:t xml:space="preserve">nemohly Strany předem předvídat a která není Stranami považována za materiální změnu. </w:t>
      </w:r>
      <w:r w:rsidR="006609E7" w:rsidRPr="005908B5">
        <w:rPr>
          <w:rFonts w:ascii="Calibri" w:hAnsi="Calibri" w:cs="Calibri"/>
          <w:sz w:val="24"/>
          <w:szCs w:val="24"/>
        </w:rPr>
        <w:t xml:space="preserve">Tato potřeba vznikla na základě přípravy </w:t>
      </w:r>
      <w:r w:rsidR="0045058B" w:rsidRPr="005908B5">
        <w:rPr>
          <w:rFonts w:ascii="Calibri" w:hAnsi="Calibri" w:cs="Calibri"/>
          <w:sz w:val="24"/>
          <w:szCs w:val="24"/>
        </w:rPr>
        <w:t>dalšího projektu ze strany MHMP na samostatně stojící nabíjecí stanice (SSN)</w:t>
      </w:r>
      <w:r w:rsidR="002D3F6D" w:rsidRPr="005908B5">
        <w:rPr>
          <w:rFonts w:ascii="Calibri" w:hAnsi="Calibri" w:cs="Calibri"/>
          <w:sz w:val="24"/>
          <w:szCs w:val="24"/>
        </w:rPr>
        <w:t xml:space="preserve"> s názvem </w:t>
      </w:r>
      <w:r w:rsidR="00346C0F" w:rsidRPr="005908B5">
        <w:rPr>
          <w:rFonts w:ascii="Calibri" w:hAnsi="Calibri" w:cs="Calibri"/>
          <w:sz w:val="24"/>
          <w:szCs w:val="24"/>
        </w:rPr>
        <w:t>“</w:t>
      </w:r>
      <w:r w:rsidR="00AE4C53" w:rsidRPr="005908B5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Operační program Doprava 2021-2027 (název výzvy: Výzva pro předkládání projektů v rámci opatření 09 - infrastruktura pro alternativní paliva – podpora rozvoje infrastruktury běžných dobíjecích stanic ve městech a obcích)</w:t>
      </w:r>
      <w:r w:rsidR="00346C0F" w:rsidRPr="005908B5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“.</w:t>
      </w:r>
    </w:p>
    <w:p w14:paraId="02596EA7" w14:textId="0E39C979" w:rsidR="0045058B" w:rsidRPr="0045058B" w:rsidRDefault="0045058B" w:rsidP="00743D6F">
      <w:pPr>
        <w:pStyle w:val="Odstavecseseznamem"/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45058B">
        <w:rPr>
          <w:rFonts w:ascii="Calibri" w:hAnsi="Calibri" w:cs="Calibri"/>
          <w:sz w:val="24"/>
          <w:szCs w:val="24"/>
        </w:rPr>
        <w:t>Analýzou technických možností vyvstala potřeba rozšířit</w:t>
      </w:r>
      <w:r w:rsidR="00E66415">
        <w:rPr>
          <w:rFonts w:ascii="Calibri" w:hAnsi="Calibri" w:cs="Calibri"/>
          <w:sz w:val="24"/>
          <w:szCs w:val="24"/>
        </w:rPr>
        <w:t xml:space="preserve"> a doplnit technickou specifikaci</w:t>
      </w:r>
      <w:r w:rsidRPr="0045058B">
        <w:rPr>
          <w:rFonts w:ascii="Calibri" w:hAnsi="Calibri" w:cs="Calibri"/>
          <w:sz w:val="24"/>
          <w:szCs w:val="24"/>
        </w:rPr>
        <w:t xml:space="preserve"> plnění </w:t>
      </w:r>
      <w:r w:rsidR="002D3F6D">
        <w:rPr>
          <w:rFonts w:ascii="Calibri" w:hAnsi="Calibri" w:cs="Calibri"/>
          <w:sz w:val="24"/>
          <w:szCs w:val="24"/>
        </w:rPr>
        <w:t xml:space="preserve">této </w:t>
      </w:r>
      <w:r w:rsidR="004668C0">
        <w:rPr>
          <w:rFonts w:ascii="Calibri" w:hAnsi="Calibri" w:cs="Calibri"/>
          <w:sz w:val="24"/>
          <w:szCs w:val="24"/>
        </w:rPr>
        <w:t>S</w:t>
      </w:r>
      <w:r w:rsidRPr="0045058B">
        <w:rPr>
          <w:rFonts w:ascii="Calibri" w:hAnsi="Calibri" w:cs="Calibri"/>
          <w:sz w:val="24"/>
          <w:szCs w:val="24"/>
        </w:rPr>
        <w:t>mlouvy, kter</w:t>
      </w:r>
      <w:r w:rsidR="00E66415">
        <w:rPr>
          <w:rFonts w:ascii="Calibri" w:hAnsi="Calibri" w:cs="Calibri"/>
          <w:sz w:val="24"/>
          <w:szCs w:val="24"/>
        </w:rPr>
        <w:t>á</w:t>
      </w:r>
      <w:r w:rsidRPr="0045058B">
        <w:rPr>
          <w:rFonts w:ascii="Calibri" w:hAnsi="Calibri" w:cs="Calibri"/>
          <w:sz w:val="24"/>
          <w:szCs w:val="24"/>
        </w:rPr>
        <w:t xml:space="preserve"> j</w:t>
      </w:r>
      <w:r w:rsidR="00E66415">
        <w:rPr>
          <w:rFonts w:ascii="Calibri" w:hAnsi="Calibri" w:cs="Calibri"/>
          <w:sz w:val="24"/>
          <w:szCs w:val="24"/>
        </w:rPr>
        <w:t>e</w:t>
      </w:r>
      <w:r w:rsidRPr="0045058B">
        <w:rPr>
          <w:rFonts w:ascii="Calibri" w:hAnsi="Calibri" w:cs="Calibri"/>
          <w:sz w:val="24"/>
          <w:szCs w:val="24"/>
        </w:rPr>
        <w:t xml:space="preserve"> závisl</w:t>
      </w:r>
      <w:r w:rsidR="00E66415">
        <w:rPr>
          <w:rFonts w:ascii="Calibri" w:hAnsi="Calibri" w:cs="Calibri"/>
          <w:sz w:val="24"/>
          <w:szCs w:val="24"/>
        </w:rPr>
        <w:t>á</w:t>
      </w:r>
      <w:r w:rsidRPr="0045058B">
        <w:rPr>
          <w:rFonts w:ascii="Calibri" w:hAnsi="Calibri" w:cs="Calibri"/>
          <w:sz w:val="24"/>
          <w:szCs w:val="24"/>
        </w:rPr>
        <w:t xml:space="preserve"> </w:t>
      </w:r>
      <w:r w:rsidR="0097474B">
        <w:rPr>
          <w:rFonts w:ascii="Calibri" w:hAnsi="Calibri" w:cs="Calibri"/>
          <w:sz w:val="24"/>
          <w:szCs w:val="24"/>
        </w:rPr>
        <w:t>na</w:t>
      </w:r>
      <w:r w:rsidRPr="0045058B">
        <w:rPr>
          <w:rFonts w:ascii="Calibri" w:hAnsi="Calibri" w:cs="Calibri"/>
          <w:sz w:val="24"/>
          <w:szCs w:val="24"/>
        </w:rPr>
        <w:t xml:space="preserve"> různých možnost</w:t>
      </w:r>
      <w:r w:rsidR="004668C0">
        <w:rPr>
          <w:rFonts w:ascii="Calibri" w:hAnsi="Calibri" w:cs="Calibri"/>
          <w:sz w:val="24"/>
          <w:szCs w:val="24"/>
        </w:rPr>
        <w:t>ech</w:t>
      </w:r>
      <w:r w:rsidRPr="0045058B">
        <w:rPr>
          <w:rFonts w:ascii="Calibri" w:hAnsi="Calibri" w:cs="Calibri"/>
          <w:sz w:val="24"/>
          <w:szCs w:val="24"/>
        </w:rPr>
        <w:t xml:space="preserve"> připojení SSN k distribuční soustavě NN PREdi. </w:t>
      </w:r>
      <w:r w:rsidR="00E66415">
        <w:rPr>
          <w:rFonts w:ascii="Calibri" w:hAnsi="Calibri" w:cs="Calibri"/>
          <w:sz w:val="24"/>
          <w:szCs w:val="24"/>
        </w:rPr>
        <w:t>Doplnění technické specifikace-vybavení</w:t>
      </w:r>
      <w:r>
        <w:rPr>
          <w:rFonts w:ascii="Calibri" w:hAnsi="Calibri" w:cs="Calibri"/>
          <w:sz w:val="24"/>
          <w:szCs w:val="24"/>
        </w:rPr>
        <w:t xml:space="preserve"> </w:t>
      </w:r>
      <w:r w:rsidR="00E66415">
        <w:rPr>
          <w:rFonts w:ascii="Calibri" w:hAnsi="Calibri" w:cs="Calibri"/>
          <w:sz w:val="24"/>
          <w:szCs w:val="24"/>
        </w:rPr>
        <w:t xml:space="preserve">týkající se </w:t>
      </w:r>
      <w:r>
        <w:rPr>
          <w:rFonts w:ascii="Calibri" w:hAnsi="Calibri" w:cs="Calibri"/>
          <w:sz w:val="24"/>
          <w:szCs w:val="24"/>
        </w:rPr>
        <w:t xml:space="preserve">připojení SSN </w:t>
      </w:r>
      <w:r w:rsidRPr="0045058B">
        <w:rPr>
          <w:rFonts w:ascii="Calibri" w:hAnsi="Calibri" w:cs="Calibri"/>
          <w:sz w:val="24"/>
          <w:szCs w:val="24"/>
        </w:rPr>
        <w:t xml:space="preserve">k distribuční síti NN </w:t>
      </w:r>
      <w:r w:rsidR="00E66415">
        <w:rPr>
          <w:rFonts w:ascii="Calibri" w:hAnsi="Calibri" w:cs="Calibri"/>
          <w:sz w:val="24"/>
          <w:szCs w:val="24"/>
        </w:rPr>
        <w:t xml:space="preserve">mohou </w:t>
      </w:r>
      <w:r>
        <w:rPr>
          <w:rFonts w:ascii="Calibri" w:hAnsi="Calibri" w:cs="Calibri"/>
          <w:sz w:val="24"/>
          <w:szCs w:val="24"/>
        </w:rPr>
        <w:t>znamena</w:t>
      </w:r>
      <w:r w:rsidR="00E66415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 </w:t>
      </w:r>
      <w:r w:rsidR="00E66415">
        <w:rPr>
          <w:rFonts w:ascii="Calibri" w:hAnsi="Calibri" w:cs="Calibri"/>
          <w:sz w:val="24"/>
          <w:szCs w:val="24"/>
        </w:rPr>
        <w:t xml:space="preserve">i změnu </w:t>
      </w:r>
      <w:r>
        <w:rPr>
          <w:rFonts w:ascii="Calibri" w:hAnsi="Calibri" w:cs="Calibri"/>
          <w:sz w:val="24"/>
          <w:szCs w:val="24"/>
        </w:rPr>
        <w:t xml:space="preserve"> velikosti</w:t>
      </w:r>
      <w:r w:rsidR="00E66415">
        <w:rPr>
          <w:rFonts w:ascii="Calibri" w:hAnsi="Calibri" w:cs="Calibri"/>
          <w:sz w:val="24"/>
          <w:szCs w:val="24"/>
        </w:rPr>
        <w:t xml:space="preserve"> samotné SSN</w:t>
      </w:r>
      <w:r>
        <w:rPr>
          <w:rFonts w:ascii="Calibri" w:hAnsi="Calibri" w:cs="Calibri"/>
          <w:sz w:val="24"/>
          <w:szCs w:val="24"/>
        </w:rPr>
        <w:t>, což je pro městské prostředí žádoucí.</w:t>
      </w:r>
      <w:r w:rsidR="00066963">
        <w:rPr>
          <w:rFonts w:ascii="Calibri" w:hAnsi="Calibri" w:cs="Calibri"/>
          <w:sz w:val="24"/>
          <w:szCs w:val="24"/>
        </w:rPr>
        <w:t xml:space="preserve"> Rovněž bylo nutné upřesnit vizuální podobu výrobků tak, aby byly co nejblíže požadavkům MHMP (zejm. odboru památkové péče).</w:t>
      </w:r>
    </w:p>
    <w:p w14:paraId="7028EF96" w14:textId="0401D81C" w:rsidR="00C56BCD" w:rsidRPr="001643D0" w:rsidRDefault="006B0780" w:rsidP="00557D4C">
      <w:pPr>
        <w:pStyle w:val="Odstavecseseznamem"/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1643D0">
        <w:rPr>
          <w:rFonts w:ascii="Calibri" w:hAnsi="Calibri" w:cs="Calibri"/>
          <w:iCs/>
          <w:sz w:val="24"/>
          <w:szCs w:val="24"/>
        </w:rPr>
        <w:t xml:space="preserve">Strany se na změně dohodly s tím, že provedenou změnou budou splněny podmínky pro změnu závazku ze </w:t>
      </w:r>
      <w:r w:rsidR="00E00C5A" w:rsidRPr="001643D0">
        <w:rPr>
          <w:rFonts w:ascii="Calibri" w:hAnsi="Calibri" w:cs="Calibri"/>
          <w:iCs/>
          <w:sz w:val="24"/>
          <w:szCs w:val="24"/>
        </w:rPr>
        <w:t>S</w:t>
      </w:r>
      <w:r w:rsidRPr="001643D0">
        <w:rPr>
          <w:rFonts w:ascii="Calibri" w:hAnsi="Calibri" w:cs="Calibri"/>
          <w:iCs/>
          <w:sz w:val="24"/>
          <w:szCs w:val="24"/>
        </w:rPr>
        <w:t xml:space="preserve">mlouvy dle § 222 odst. 6 ZZVZ. Zároveň se jedná o obdobné plnění, jehož potřeba vznikla v důsledku nepředvídatelných okolností, které zadavatel/THMP jednající s náležitou péčí nemohl předvídat </w:t>
      </w:r>
      <w:r w:rsidR="00BB01B7" w:rsidRPr="001643D0">
        <w:rPr>
          <w:rFonts w:ascii="Calibri" w:hAnsi="Calibri" w:cs="Calibri"/>
          <w:iCs/>
          <w:sz w:val="24"/>
          <w:szCs w:val="24"/>
        </w:rPr>
        <w:t xml:space="preserve">s tím, že uzavřením tohoto dodatku se </w:t>
      </w:r>
      <w:r w:rsidRPr="001643D0">
        <w:rPr>
          <w:rFonts w:ascii="Calibri" w:hAnsi="Calibri" w:cs="Calibri"/>
          <w:iCs/>
          <w:sz w:val="24"/>
          <w:szCs w:val="24"/>
        </w:rPr>
        <w:t xml:space="preserve">nemění </w:t>
      </w:r>
      <w:r w:rsidR="00BB01B7" w:rsidRPr="001643D0">
        <w:rPr>
          <w:rFonts w:ascii="Calibri" w:hAnsi="Calibri" w:cs="Calibri"/>
          <w:iCs/>
          <w:sz w:val="24"/>
          <w:szCs w:val="24"/>
        </w:rPr>
        <w:t xml:space="preserve">celková povaha </w:t>
      </w:r>
      <w:r w:rsidR="001643D0" w:rsidRPr="001643D0">
        <w:rPr>
          <w:rFonts w:ascii="Calibri" w:hAnsi="Calibri" w:cs="Calibri"/>
          <w:iCs/>
          <w:sz w:val="24"/>
          <w:szCs w:val="24"/>
        </w:rPr>
        <w:t xml:space="preserve">Veřejné </w:t>
      </w:r>
      <w:r w:rsidRPr="001643D0">
        <w:rPr>
          <w:rFonts w:ascii="Calibri" w:hAnsi="Calibri" w:cs="Calibri"/>
          <w:iCs/>
          <w:sz w:val="24"/>
          <w:szCs w:val="24"/>
        </w:rPr>
        <w:t xml:space="preserve">zakázky, </w:t>
      </w:r>
      <w:r w:rsidR="00BB01B7" w:rsidRPr="001643D0">
        <w:rPr>
          <w:rFonts w:ascii="Calibri" w:hAnsi="Calibri" w:cs="Calibri"/>
          <w:iCs/>
          <w:sz w:val="24"/>
          <w:szCs w:val="24"/>
        </w:rPr>
        <w:t xml:space="preserve">a zároveň </w:t>
      </w:r>
      <w:r w:rsidRPr="001643D0">
        <w:rPr>
          <w:rFonts w:ascii="Calibri" w:hAnsi="Calibri" w:cs="Calibri"/>
          <w:iCs/>
          <w:sz w:val="24"/>
          <w:szCs w:val="24"/>
        </w:rPr>
        <w:t xml:space="preserve">tato změna nepředstavuje podstatnou změnu </w:t>
      </w:r>
      <w:r w:rsidR="009C6798" w:rsidRPr="001643D0">
        <w:rPr>
          <w:rFonts w:ascii="Calibri" w:hAnsi="Calibri" w:cs="Calibri"/>
          <w:iCs/>
          <w:sz w:val="24"/>
          <w:szCs w:val="24"/>
        </w:rPr>
        <w:t xml:space="preserve">Smlouvy. S touto změnou dochází </w:t>
      </w:r>
      <w:r w:rsidRPr="001643D0">
        <w:rPr>
          <w:rFonts w:ascii="Calibri" w:hAnsi="Calibri" w:cs="Calibri"/>
          <w:iCs/>
          <w:sz w:val="24"/>
          <w:szCs w:val="24"/>
        </w:rPr>
        <w:t xml:space="preserve">k navýšení </w:t>
      </w:r>
      <w:r w:rsidR="001643D0" w:rsidRPr="001643D0">
        <w:rPr>
          <w:rFonts w:ascii="Calibri" w:hAnsi="Calibri" w:cs="Calibri"/>
          <w:iCs/>
          <w:sz w:val="24"/>
          <w:szCs w:val="24"/>
        </w:rPr>
        <w:t xml:space="preserve">smluvní ceny za dílo dle Smlouvy </w:t>
      </w:r>
      <w:r w:rsidR="009C6798" w:rsidRPr="001643D0">
        <w:rPr>
          <w:rFonts w:ascii="Calibri" w:hAnsi="Calibri" w:cs="Calibri"/>
          <w:iCs/>
          <w:sz w:val="24"/>
          <w:szCs w:val="24"/>
        </w:rPr>
        <w:t xml:space="preserve">v souladu s ustanovením § 222 odst. </w:t>
      </w:r>
      <w:r w:rsidR="00AD25DD" w:rsidRPr="001643D0">
        <w:rPr>
          <w:rFonts w:ascii="Calibri" w:hAnsi="Calibri" w:cs="Calibri"/>
          <w:iCs/>
          <w:sz w:val="24"/>
          <w:szCs w:val="24"/>
        </w:rPr>
        <w:t xml:space="preserve">9 </w:t>
      </w:r>
      <w:r w:rsidR="009C6798" w:rsidRPr="001643D0">
        <w:rPr>
          <w:rFonts w:ascii="Calibri" w:hAnsi="Calibri" w:cs="Calibri"/>
          <w:iCs/>
          <w:sz w:val="24"/>
          <w:szCs w:val="24"/>
        </w:rPr>
        <w:t xml:space="preserve">ZZVZ, </w:t>
      </w:r>
      <w:r w:rsidR="001643D0" w:rsidRPr="001643D0">
        <w:rPr>
          <w:rFonts w:ascii="Calibri" w:hAnsi="Calibri" w:cs="Calibri"/>
          <w:iCs/>
          <w:sz w:val="24"/>
          <w:szCs w:val="24"/>
        </w:rPr>
        <w:t>kdy navýšení smluvní ceny</w:t>
      </w:r>
      <w:r w:rsidR="009C6798" w:rsidRPr="001643D0">
        <w:rPr>
          <w:rFonts w:ascii="Calibri" w:hAnsi="Calibri" w:cs="Calibri"/>
          <w:iCs/>
          <w:sz w:val="24"/>
          <w:szCs w:val="24"/>
        </w:rPr>
        <w:t xml:space="preserve"> nepřekročí 30% původní hodnoty závazku (ceny díla)</w:t>
      </w:r>
      <w:r w:rsidRPr="001643D0">
        <w:rPr>
          <w:rFonts w:ascii="Calibri" w:hAnsi="Calibri" w:cs="Calibri"/>
          <w:iCs/>
          <w:sz w:val="24"/>
          <w:szCs w:val="24"/>
        </w:rPr>
        <w:t xml:space="preserve">. </w:t>
      </w:r>
    </w:p>
    <w:p w14:paraId="5C767A22" w14:textId="77777777" w:rsidR="00952D25" w:rsidRDefault="00952D25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96AF299" w14:textId="77777777" w:rsidR="00F7015C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EE386EC" w14:textId="77777777" w:rsidR="00F7015C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976FDA9" w14:textId="77777777" w:rsidR="00F7015C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AFAA2F0" w14:textId="77777777" w:rsidR="00F7015C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02A891C" w14:textId="77777777" w:rsidR="00F7015C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C933829" w14:textId="77777777" w:rsidR="00F7015C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670CCFC" w14:textId="77777777" w:rsidR="00F7015C" w:rsidRPr="00697A83" w:rsidRDefault="00F7015C" w:rsidP="00C56BCD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D7C36B0" w14:textId="722677B9" w:rsidR="00C56BCD" w:rsidRDefault="00C56BCD" w:rsidP="00C56BCD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97A83">
        <w:rPr>
          <w:rFonts w:ascii="Calibri" w:hAnsi="Calibri" w:cs="Calibri"/>
          <w:b/>
          <w:sz w:val="24"/>
          <w:szCs w:val="24"/>
        </w:rPr>
        <w:lastRenderedPageBreak/>
        <w:t xml:space="preserve">Čl. 1 Předmět </w:t>
      </w:r>
      <w:r w:rsidR="00743D6F">
        <w:rPr>
          <w:rFonts w:ascii="Calibri" w:hAnsi="Calibri" w:cs="Calibri"/>
          <w:b/>
          <w:sz w:val="24"/>
          <w:szCs w:val="24"/>
        </w:rPr>
        <w:t>D</w:t>
      </w:r>
      <w:r w:rsidR="00743D6F" w:rsidRPr="00697A83">
        <w:rPr>
          <w:rFonts w:ascii="Calibri" w:hAnsi="Calibri" w:cs="Calibri"/>
          <w:b/>
          <w:sz w:val="24"/>
          <w:szCs w:val="24"/>
        </w:rPr>
        <w:t>odatku</w:t>
      </w:r>
    </w:p>
    <w:p w14:paraId="3741106D" w14:textId="77777777" w:rsidR="00F7015C" w:rsidRPr="00697A83" w:rsidRDefault="00F7015C" w:rsidP="00C56BCD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DC0CCE0" w14:textId="5DD103C7" w:rsidR="00A44BD5" w:rsidRDefault="00FA1740" w:rsidP="00421BDD">
      <w:pPr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1.1. </w:t>
      </w:r>
      <w:r>
        <w:rPr>
          <w:rFonts w:ascii="Calibri" w:hAnsi="Calibri" w:cs="Calibri"/>
          <w:sz w:val="24"/>
          <w:szCs w:val="24"/>
        </w:rPr>
        <w:tab/>
      </w:r>
      <w:r w:rsidR="00A44BD5">
        <w:rPr>
          <w:rFonts w:ascii="Calibri" w:hAnsi="Calibri" w:cs="Calibri"/>
          <w:sz w:val="24"/>
          <w:szCs w:val="24"/>
        </w:rPr>
        <w:t xml:space="preserve">Předmětem tohoto Dodatku je </w:t>
      </w:r>
      <w:r w:rsidR="00ED5ACF">
        <w:rPr>
          <w:rFonts w:ascii="Calibri" w:hAnsi="Calibri" w:cs="Calibri"/>
          <w:sz w:val="24"/>
          <w:szCs w:val="24"/>
        </w:rPr>
        <w:t xml:space="preserve">změna ustanovení </w:t>
      </w:r>
      <w:r w:rsidR="00A44BD5">
        <w:rPr>
          <w:rFonts w:ascii="Calibri" w:hAnsi="Calibri" w:cs="Calibri"/>
          <w:sz w:val="24"/>
          <w:szCs w:val="24"/>
        </w:rPr>
        <w:t xml:space="preserve"> v čl. 1, odst. 1.1., písm. c) tak, že se </w:t>
      </w:r>
      <w:r>
        <w:rPr>
          <w:rFonts w:ascii="Calibri" w:hAnsi="Calibri" w:cs="Calibri"/>
          <w:sz w:val="24"/>
          <w:szCs w:val="24"/>
        </w:rPr>
        <w:t>z</w:t>
      </w:r>
      <w:r w:rsidR="00A44BD5">
        <w:rPr>
          <w:rFonts w:ascii="Calibri" w:hAnsi="Calibri" w:cs="Calibri"/>
          <w:sz w:val="24"/>
          <w:szCs w:val="24"/>
        </w:rPr>
        <w:t>cela nahrazuje a nově zní:</w:t>
      </w:r>
    </w:p>
    <w:p w14:paraId="1570D1FC" w14:textId="306D9ACD" w:rsidR="00A44BD5" w:rsidRPr="008676EC" w:rsidRDefault="00A44BD5" w:rsidP="00421BDD">
      <w:pPr>
        <w:ind w:left="567" w:hanging="56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A44BD5">
        <w:rPr>
          <w:rFonts w:ascii="Calibri" w:hAnsi="Calibri" w:cs="Calibri"/>
          <w:i/>
          <w:iCs/>
          <w:sz w:val="24"/>
          <w:szCs w:val="24"/>
        </w:rPr>
        <w:t xml:space="preserve">c) na svůj náklad, odpovědnost a nebezpečí dodat Objednateli </w:t>
      </w:r>
      <w:r w:rsidR="00EF40AF">
        <w:rPr>
          <w:rFonts w:ascii="Calibri" w:hAnsi="Calibri" w:cs="Calibri"/>
          <w:i/>
          <w:iCs/>
          <w:sz w:val="24"/>
          <w:szCs w:val="24"/>
        </w:rPr>
        <w:t>1 kus</w:t>
      </w:r>
      <w:r w:rsidR="007F55D4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44BD5">
        <w:rPr>
          <w:rFonts w:ascii="Calibri" w:hAnsi="Calibri" w:cs="Calibri"/>
          <w:i/>
          <w:iCs/>
          <w:sz w:val="24"/>
          <w:szCs w:val="24"/>
        </w:rPr>
        <w:t>prototyp</w:t>
      </w:r>
      <w:r w:rsidR="007F55D4">
        <w:rPr>
          <w:rFonts w:ascii="Calibri" w:hAnsi="Calibri" w:cs="Calibri"/>
          <w:i/>
          <w:iCs/>
          <w:sz w:val="24"/>
          <w:szCs w:val="24"/>
        </w:rPr>
        <w:t>u</w:t>
      </w:r>
      <w:r w:rsidRPr="00A44BD5">
        <w:rPr>
          <w:rFonts w:ascii="Calibri" w:hAnsi="Calibri" w:cs="Calibri"/>
          <w:i/>
          <w:iCs/>
          <w:sz w:val="24"/>
          <w:szCs w:val="24"/>
        </w:rPr>
        <w:t xml:space="preserve"> navrhovaného řešení EVR lampy podle výrobní výkresové dokumentace pro výrobek 2.1 </w:t>
      </w:r>
      <w:r w:rsidR="00ED5ACF">
        <w:rPr>
          <w:rFonts w:ascii="Calibri" w:hAnsi="Calibri" w:cs="Calibri"/>
          <w:i/>
          <w:iCs/>
          <w:sz w:val="24"/>
          <w:szCs w:val="24"/>
        </w:rPr>
        <w:t xml:space="preserve">a </w:t>
      </w:r>
      <w:r w:rsidR="00EF40AF">
        <w:rPr>
          <w:rFonts w:ascii="Calibri" w:hAnsi="Calibri" w:cs="Calibri"/>
          <w:i/>
          <w:iCs/>
          <w:sz w:val="24"/>
          <w:szCs w:val="24"/>
        </w:rPr>
        <w:t>1 kus</w:t>
      </w:r>
      <w:r w:rsidR="007F55D4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676EC">
        <w:rPr>
          <w:rFonts w:ascii="Calibri" w:hAnsi="Calibri" w:cs="Calibri"/>
          <w:i/>
          <w:iCs/>
          <w:sz w:val="24"/>
          <w:szCs w:val="24"/>
        </w:rPr>
        <w:t>prototyp</w:t>
      </w:r>
      <w:r w:rsidR="007F55D4" w:rsidRPr="008676EC">
        <w:rPr>
          <w:rFonts w:ascii="Calibri" w:hAnsi="Calibri" w:cs="Calibri"/>
          <w:i/>
          <w:iCs/>
          <w:sz w:val="24"/>
          <w:szCs w:val="24"/>
        </w:rPr>
        <w:t>u</w:t>
      </w:r>
      <w:r w:rsidRPr="008676EC">
        <w:rPr>
          <w:rFonts w:ascii="Calibri" w:hAnsi="Calibri" w:cs="Calibri"/>
          <w:i/>
          <w:iCs/>
          <w:sz w:val="24"/>
          <w:szCs w:val="24"/>
        </w:rPr>
        <w:t xml:space="preserve"> navrhovaného řešení nabíjecího sloupku podle výrobní výkresové dokumentace pro výrobek 2.2 </w:t>
      </w:r>
      <w:r w:rsidR="00ED5ACF" w:rsidRPr="008676EC">
        <w:rPr>
          <w:rFonts w:ascii="Calibri" w:hAnsi="Calibri" w:cs="Calibri"/>
          <w:i/>
          <w:iCs/>
          <w:sz w:val="24"/>
          <w:szCs w:val="24"/>
        </w:rPr>
        <w:t>(dále ve Smlouvě také jen „</w:t>
      </w:r>
      <w:r w:rsidR="00ED5ACF" w:rsidRPr="008676EC">
        <w:rPr>
          <w:rFonts w:ascii="Calibri" w:hAnsi="Calibri" w:cs="Calibri"/>
          <w:b/>
          <w:bCs/>
          <w:i/>
          <w:iCs/>
          <w:sz w:val="24"/>
          <w:szCs w:val="24"/>
        </w:rPr>
        <w:t>prototyp</w:t>
      </w:r>
      <w:r w:rsidR="00ED5ACF" w:rsidRPr="008676EC">
        <w:rPr>
          <w:rFonts w:ascii="Calibri" w:hAnsi="Calibri" w:cs="Calibri"/>
          <w:i/>
          <w:iCs/>
          <w:sz w:val="24"/>
          <w:szCs w:val="24"/>
        </w:rPr>
        <w:t xml:space="preserve">“) </w:t>
      </w:r>
      <w:r w:rsidRPr="008676EC">
        <w:rPr>
          <w:rFonts w:ascii="Calibri" w:hAnsi="Calibri" w:cs="Calibri"/>
          <w:i/>
          <w:iCs/>
          <w:sz w:val="24"/>
          <w:szCs w:val="24"/>
        </w:rPr>
        <w:t>a provést demonstraci funkčnosti prototypu ve lhůtě stanovené v čl. 2 odst. 2 této Smlouvy</w:t>
      </w:r>
      <w:r w:rsidR="00ED5ACF" w:rsidRPr="008676EC">
        <w:rPr>
          <w:rFonts w:ascii="Calibri" w:hAnsi="Calibri" w:cs="Calibri"/>
          <w:i/>
          <w:iCs/>
          <w:sz w:val="24"/>
          <w:szCs w:val="24"/>
        </w:rPr>
        <w:t>;</w:t>
      </w:r>
    </w:p>
    <w:p w14:paraId="41A403D3" w14:textId="3DEAE0C6" w:rsidR="00DC6530" w:rsidRDefault="00DC6530" w:rsidP="00421BDD">
      <w:pPr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121D7A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  <w:t xml:space="preserve">Předmětem tohoto Dodatku je rovněž změna v ustanovení </w:t>
      </w:r>
      <w:r w:rsidR="008676EC">
        <w:rPr>
          <w:rFonts w:ascii="Calibri" w:hAnsi="Calibri" w:cs="Calibri"/>
          <w:sz w:val="24"/>
          <w:szCs w:val="24"/>
        </w:rPr>
        <w:t>čl.</w:t>
      </w:r>
      <w:r>
        <w:rPr>
          <w:rFonts w:ascii="Calibri" w:hAnsi="Calibri" w:cs="Calibri"/>
          <w:sz w:val="24"/>
          <w:szCs w:val="24"/>
        </w:rPr>
        <w:t xml:space="preserve"> 2, odst. 2.2. tak, že se zcela nahrazuje a nově zní:</w:t>
      </w:r>
    </w:p>
    <w:p w14:paraId="403E0D61" w14:textId="61B0E6D3" w:rsidR="00DC6530" w:rsidRPr="00087FB3" w:rsidRDefault="00EF40AF" w:rsidP="00EF40AF">
      <w:pPr>
        <w:pStyle w:val="Odstavecseseznamem"/>
        <w:numPr>
          <w:ilvl w:val="2"/>
          <w:numId w:val="6"/>
        </w:numPr>
        <w:ind w:left="851" w:hanging="284"/>
        <w:jc w:val="both"/>
        <w:rPr>
          <w:rFonts w:ascii="Calibri" w:hAnsi="Calibri" w:cs="Calibri"/>
          <w:i/>
          <w:iCs/>
          <w:sz w:val="24"/>
          <w:szCs w:val="24"/>
        </w:rPr>
      </w:pPr>
      <w:bookmarkStart w:id="1" w:name="_Hlk130483009"/>
      <w:r w:rsidRPr="00087FB3">
        <w:rPr>
          <w:rFonts w:ascii="Calibri" w:hAnsi="Calibri" w:cs="Calibri"/>
          <w:i/>
          <w:iCs/>
          <w:sz w:val="24"/>
          <w:szCs w:val="24"/>
        </w:rPr>
        <w:t>Z</w:t>
      </w:r>
      <w:r w:rsidR="00DC6530" w:rsidRPr="00087FB3">
        <w:rPr>
          <w:rFonts w:ascii="Calibri" w:hAnsi="Calibri" w:cs="Calibri"/>
          <w:i/>
          <w:iCs/>
          <w:sz w:val="24"/>
          <w:szCs w:val="24"/>
        </w:rPr>
        <w:t xml:space="preserve">hotovitel </w:t>
      </w:r>
      <w:bookmarkEnd w:id="1"/>
      <w:r w:rsidR="00DC6530" w:rsidRPr="00087FB3">
        <w:rPr>
          <w:rFonts w:ascii="Calibri" w:hAnsi="Calibri" w:cs="Calibri"/>
          <w:i/>
          <w:iCs/>
          <w:sz w:val="24"/>
          <w:szCs w:val="24"/>
        </w:rPr>
        <w:t xml:space="preserve">zpracuje a předá Objednateli výrobní výkresové dokumentace pro </w:t>
      </w:r>
      <w:r w:rsidR="003433A3">
        <w:rPr>
          <w:rFonts w:ascii="Calibri" w:hAnsi="Calibri" w:cs="Calibri"/>
          <w:i/>
          <w:iCs/>
          <w:sz w:val="24"/>
          <w:szCs w:val="24"/>
        </w:rPr>
        <w:t xml:space="preserve">prototyp varianty </w:t>
      </w:r>
      <w:r w:rsidR="00DC6530" w:rsidRPr="00087FB3">
        <w:rPr>
          <w:rFonts w:ascii="Calibri" w:hAnsi="Calibri" w:cs="Calibri"/>
          <w:i/>
          <w:iCs/>
          <w:sz w:val="24"/>
          <w:szCs w:val="24"/>
        </w:rPr>
        <w:t xml:space="preserve">2.1 a 2.2  </w:t>
      </w:r>
      <w:r w:rsidR="00DC6530" w:rsidRPr="003433A3">
        <w:rPr>
          <w:rFonts w:ascii="Calibri" w:hAnsi="Calibri" w:cs="Calibri"/>
          <w:i/>
          <w:iCs/>
          <w:sz w:val="24"/>
          <w:szCs w:val="24"/>
        </w:rPr>
        <w:t xml:space="preserve">nejpozději </w:t>
      </w:r>
      <w:r w:rsidR="003433A3" w:rsidRPr="003433A3">
        <w:rPr>
          <w:rFonts w:ascii="Calibri" w:hAnsi="Calibri" w:cs="Calibri"/>
          <w:i/>
          <w:iCs/>
          <w:sz w:val="24"/>
          <w:szCs w:val="24"/>
        </w:rPr>
        <w:t>2 měsíců</w:t>
      </w:r>
      <w:r w:rsidR="007F55D4" w:rsidRPr="003433A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C6530" w:rsidRPr="003433A3">
        <w:rPr>
          <w:rFonts w:ascii="Calibri" w:hAnsi="Calibri" w:cs="Calibri"/>
          <w:i/>
          <w:iCs/>
          <w:sz w:val="24"/>
          <w:szCs w:val="24"/>
        </w:rPr>
        <w:t>od obdržení</w:t>
      </w:r>
      <w:r w:rsidR="00DC6530" w:rsidRPr="00087FB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433A3">
        <w:rPr>
          <w:rFonts w:ascii="Calibri" w:hAnsi="Calibri" w:cs="Calibri"/>
          <w:i/>
          <w:iCs/>
          <w:sz w:val="24"/>
          <w:szCs w:val="24"/>
        </w:rPr>
        <w:t>vizualizace prototypu variant 2.1. s 2.2…</w:t>
      </w:r>
      <w:r w:rsidR="00DC6530" w:rsidRPr="00087FB3">
        <w:rPr>
          <w:rFonts w:ascii="Calibri" w:hAnsi="Calibri" w:cs="Calibri"/>
          <w:i/>
          <w:iCs/>
          <w:sz w:val="24"/>
          <w:szCs w:val="24"/>
        </w:rPr>
        <w:t xml:space="preserve"> Předání </w:t>
      </w:r>
      <w:r w:rsidR="003433A3">
        <w:rPr>
          <w:rFonts w:ascii="Calibri" w:hAnsi="Calibri" w:cs="Calibri"/>
          <w:i/>
          <w:iCs/>
          <w:sz w:val="24"/>
          <w:szCs w:val="24"/>
        </w:rPr>
        <w:t xml:space="preserve">obou prototypů </w:t>
      </w:r>
      <w:r w:rsidR="00DC6530" w:rsidRPr="00087FB3">
        <w:rPr>
          <w:rFonts w:ascii="Calibri" w:hAnsi="Calibri" w:cs="Calibri"/>
          <w:i/>
          <w:iCs/>
          <w:sz w:val="24"/>
          <w:szCs w:val="24"/>
        </w:rPr>
        <w:t>bude potvrzeno protokolem o převzetí.</w:t>
      </w:r>
    </w:p>
    <w:p w14:paraId="381F9F8C" w14:textId="36EE90F4" w:rsidR="00DC6530" w:rsidRPr="00087FB3" w:rsidRDefault="00DC6530" w:rsidP="00EF40AF">
      <w:pPr>
        <w:pStyle w:val="Odstavecseseznamem"/>
        <w:numPr>
          <w:ilvl w:val="2"/>
          <w:numId w:val="6"/>
        </w:numPr>
        <w:ind w:left="851" w:hanging="284"/>
        <w:jc w:val="both"/>
        <w:rPr>
          <w:rFonts w:ascii="Calibri" w:hAnsi="Calibri" w:cs="Calibri"/>
          <w:i/>
          <w:iCs/>
          <w:sz w:val="24"/>
          <w:szCs w:val="24"/>
        </w:rPr>
      </w:pPr>
      <w:r w:rsidRPr="00087FB3">
        <w:rPr>
          <w:rFonts w:ascii="Calibri" w:hAnsi="Calibri" w:cs="Calibri"/>
          <w:i/>
          <w:iCs/>
          <w:sz w:val="24"/>
          <w:szCs w:val="24"/>
        </w:rPr>
        <w:t xml:space="preserve">Zhotovitel zahájí demonstraci funkčnosti prototypu navrhovaného řešení v délce </w:t>
      </w:r>
      <w:r w:rsidR="00EF40AF" w:rsidRPr="00087FB3">
        <w:rPr>
          <w:rFonts w:ascii="Calibri" w:hAnsi="Calibri" w:cs="Calibri"/>
          <w:i/>
          <w:iCs/>
          <w:sz w:val="24"/>
          <w:szCs w:val="24"/>
        </w:rPr>
        <w:br/>
      </w:r>
      <w:r w:rsidRPr="00087FB3">
        <w:rPr>
          <w:rFonts w:ascii="Calibri" w:hAnsi="Calibri" w:cs="Calibri"/>
          <w:b/>
          <w:bCs/>
          <w:i/>
          <w:iCs/>
          <w:sz w:val="24"/>
          <w:szCs w:val="24"/>
        </w:rPr>
        <w:t>4 týdnů</w:t>
      </w:r>
      <w:r w:rsidRPr="00087FB3">
        <w:rPr>
          <w:rFonts w:ascii="Calibri" w:hAnsi="Calibri" w:cs="Calibri"/>
          <w:i/>
          <w:iCs/>
          <w:sz w:val="24"/>
          <w:szCs w:val="24"/>
        </w:rPr>
        <w:t xml:space="preserve">, a to nejpozději do </w:t>
      </w:r>
      <w:r w:rsidR="007F55D4" w:rsidRPr="00087FB3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 xml:space="preserve">6 </w:t>
      </w:r>
      <w:r w:rsidRPr="00087FB3">
        <w:rPr>
          <w:rFonts w:ascii="Calibri" w:hAnsi="Calibri" w:cs="Calibri"/>
          <w:i/>
          <w:iCs/>
          <w:sz w:val="24"/>
          <w:szCs w:val="24"/>
        </w:rPr>
        <w:t xml:space="preserve">týdnů od protokolárního předání výrobní výkresové dokumentace pro </w:t>
      </w:r>
      <w:r w:rsidR="002A0EB0">
        <w:rPr>
          <w:rFonts w:ascii="Calibri" w:hAnsi="Calibri" w:cs="Calibri"/>
          <w:i/>
          <w:iCs/>
          <w:sz w:val="24"/>
          <w:szCs w:val="24"/>
        </w:rPr>
        <w:t>prototyp</w:t>
      </w:r>
      <w:r w:rsidRPr="00087FB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A0EB0">
        <w:rPr>
          <w:rFonts w:ascii="Calibri" w:hAnsi="Calibri" w:cs="Calibri"/>
          <w:i/>
          <w:iCs/>
          <w:sz w:val="24"/>
          <w:szCs w:val="24"/>
        </w:rPr>
        <w:t xml:space="preserve">varianty </w:t>
      </w:r>
      <w:r w:rsidRPr="00087FB3">
        <w:rPr>
          <w:rFonts w:ascii="Calibri" w:hAnsi="Calibri" w:cs="Calibri"/>
          <w:i/>
          <w:iCs/>
          <w:sz w:val="24"/>
          <w:szCs w:val="24"/>
        </w:rPr>
        <w:t xml:space="preserve">2.1 </w:t>
      </w:r>
      <w:r w:rsidR="00A44BD5" w:rsidRPr="00087FB3">
        <w:rPr>
          <w:rFonts w:ascii="Calibri" w:hAnsi="Calibri" w:cs="Calibri"/>
          <w:i/>
          <w:iCs/>
          <w:sz w:val="24"/>
          <w:szCs w:val="24"/>
        </w:rPr>
        <w:t xml:space="preserve">a rovněž pro </w:t>
      </w:r>
      <w:r w:rsidR="002A0EB0">
        <w:rPr>
          <w:rFonts w:ascii="Calibri" w:hAnsi="Calibri" w:cs="Calibri"/>
          <w:i/>
          <w:iCs/>
          <w:sz w:val="24"/>
          <w:szCs w:val="24"/>
        </w:rPr>
        <w:t>prototyp varianty</w:t>
      </w:r>
      <w:r w:rsidR="00A44BD5" w:rsidRPr="00087FB3">
        <w:rPr>
          <w:rFonts w:ascii="Calibri" w:hAnsi="Calibri" w:cs="Calibri"/>
          <w:i/>
          <w:iCs/>
          <w:sz w:val="24"/>
          <w:szCs w:val="24"/>
        </w:rPr>
        <w:t xml:space="preserve"> 2.2.</w:t>
      </w:r>
      <w:r w:rsidR="00A44BD5" w:rsidRPr="00087FB3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00087FB3">
        <w:rPr>
          <w:rFonts w:ascii="Calibri" w:hAnsi="Calibri" w:cs="Calibri"/>
          <w:i/>
          <w:iCs/>
          <w:sz w:val="24"/>
          <w:szCs w:val="24"/>
        </w:rPr>
        <w:t>Objednatel si vyhrazuje právo rozhodnout o prodloužení délky trvání demonstrace funkčnosti vždy o jeden měsíc v případě, že bude mít výhrady k funkčnosti prototypu, maximálně však může Objednatel délku demonstrace funkčnosti prodloužit o 3 kalendářní měsíce. Řádné ukončení demonstrace funkčnosti bude potvrzeno protokolem o ukončení demonstrace funkčnosti</w:t>
      </w:r>
      <w:r w:rsidR="002A0EB0">
        <w:rPr>
          <w:rFonts w:ascii="Calibri" w:hAnsi="Calibri" w:cs="Calibri"/>
          <w:i/>
          <w:iCs/>
          <w:sz w:val="24"/>
          <w:szCs w:val="24"/>
        </w:rPr>
        <w:t xml:space="preserve"> a odevzdáním finální projektové dokumentace pro oba prototypy variant 2.1. a 2.</w:t>
      </w:r>
      <w:proofErr w:type="gramStart"/>
      <w:r w:rsidR="002A0EB0">
        <w:rPr>
          <w:rFonts w:ascii="Calibri" w:hAnsi="Calibri" w:cs="Calibri"/>
          <w:i/>
          <w:iCs/>
          <w:sz w:val="24"/>
          <w:szCs w:val="24"/>
        </w:rPr>
        <w:t>2.</w:t>
      </w:r>
      <w:r w:rsidRPr="00087FB3">
        <w:rPr>
          <w:rFonts w:ascii="Calibri" w:hAnsi="Calibri" w:cs="Calibri"/>
          <w:i/>
          <w:iCs/>
          <w:sz w:val="24"/>
          <w:szCs w:val="24"/>
        </w:rPr>
        <w:t>.</w:t>
      </w:r>
      <w:proofErr w:type="gramEnd"/>
      <w:r w:rsidRPr="00087FB3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3038875E" w14:textId="71B82572" w:rsidR="00DC6530" w:rsidRPr="00087FB3" w:rsidRDefault="00DC6530" w:rsidP="00EF40AF">
      <w:pPr>
        <w:pStyle w:val="Odstavecseseznamem"/>
        <w:numPr>
          <w:ilvl w:val="2"/>
          <w:numId w:val="6"/>
        </w:numPr>
        <w:ind w:left="851" w:hanging="284"/>
        <w:jc w:val="both"/>
        <w:rPr>
          <w:rFonts w:ascii="Calibri" w:hAnsi="Calibri" w:cs="Calibri"/>
          <w:i/>
          <w:iCs/>
          <w:sz w:val="24"/>
          <w:szCs w:val="24"/>
        </w:rPr>
      </w:pPr>
      <w:r w:rsidRPr="00087FB3">
        <w:rPr>
          <w:rFonts w:ascii="Calibri" w:hAnsi="Calibri" w:cs="Calibri"/>
          <w:i/>
          <w:iCs/>
          <w:sz w:val="24"/>
          <w:szCs w:val="24"/>
        </w:rPr>
        <w:t xml:space="preserve">Zhotovitel zajistí a předá Objednateli dokumenty prokazující případnou certifikaci prototypu, prohlášení o shodě a zajistí převod autorských práv Zhotovitele na Objednatele nejpozději do </w:t>
      </w:r>
      <w:r w:rsidR="007F55D4" w:rsidRPr="00087FB3">
        <w:rPr>
          <w:rFonts w:ascii="Calibri" w:hAnsi="Calibri" w:cs="Calibri"/>
          <w:i/>
          <w:iCs/>
          <w:sz w:val="24"/>
          <w:szCs w:val="24"/>
        </w:rPr>
        <w:t xml:space="preserve">20 </w:t>
      </w:r>
      <w:r w:rsidRPr="00087FB3">
        <w:rPr>
          <w:rFonts w:ascii="Calibri" w:hAnsi="Calibri" w:cs="Calibri"/>
          <w:i/>
          <w:iCs/>
          <w:sz w:val="24"/>
          <w:szCs w:val="24"/>
        </w:rPr>
        <w:t>kalendářních měsíců od obdržení písemné výzvy Objednatele dle odst. 2.1 této Smlouvy k zahájení plnění Díla.</w:t>
      </w:r>
    </w:p>
    <w:p w14:paraId="03ADF2E6" w14:textId="0E3004D7" w:rsidR="00DC6530" w:rsidRPr="00087FB3" w:rsidRDefault="00DC6530" w:rsidP="00EF40AF">
      <w:pPr>
        <w:pStyle w:val="Odstavecseseznamem"/>
        <w:numPr>
          <w:ilvl w:val="2"/>
          <w:numId w:val="6"/>
        </w:numPr>
        <w:ind w:left="851" w:hanging="284"/>
        <w:jc w:val="both"/>
        <w:rPr>
          <w:rFonts w:ascii="Calibri" w:hAnsi="Calibri" w:cs="Calibri"/>
          <w:i/>
          <w:iCs/>
          <w:sz w:val="24"/>
          <w:szCs w:val="24"/>
        </w:rPr>
      </w:pPr>
      <w:r w:rsidRPr="00087FB3">
        <w:rPr>
          <w:rFonts w:ascii="Calibri" w:hAnsi="Calibri" w:cs="Calibri"/>
          <w:i/>
          <w:iCs/>
          <w:sz w:val="24"/>
          <w:szCs w:val="24"/>
        </w:rPr>
        <w:t xml:space="preserve">Zhotovitel se zavazuje podávat vysvětlení, vyjádření a případné úpravy a opravy výrobních výkresových dokumentací pro výrobek 2.1 a 2.2 po celou dobu realizace zadávacího řízení na výběr výrobce EVR lamp nebo nabíjecího sloupku dle výrobních výkresových dokumentací pro výrobek 2.1 a 2.2. </w:t>
      </w:r>
    </w:p>
    <w:p w14:paraId="434C1B8D" w14:textId="63F15F5C" w:rsidR="00DC6530" w:rsidRPr="00087FB3" w:rsidRDefault="00DC6530" w:rsidP="00EF40AF">
      <w:pPr>
        <w:pStyle w:val="Odstavecseseznamem"/>
        <w:numPr>
          <w:ilvl w:val="2"/>
          <w:numId w:val="6"/>
        </w:numPr>
        <w:ind w:left="851" w:hanging="284"/>
        <w:jc w:val="both"/>
        <w:rPr>
          <w:rFonts w:ascii="Calibri" w:hAnsi="Calibri" w:cs="Calibri"/>
          <w:i/>
          <w:iCs/>
          <w:sz w:val="24"/>
          <w:szCs w:val="24"/>
        </w:rPr>
      </w:pPr>
      <w:r w:rsidRPr="00087FB3">
        <w:rPr>
          <w:rFonts w:ascii="Calibri" w:hAnsi="Calibri" w:cs="Calibri"/>
          <w:i/>
          <w:iCs/>
          <w:sz w:val="24"/>
          <w:szCs w:val="24"/>
        </w:rPr>
        <w:t xml:space="preserve">Zhotovitel se zavazuje, že bude dodržovat dílčí termíny uvedené pod písm. a), písm. b) a písm. c) tohoto článku, které jsou rovněž uvedeny v Časovém harmonogramu, který tvoří Přílohu č. 4 této Smlouvy a jehož trvání je omezeno na maximálně </w:t>
      </w:r>
      <w:r w:rsidR="006B310C" w:rsidRPr="00087FB3">
        <w:rPr>
          <w:rFonts w:ascii="Calibri" w:hAnsi="Calibri" w:cs="Calibri"/>
          <w:i/>
          <w:iCs/>
          <w:sz w:val="24"/>
          <w:szCs w:val="24"/>
        </w:rPr>
        <w:br/>
      </w:r>
      <w:r w:rsidR="007F55D4" w:rsidRPr="00087FB3">
        <w:rPr>
          <w:rFonts w:ascii="Calibri" w:hAnsi="Calibri" w:cs="Calibri"/>
          <w:b/>
          <w:bCs/>
          <w:i/>
          <w:iCs/>
          <w:sz w:val="24"/>
          <w:szCs w:val="24"/>
        </w:rPr>
        <w:t xml:space="preserve">20 </w:t>
      </w:r>
      <w:r w:rsidRPr="00087FB3">
        <w:rPr>
          <w:rFonts w:ascii="Calibri" w:hAnsi="Calibri" w:cs="Calibri"/>
          <w:b/>
          <w:bCs/>
          <w:i/>
          <w:iCs/>
          <w:sz w:val="24"/>
          <w:szCs w:val="24"/>
        </w:rPr>
        <w:t xml:space="preserve">kalendářních měsíců </w:t>
      </w:r>
      <w:r w:rsidRPr="00087FB3">
        <w:rPr>
          <w:rFonts w:ascii="Calibri" w:hAnsi="Calibri" w:cs="Calibri"/>
          <w:i/>
          <w:iCs/>
          <w:sz w:val="24"/>
          <w:szCs w:val="24"/>
        </w:rPr>
        <w:t>vyjma příp. prodloužení délky demonstrace kompatibility až o 3 kalendářní měsíce. Časový harmonogram nezahrnuje dílčí termín uvedený v písm. d) tohoto článku.</w:t>
      </w:r>
    </w:p>
    <w:p w14:paraId="45F3DCF6" w14:textId="6C9505AD" w:rsidR="00FD635D" w:rsidRDefault="00421BDD" w:rsidP="00421BDD">
      <w:p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7F55D4">
        <w:rPr>
          <w:rFonts w:ascii="Calibri" w:hAnsi="Calibri" w:cs="Calibri"/>
          <w:sz w:val="24"/>
          <w:szCs w:val="24"/>
        </w:rPr>
        <w:t>1.</w:t>
      </w:r>
      <w:r w:rsidR="00121D7A">
        <w:rPr>
          <w:rFonts w:ascii="Calibri" w:hAnsi="Calibri" w:cs="Calibri"/>
          <w:sz w:val="24"/>
          <w:szCs w:val="24"/>
        </w:rPr>
        <w:t>3</w:t>
      </w:r>
      <w:r w:rsidRPr="007F55D4">
        <w:rPr>
          <w:rFonts w:ascii="Calibri" w:hAnsi="Calibri" w:cs="Calibri"/>
          <w:sz w:val="24"/>
          <w:szCs w:val="24"/>
        </w:rPr>
        <w:t xml:space="preserve">. </w:t>
      </w:r>
      <w:r w:rsidRPr="007F55D4">
        <w:rPr>
          <w:rFonts w:ascii="Calibri" w:hAnsi="Calibri" w:cs="Calibri"/>
          <w:sz w:val="24"/>
          <w:szCs w:val="24"/>
        </w:rPr>
        <w:tab/>
      </w:r>
      <w:r w:rsidR="00346C0F" w:rsidRPr="007F55D4">
        <w:rPr>
          <w:rFonts w:ascii="Calibri" w:hAnsi="Calibri" w:cs="Calibri"/>
          <w:sz w:val="24"/>
          <w:szCs w:val="24"/>
        </w:rPr>
        <w:t xml:space="preserve">Předmětem tohoto Dodatku je </w:t>
      </w:r>
      <w:r w:rsidR="00557D4C" w:rsidRPr="007F55D4">
        <w:rPr>
          <w:rFonts w:ascii="Calibri" w:hAnsi="Calibri" w:cs="Calibri"/>
          <w:sz w:val="24"/>
          <w:szCs w:val="24"/>
        </w:rPr>
        <w:t xml:space="preserve">dále </w:t>
      </w:r>
      <w:r w:rsidR="003613A7" w:rsidRPr="007F55D4">
        <w:rPr>
          <w:rFonts w:ascii="Calibri" w:hAnsi="Calibri" w:cs="Calibri"/>
          <w:sz w:val="24"/>
          <w:szCs w:val="24"/>
        </w:rPr>
        <w:t>doplnění</w:t>
      </w:r>
      <w:r w:rsidR="003613A7">
        <w:rPr>
          <w:rFonts w:ascii="Calibri" w:hAnsi="Calibri" w:cs="Calibri"/>
          <w:sz w:val="24"/>
          <w:szCs w:val="24"/>
        </w:rPr>
        <w:t xml:space="preserve"> a </w:t>
      </w:r>
      <w:r w:rsidR="00346C0F">
        <w:rPr>
          <w:rFonts w:ascii="Calibri" w:hAnsi="Calibri" w:cs="Calibri"/>
          <w:sz w:val="24"/>
          <w:szCs w:val="24"/>
        </w:rPr>
        <w:t>změna</w:t>
      </w:r>
      <w:r w:rsidR="00346C0F" w:rsidRPr="00AE6093">
        <w:rPr>
          <w:rFonts w:ascii="Calibri" w:hAnsi="Calibri" w:cs="Calibri"/>
          <w:sz w:val="24"/>
          <w:szCs w:val="24"/>
        </w:rPr>
        <w:t xml:space="preserve"> Příloh</w:t>
      </w:r>
      <w:r w:rsidR="00346C0F">
        <w:rPr>
          <w:rFonts w:ascii="Calibri" w:hAnsi="Calibri" w:cs="Calibri"/>
          <w:sz w:val="24"/>
          <w:szCs w:val="24"/>
        </w:rPr>
        <w:t>y</w:t>
      </w:r>
      <w:r w:rsidR="00346C0F" w:rsidRPr="00AE6093">
        <w:rPr>
          <w:rFonts w:ascii="Calibri" w:hAnsi="Calibri" w:cs="Calibri"/>
          <w:sz w:val="24"/>
          <w:szCs w:val="24"/>
        </w:rPr>
        <w:t xml:space="preserve"> č. </w:t>
      </w:r>
      <w:r w:rsidR="00346C0F">
        <w:rPr>
          <w:rFonts w:ascii="Calibri" w:hAnsi="Calibri" w:cs="Calibri"/>
          <w:sz w:val="24"/>
          <w:szCs w:val="24"/>
        </w:rPr>
        <w:t>1 Smlouvy</w:t>
      </w:r>
      <w:r w:rsidR="00346C0F" w:rsidRPr="00AE6093">
        <w:rPr>
          <w:rFonts w:ascii="Calibri" w:hAnsi="Calibri" w:cs="Calibri"/>
          <w:sz w:val="24"/>
          <w:szCs w:val="24"/>
        </w:rPr>
        <w:t xml:space="preserve">, která specifikuje </w:t>
      </w:r>
      <w:r w:rsidR="00346C0F">
        <w:rPr>
          <w:rFonts w:ascii="Calibri" w:hAnsi="Calibri" w:cs="Calibri"/>
          <w:sz w:val="24"/>
          <w:szCs w:val="24"/>
        </w:rPr>
        <w:t>vícepráce k</w:t>
      </w:r>
      <w:r w:rsidR="003613A7">
        <w:rPr>
          <w:rFonts w:ascii="Calibri" w:hAnsi="Calibri" w:cs="Calibri"/>
          <w:sz w:val="24"/>
          <w:szCs w:val="24"/>
        </w:rPr>
        <w:t> </w:t>
      </w:r>
      <w:r w:rsidR="00346C0F" w:rsidRPr="00AE6093">
        <w:rPr>
          <w:rFonts w:ascii="Calibri" w:hAnsi="Calibri" w:cs="Calibri"/>
          <w:sz w:val="24"/>
          <w:szCs w:val="24"/>
        </w:rPr>
        <w:t>plnění</w:t>
      </w:r>
      <w:r w:rsidR="003613A7">
        <w:rPr>
          <w:rFonts w:ascii="Calibri" w:hAnsi="Calibri" w:cs="Calibri"/>
          <w:sz w:val="24"/>
          <w:szCs w:val="24"/>
        </w:rPr>
        <w:t xml:space="preserve"> Předmětu díla</w:t>
      </w:r>
      <w:r w:rsidR="00346C0F" w:rsidRPr="00AE6093">
        <w:rPr>
          <w:rFonts w:ascii="Calibri" w:hAnsi="Calibri" w:cs="Calibri"/>
          <w:sz w:val="24"/>
          <w:szCs w:val="24"/>
        </w:rPr>
        <w:t xml:space="preserve"> dle </w:t>
      </w:r>
      <w:r w:rsidR="00582E05">
        <w:rPr>
          <w:rFonts w:ascii="Calibri" w:hAnsi="Calibri" w:cs="Calibri"/>
          <w:sz w:val="24"/>
          <w:szCs w:val="24"/>
        </w:rPr>
        <w:t xml:space="preserve">čl. </w:t>
      </w:r>
      <w:r w:rsidR="00557D4C">
        <w:rPr>
          <w:rFonts w:ascii="Calibri" w:hAnsi="Calibri" w:cs="Calibri"/>
          <w:sz w:val="24"/>
          <w:szCs w:val="24"/>
        </w:rPr>
        <w:t>1</w:t>
      </w:r>
      <w:r w:rsidR="007F55D4">
        <w:rPr>
          <w:rFonts w:ascii="Calibri" w:hAnsi="Calibri" w:cs="Calibri"/>
          <w:sz w:val="24"/>
          <w:szCs w:val="24"/>
        </w:rPr>
        <w:t>,</w:t>
      </w:r>
      <w:r w:rsidR="00346C0F" w:rsidRPr="00AE6093">
        <w:rPr>
          <w:rFonts w:ascii="Calibri" w:hAnsi="Calibri" w:cs="Calibri"/>
          <w:sz w:val="24"/>
          <w:szCs w:val="24"/>
        </w:rPr>
        <w:t xml:space="preserve"> </w:t>
      </w:r>
      <w:r w:rsidR="00557D4C">
        <w:rPr>
          <w:rFonts w:ascii="Calibri" w:hAnsi="Calibri" w:cs="Calibri"/>
          <w:sz w:val="24"/>
          <w:szCs w:val="24"/>
        </w:rPr>
        <w:t>odst.</w:t>
      </w:r>
      <w:r w:rsidR="00557D4C" w:rsidRPr="00AE6093">
        <w:rPr>
          <w:rFonts w:ascii="Calibri" w:hAnsi="Calibri" w:cs="Calibri"/>
          <w:sz w:val="24"/>
          <w:szCs w:val="24"/>
        </w:rPr>
        <w:t xml:space="preserve"> </w:t>
      </w:r>
      <w:r w:rsidR="00346C0F" w:rsidRPr="00AE6093">
        <w:rPr>
          <w:rFonts w:ascii="Calibri" w:hAnsi="Calibri" w:cs="Calibri"/>
          <w:sz w:val="24"/>
          <w:szCs w:val="24"/>
        </w:rPr>
        <w:t>1</w:t>
      </w:r>
      <w:r w:rsidR="00346C0F">
        <w:rPr>
          <w:rFonts w:ascii="Calibri" w:hAnsi="Calibri" w:cs="Calibri"/>
          <w:sz w:val="24"/>
          <w:szCs w:val="24"/>
        </w:rPr>
        <w:t>.1</w:t>
      </w:r>
      <w:r w:rsidR="00346C0F" w:rsidRPr="00AE6093">
        <w:rPr>
          <w:rFonts w:ascii="Calibri" w:hAnsi="Calibri" w:cs="Calibri"/>
          <w:sz w:val="24"/>
          <w:szCs w:val="24"/>
        </w:rPr>
        <w:t>, písm. b) Smlouvy, a je Přílohou č. 1 tohoto Dodatku.</w:t>
      </w:r>
    </w:p>
    <w:p w14:paraId="795E9F8D" w14:textId="3E695D9C" w:rsidR="000800DD" w:rsidRPr="00FD635D" w:rsidRDefault="000800DD" w:rsidP="00421BDD">
      <w:pPr>
        <w:ind w:left="567" w:hanging="567"/>
        <w:jc w:val="both"/>
      </w:pPr>
      <w:r>
        <w:rPr>
          <w:rFonts w:ascii="Calibri" w:hAnsi="Calibri" w:cs="Calibri"/>
          <w:sz w:val="24"/>
          <w:szCs w:val="24"/>
        </w:rPr>
        <w:lastRenderedPageBreak/>
        <w:t>1.</w:t>
      </w:r>
      <w:r w:rsidR="00121D7A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  <w:t xml:space="preserve">Předmětem tohoto Dodatku je rovněž </w:t>
      </w:r>
      <w:r w:rsidR="00EF65A4">
        <w:rPr>
          <w:rFonts w:ascii="Calibri" w:hAnsi="Calibri" w:cs="Calibri"/>
          <w:sz w:val="24"/>
          <w:szCs w:val="24"/>
        </w:rPr>
        <w:t xml:space="preserve">doplnění Smlouvy o </w:t>
      </w:r>
      <w:r>
        <w:rPr>
          <w:rFonts w:ascii="Calibri" w:hAnsi="Calibri" w:cs="Calibri"/>
          <w:sz w:val="24"/>
          <w:szCs w:val="24"/>
        </w:rPr>
        <w:t>nov</w:t>
      </w:r>
      <w:r w:rsidR="00EF65A4">
        <w:rPr>
          <w:rFonts w:ascii="Calibri" w:hAnsi="Calibri" w:cs="Calibri"/>
          <w:sz w:val="24"/>
          <w:szCs w:val="24"/>
        </w:rPr>
        <w:t>ou</w:t>
      </w:r>
      <w:r>
        <w:rPr>
          <w:rFonts w:ascii="Calibri" w:hAnsi="Calibri" w:cs="Calibri"/>
          <w:sz w:val="24"/>
          <w:szCs w:val="24"/>
        </w:rPr>
        <w:t xml:space="preserve"> Příloh</w:t>
      </w:r>
      <w:r w:rsidR="00EF65A4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č. 7, která zobrazuje a upřesňuje vizuální podobu výrobků varianty 2.1 a 2.2</w:t>
      </w:r>
      <w:r w:rsidR="001B0752">
        <w:rPr>
          <w:rFonts w:ascii="Calibri" w:hAnsi="Calibri" w:cs="Calibri"/>
          <w:sz w:val="24"/>
          <w:szCs w:val="24"/>
        </w:rPr>
        <w:t xml:space="preserve">, a která je Přílohou </w:t>
      </w:r>
      <w:r w:rsidR="001B0752">
        <w:rPr>
          <w:rFonts w:ascii="Calibri" w:hAnsi="Calibri" w:cs="Calibri"/>
          <w:sz w:val="24"/>
          <w:szCs w:val="24"/>
        </w:rPr>
        <w:br/>
        <w:t>č. 2 tohoto Dodatku</w:t>
      </w:r>
      <w:r>
        <w:rPr>
          <w:rFonts w:ascii="Calibri" w:hAnsi="Calibri" w:cs="Calibri"/>
          <w:sz w:val="24"/>
          <w:szCs w:val="24"/>
        </w:rPr>
        <w:t>.</w:t>
      </w:r>
    </w:p>
    <w:p w14:paraId="53EC5C76" w14:textId="05AD25BD" w:rsidR="00DC621F" w:rsidRPr="00346C0F" w:rsidRDefault="00346C0F" w:rsidP="00346C0F">
      <w:pPr>
        <w:spacing w:after="120" w:line="240" w:lineRule="auto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1.</w:t>
      </w:r>
      <w:r w:rsidR="00121D7A">
        <w:rPr>
          <w:rFonts w:ascii="Calibri" w:hAnsi="Calibri" w:cs="Calibri"/>
          <w:bCs/>
          <w:sz w:val="24"/>
          <w:szCs w:val="24"/>
        </w:rPr>
        <w:t>5</w:t>
      </w:r>
      <w:r w:rsidR="000800DD">
        <w:rPr>
          <w:rFonts w:ascii="Calibri" w:hAnsi="Calibri" w:cs="Calibri"/>
          <w:bCs/>
          <w:sz w:val="24"/>
          <w:szCs w:val="24"/>
        </w:rPr>
        <w:t xml:space="preserve">. </w:t>
      </w:r>
      <w:r>
        <w:rPr>
          <w:rFonts w:ascii="Calibri" w:hAnsi="Calibri" w:cs="Calibri"/>
          <w:bCs/>
          <w:sz w:val="24"/>
          <w:szCs w:val="24"/>
        </w:rPr>
        <w:tab/>
      </w:r>
      <w:r w:rsidR="00DC621F" w:rsidRPr="00346C0F">
        <w:rPr>
          <w:rFonts w:ascii="Calibri" w:hAnsi="Calibri" w:cs="Calibri"/>
          <w:bCs/>
          <w:sz w:val="24"/>
          <w:szCs w:val="24"/>
        </w:rPr>
        <w:t xml:space="preserve">Předmětem tohoto </w:t>
      </w:r>
      <w:r w:rsidR="009B2972" w:rsidRPr="00346C0F">
        <w:rPr>
          <w:rFonts w:ascii="Calibri" w:hAnsi="Calibri" w:cs="Calibri"/>
          <w:bCs/>
          <w:sz w:val="24"/>
          <w:szCs w:val="24"/>
        </w:rPr>
        <w:t>D</w:t>
      </w:r>
      <w:r w:rsidR="00DC621F" w:rsidRPr="00346C0F">
        <w:rPr>
          <w:rFonts w:ascii="Calibri" w:hAnsi="Calibri" w:cs="Calibri"/>
          <w:bCs/>
          <w:sz w:val="24"/>
          <w:szCs w:val="24"/>
        </w:rPr>
        <w:t xml:space="preserve">odatku je </w:t>
      </w:r>
      <w:r w:rsidR="00383334">
        <w:rPr>
          <w:rFonts w:ascii="Calibri" w:hAnsi="Calibri" w:cs="Calibri"/>
          <w:bCs/>
          <w:sz w:val="24"/>
          <w:szCs w:val="24"/>
        </w:rPr>
        <w:t xml:space="preserve">rovněž </w:t>
      </w:r>
      <w:r w:rsidR="00DC621F" w:rsidRPr="00346C0F">
        <w:rPr>
          <w:rFonts w:ascii="Calibri" w:hAnsi="Calibri" w:cs="Calibri"/>
          <w:bCs/>
          <w:sz w:val="24"/>
          <w:szCs w:val="24"/>
        </w:rPr>
        <w:t>změna čl</w:t>
      </w:r>
      <w:r w:rsidR="00683020">
        <w:rPr>
          <w:rFonts w:ascii="Calibri" w:hAnsi="Calibri" w:cs="Calibri"/>
          <w:bCs/>
          <w:sz w:val="24"/>
          <w:szCs w:val="24"/>
        </w:rPr>
        <w:t>.</w:t>
      </w:r>
      <w:r w:rsidR="00DC621F" w:rsidRPr="00346C0F">
        <w:rPr>
          <w:rFonts w:ascii="Calibri" w:hAnsi="Calibri" w:cs="Calibri"/>
          <w:bCs/>
          <w:sz w:val="24"/>
          <w:szCs w:val="24"/>
        </w:rPr>
        <w:t xml:space="preserve"> 3., odst. 3.1. Smlouvy, který nově zní:</w:t>
      </w:r>
    </w:p>
    <w:p w14:paraId="1B4A7B3A" w14:textId="77777777" w:rsidR="00DC621F" w:rsidRPr="008B0B73" w:rsidRDefault="00DC621F" w:rsidP="00EB3302">
      <w:pPr>
        <w:pStyle w:val="Nadpis2"/>
        <w:ind w:left="993" w:hanging="426"/>
        <w:jc w:val="both"/>
        <w:rPr>
          <w:rFonts w:ascii="Calibri" w:hAnsi="Calibri" w:cs="Calibri"/>
          <w:i/>
          <w:iCs/>
          <w:color w:val="auto"/>
          <w:sz w:val="24"/>
          <w:szCs w:val="24"/>
        </w:rPr>
      </w:pPr>
      <w:r w:rsidRPr="008B0B73">
        <w:rPr>
          <w:rFonts w:ascii="Calibri" w:hAnsi="Calibri" w:cs="Calibri"/>
          <w:bCs/>
          <w:i/>
          <w:iCs/>
          <w:color w:val="auto"/>
          <w:sz w:val="24"/>
          <w:szCs w:val="24"/>
        </w:rPr>
        <w:t xml:space="preserve">3.1. </w:t>
      </w:r>
      <w:r w:rsidRPr="008B0B73">
        <w:rPr>
          <w:rFonts w:ascii="Calibri" w:hAnsi="Calibri" w:cs="Calibri"/>
          <w:i/>
          <w:iCs/>
          <w:color w:val="auto"/>
          <w:sz w:val="24"/>
          <w:szCs w:val="24"/>
        </w:rPr>
        <w:t>Za včasné a řádné provedení Díla zaplatí Objednatel Zhotoviteli cenu za Dílo v celkové výši:</w:t>
      </w:r>
    </w:p>
    <w:p w14:paraId="13661CB1" w14:textId="77D88AD4" w:rsidR="00DC621F" w:rsidRPr="00EF40AF" w:rsidRDefault="00346C0F" w:rsidP="00DC621F">
      <w:pPr>
        <w:ind w:left="708" w:firstLine="567"/>
        <w:jc w:val="both"/>
        <w:rPr>
          <w:rFonts w:ascii="Calibri" w:hAnsi="Calibri" w:cs="Calibri"/>
          <w:i/>
          <w:iCs/>
          <w:sz w:val="24"/>
          <w:szCs w:val="24"/>
        </w:rPr>
      </w:pPr>
      <w:r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1.</w:t>
      </w:r>
      <w:r w:rsidR="00EF40AF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600</w:t>
      </w:r>
      <w:r w:rsidR="00E833CA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.</w:t>
      </w:r>
      <w:r w:rsidR="00DC621F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000</w:t>
      </w:r>
      <w:r w:rsidR="00DC621F" w:rsidRPr="00EF40AF">
        <w:rPr>
          <w:rFonts w:ascii="Calibri" w:hAnsi="Calibri" w:cs="Calibri"/>
          <w:i/>
          <w:iCs/>
          <w:sz w:val="24"/>
          <w:szCs w:val="24"/>
        </w:rPr>
        <w:t>,- Kč bez DPH</w:t>
      </w:r>
    </w:p>
    <w:p w14:paraId="4F6763C1" w14:textId="0466DFED" w:rsidR="00DC621F" w:rsidRPr="00EF40AF" w:rsidRDefault="000D098D" w:rsidP="00DC621F">
      <w:pPr>
        <w:ind w:left="1134" w:firstLine="141"/>
        <w:jc w:val="both"/>
        <w:rPr>
          <w:rFonts w:ascii="Calibri" w:hAnsi="Calibri" w:cs="Calibri"/>
          <w:i/>
          <w:iCs/>
          <w:sz w:val="24"/>
          <w:szCs w:val="24"/>
        </w:rPr>
      </w:pPr>
      <w:r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 xml:space="preserve">  </w:t>
      </w:r>
      <w:r w:rsid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 xml:space="preserve"> </w:t>
      </w:r>
      <w:r w:rsidR="00E833CA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3</w:t>
      </w:r>
      <w:r w:rsidR="00EF40AF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36</w:t>
      </w:r>
      <w:r w:rsidR="00E833CA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.000,-</w:t>
      </w:r>
      <w:r w:rsidR="00DC621F" w:rsidRPr="00EF40AF">
        <w:rPr>
          <w:rFonts w:ascii="Calibri" w:hAnsi="Calibri" w:cs="Calibri"/>
          <w:i/>
          <w:iCs/>
          <w:sz w:val="24"/>
          <w:szCs w:val="24"/>
        </w:rPr>
        <w:t xml:space="preserve"> Kč DPH v zákonné výši</w:t>
      </w:r>
    </w:p>
    <w:p w14:paraId="4C6AB875" w14:textId="41A872AD" w:rsidR="00DC621F" w:rsidRPr="00EF40AF" w:rsidRDefault="00DC621F" w:rsidP="00DC621F">
      <w:pPr>
        <w:tabs>
          <w:tab w:val="left" w:pos="567"/>
          <w:tab w:val="left" w:pos="709"/>
        </w:tabs>
        <w:jc w:val="both"/>
        <w:rPr>
          <w:rFonts w:ascii="Calibri" w:hAnsi="Calibri" w:cs="Calibri"/>
          <w:i/>
          <w:iCs/>
          <w:sz w:val="24"/>
          <w:szCs w:val="24"/>
        </w:rPr>
      </w:pPr>
      <w:r w:rsidRPr="00EF40AF">
        <w:rPr>
          <w:rFonts w:ascii="Calibri" w:hAnsi="Calibri" w:cs="Calibri"/>
          <w:i/>
          <w:iCs/>
          <w:sz w:val="24"/>
          <w:szCs w:val="24"/>
        </w:rPr>
        <w:tab/>
      </w:r>
      <w:r w:rsidRPr="00EF40AF">
        <w:rPr>
          <w:rFonts w:ascii="Calibri" w:hAnsi="Calibri" w:cs="Calibri"/>
          <w:i/>
          <w:iCs/>
          <w:sz w:val="24"/>
          <w:szCs w:val="24"/>
        </w:rPr>
        <w:tab/>
        <w:t xml:space="preserve">          </w:t>
      </w:r>
      <w:r w:rsidR="00E833CA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1.</w:t>
      </w:r>
      <w:r w:rsidR="00EF40AF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936</w:t>
      </w:r>
      <w:r w:rsidR="00E833CA" w:rsidRPr="00EF40AF">
        <w:rPr>
          <w:rFonts w:ascii="Calibri" w:eastAsia="Times New Roman" w:hAnsi="Calibri" w:cs="Calibri"/>
          <w:b/>
          <w:i/>
          <w:iCs/>
          <w:sz w:val="24"/>
          <w:szCs w:val="24"/>
          <w:lang w:eastAsia="cs-CZ"/>
        </w:rPr>
        <w:t>.000</w:t>
      </w:r>
      <w:r w:rsidRPr="00EF40AF">
        <w:rPr>
          <w:rFonts w:ascii="Calibri" w:hAnsi="Calibri" w:cs="Calibri"/>
          <w:i/>
          <w:iCs/>
          <w:sz w:val="24"/>
          <w:szCs w:val="24"/>
        </w:rPr>
        <w:t>,- Kč včetně DPH</w:t>
      </w:r>
    </w:p>
    <w:p w14:paraId="35333613" w14:textId="728FD1D5" w:rsidR="00DC621F" w:rsidRPr="00DC621F" w:rsidRDefault="00DC6530" w:rsidP="00DC6530">
      <w:p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</w:t>
      </w:r>
      <w:r w:rsidR="00DC621F" w:rsidRPr="00DC621F">
        <w:rPr>
          <w:rFonts w:ascii="Calibri" w:hAnsi="Calibri" w:cs="Calibri"/>
          <w:i/>
          <w:iCs/>
          <w:sz w:val="24"/>
          <w:szCs w:val="24"/>
        </w:rPr>
        <w:t>za podmínek uvedených v čl. 5 této Smlouvy a Přílohy č. 2</w:t>
      </w:r>
      <w:r w:rsidR="0084546C">
        <w:rPr>
          <w:rFonts w:ascii="Calibri" w:hAnsi="Calibri" w:cs="Calibri"/>
          <w:i/>
          <w:iCs/>
          <w:sz w:val="24"/>
          <w:szCs w:val="24"/>
        </w:rPr>
        <w:t xml:space="preserve"> Smlouvy</w:t>
      </w:r>
      <w:r w:rsidR="00DC621F" w:rsidRPr="00DC621F">
        <w:rPr>
          <w:rFonts w:ascii="Calibri" w:hAnsi="Calibri" w:cs="Calibri"/>
          <w:i/>
          <w:iCs/>
          <w:sz w:val="24"/>
          <w:szCs w:val="24"/>
        </w:rPr>
        <w:t>.</w:t>
      </w:r>
    </w:p>
    <w:p w14:paraId="75737C20" w14:textId="7ED73963" w:rsidR="00121D7A" w:rsidRDefault="00121D7A" w:rsidP="00121D7A">
      <w:pPr>
        <w:spacing w:before="240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1.6.</w:t>
      </w:r>
      <w:r>
        <w:rPr>
          <w:rFonts w:ascii="Calibri" w:hAnsi="Calibri" w:cs="Calibri"/>
          <w:sz w:val="24"/>
          <w:szCs w:val="24"/>
        </w:rPr>
        <w:tab/>
        <w:t>Předmětem tohoto Dodatku je rovněž opravení písařské chyby v čl. 10, odst. 10.1 Smlouvy – Zvláštní ujednání a to tak, že se vypouští slovo „mil“ za uvedenou částkou pojistného. Tedy bude ve Smlouvě uvedeno pouze „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.minimálně </w:t>
      </w:r>
      <w:r w:rsidRPr="00121D7A">
        <w:rPr>
          <w:rFonts w:ascii="Calibri" w:hAnsi="Calibri" w:cs="Calibri"/>
          <w:b/>
          <w:bCs/>
          <w:sz w:val="24"/>
          <w:szCs w:val="24"/>
        </w:rPr>
        <w:t>1.000.000,- Kč</w:t>
      </w:r>
      <w:r>
        <w:rPr>
          <w:rFonts w:ascii="Calibri" w:hAnsi="Calibri" w:cs="Calibri"/>
          <w:sz w:val="24"/>
          <w:szCs w:val="24"/>
        </w:rPr>
        <w:t xml:space="preserve"> za pojistné období, ….“.</w:t>
      </w:r>
    </w:p>
    <w:p w14:paraId="5958C4BE" w14:textId="0FA94C93" w:rsidR="00C56BCD" w:rsidRDefault="00C56BCD" w:rsidP="00121D7A">
      <w:pPr>
        <w:spacing w:before="240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 w:rsidRPr="00F57A7C">
        <w:rPr>
          <w:rFonts w:ascii="Calibri" w:hAnsi="Calibri" w:cs="Calibri"/>
          <w:bCs/>
          <w:sz w:val="24"/>
          <w:szCs w:val="24"/>
        </w:rPr>
        <w:t>1.</w:t>
      </w:r>
      <w:r w:rsidR="000800DD">
        <w:rPr>
          <w:rFonts w:ascii="Calibri" w:hAnsi="Calibri" w:cs="Calibri"/>
          <w:bCs/>
          <w:sz w:val="24"/>
          <w:szCs w:val="24"/>
        </w:rPr>
        <w:t>7.</w:t>
      </w:r>
      <w:r w:rsidR="000800DD" w:rsidRPr="00F57A7C">
        <w:rPr>
          <w:rFonts w:ascii="Calibri" w:hAnsi="Calibri" w:cs="Calibri"/>
          <w:bCs/>
          <w:sz w:val="24"/>
          <w:szCs w:val="24"/>
        </w:rPr>
        <w:t xml:space="preserve"> </w:t>
      </w:r>
      <w:r w:rsidRPr="00F57A7C">
        <w:rPr>
          <w:rFonts w:ascii="Calibri" w:hAnsi="Calibri" w:cs="Calibri"/>
          <w:bCs/>
          <w:sz w:val="24"/>
          <w:szCs w:val="24"/>
        </w:rPr>
        <w:tab/>
        <w:t>Veškeré pojmy uvedené v Dodatku mají stejný význam jako ve Smlouvě.</w:t>
      </w:r>
    </w:p>
    <w:p w14:paraId="07B13BC9" w14:textId="218E4017" w:rsidR="00592AB8" w:rsidRPr="00603C22" w:rsidRDefault="00592AB8" w:rsidP="009C6798">
      <w:pPr>
        <w:spacing w:after="120" w:line="240" w:lineRule="auto"/>
        <w:ind w:left="993" w:hanging="993"/>
        <w:jc w:val="both"/>
        <w:rPr>
          <w:rFonts w:ascii="Calibri" w:hAnsi="Calibri" w:cs="Calibri"/>
          <w:bCs/>
          <w:strike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14:paraId="417647DF" w14:textId="77777777" w:rsidR="00C56BCD" w:rsidRPr="00697A83" w:rsidRDefault="00C56BCD" w:rsidP="00C56BCD">
      <w:pPr>
        <w:pStyle w:val="Styl5"/>
        <w:spacing w:before="360"/>
        <w:ind w:left="357" w:firstLine="0"/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Čl. 2 Závěrečná ustanovení</w:t>
      </w:r>
    </w:p>
    <w:p w14:paraId="71B01CA9" w14:textId="66972B0F" w:rsidR="00C56BCD" w:rsidRPr="00697A83" w:rsidRDefault="00C56BCD" w:rsidP="00B65DD1">
      <w:pPr>
        <w:pStyle w:val="Styl5"/>
        <w:numPr>
          <w:ilvl w:val="1"/>
          <w:numId w:val="2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 xml:space="preserve">Ostatní ujednání Smlouvy </w:t>
      </w:r>
      <w:r w:rsidR="003B4B56">
        <w:rPr>
          <w:rFonts w:ascii="Calibri" w:hAnsi="Calibri" w:cs="Calibri"/>
          <w:b w:val="0"/>
          <w:bCs/>
          <w:sz w:val="24"/>
          <w:szCs w:val="24"/>
        </w:rPr>
        <w:t xml:space="preserve">nedotčená tímto Dodatkem, </w:t>
      </w:r>
      <w:r w:rsidRPr="00697A83">
        <w:rPr>
          <w:rFonts w:ascii="Calibri" w:hAnsi="Calibri" w:cs="Calibri"/>
          <w:b w:val="0"/>
          <w:bCs/>
          <w:sz w:val="24"/>
          <w:szCs w:val="24"/>
        </w:rPr>
        <w:t>zůstávají beze změny účinná.</w:t>
      </w:r>
    </w:p>
    <w:p w14:paraId="0C4879C2" w14:textId="77777777" w:rsidR="00C56BCD" w:rsidRPr="00697A83" w:rsidRDefault="00C56BCD" w:rsidP="00C56BCD">
      <w:pPr>
        <w:pStyle w:val="Styl5"/>
        <w:numPr>
          <w:ilvl w:val="1"/>
          <w:numId w:val="3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sz w:val="24"/>
          <w:szCs w:val="24"/>
        </w:rPr>
        <w:t>Dodatek nabývá platnosti dnem jeho podpisu oběma Smluvními stranami a účinnosti dnem uveřejnění v registru smluv dle zákona č. 340/2015 Sb., o zvláštních podmínkách účinnosti některých smluv, uveřejňování těchto smluv a o registru smluv (zákon o registru smluv), ve znění pozdějších předpisů (dále jen „</w:t>
      </w:r>
      <w:r w:rsidRPr="00697A83">
        <w:rPr>
          <w:rFonts w:ascii="Calibri" w:hAnsi="Calibri" w:cs="Calibri"/>
          <w:bCs/>
          <w:i/>
          <w:iCs/>
          <w:sz w:val="24"/>
          <w:szCs w:val="24"/>
        </w:rPr>
        <w:t>zákon o registru smluv</w:t>
      </w:r>
      <w:r w:rsidRPr="00697A83">
        <w:rPr>
          <w:rFonts w:ascii="Calibri" w:hAnsi="Calibri" w:cs="Calibri"/>
          <w:b w:val="0"/>
          <w:sz w:val="24"/>
          <w:szCs w:val="24"/>
        </w:rPr>
        <w:t>“).</w:t>
      </w:r>
    </w:p>
    <w:p w14:paraId="5373AC6A" w14:textId="77777777" w:rsidR="00C56BCD" w:rsidRPr="00697A83" w:rsidRDefault="00C56BCD" w:rsidP="00C56BCD">
      <w:pPr>
        <w:pStyle w:val="Styl5"/>
        <w:numPr>
          <w:ilvl w:val="1"/>
          <w:numId w:val="3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>Smluvní strany výslovně sjednávají, že uveřejnění Dodatku v registru smluv dle zákona o registru smluv zajistí Objednatel.</w:t>
      </w:r>
    </w:p>
    <w:p w14:paraId="17AA4D68" w14:textId="77777777" w:rsidR="00C56BCD" w:rsidRPr="00697A83" w:rsidRDefault="00C56BCD" w:rsidP="00C56BCD">
      <w:pPr>
        <w:pStyle w:val="Styl5"/>
        <w:numPr>
          <w:ilvl w:val="1"/>
          <w:numId w:val="4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>Smluvní strany prohlašují, že skutečnosti uvedené v Dodatku nepovažují za obchodní tajemství ve smyslu § 504 zákona č. 89/2012 Sb., občanský zákoník, ve znění pozdějších předpisů, a udělují svolení k jejich užití a zveřejnění bez stanovení jakýchkoli dalších podmínek</w:t>
      </w:r>
      <w:r w:rsidRPr="00697A83">
        <w:rPr>
          <w:rFonts w:ascii="Calibri" w:eastAsiaTheme="minorHAnsi" w:hAnsi="Calibri" w:cs="Calibri"/>
          <w:b w:val="0"/>
          <w:bCs/>
          <w:sz w:val="24"/>
          <w:szCs w:val="24"/>
        </w:rPr>
        <w:t>.</w:t>
      </w:r>
    </w:p>
    <w:p w14:paraId="7B683BA9" w14:textId="77777777" w:rsidR="00C56BCD" w:rsidRPr="007F55D4" w:rsidRDefault="00C56BCD" w:rsidP="00C56BCD">
      <w:pPr>
        <w:pStyle w:val="Styl5"/>
        <w:numPr>
          <w:ilvl w:val="1"/>
          <w:numId w:val="5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 xml:space="preserve">Dodatek je uzavírán v písemné formě, elektronické podobě a podepsán Smluvními stranami za využití uznávaných elektronických podpisů v jednom (1) vyhotovení. Na Dodatku jsou </w:t>
      </w:r>
      <w:r w:rsidRPr="007F55D4">
        <w:rPr>
          <w:rFonts w:ascii="Calibri" w:hAnsi="Calibri" w:cs="Calibri"/>
          <w:b w:val="0"/>
          <w:bCs/>
          <w:sz w:val="24"/>
          <w:szCs w:val="24"/>
        </w:rPr>
        <w:t>zaznamenány uznávané elektronické podpisy zástupců Smluvních stran.</w:t>
      </w:r>
    </w:p>
    <w:p w14:paraId="68C5BB07" w14:textId="13F9884D" w:rsidR="00C56BCD" w:rsidRDefault="00C56BCD" w:rsidP="00C56BCD">
      <w:pPr>
        <w:pStyle w:val="Styl5"/>
        <w:numPr>
          <w:ilvl w:val="1"/>
          <w:numId w:val="5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>Smluvní strany prohlašují, že je jim obsah Dodatku znám a zavazují se</w:t>
      </w:r>
      <w:r w:rsidR="005E1307">
        <w:rPr>
          <w:rFonts w:ascii="Calibri" w:hAnsi="Calibri" w:cs="Calibri"/>
          <w:b w:val="0"/>
          <w:bCs/>
          <w:sz w:val="24"/>
          <w:szCs w:val="24"/>
        </w:rPr>
        <w:t>, že se</w:t>
      </w:r>
      <w:r w:rsidRPr="00697A83">
        <w:rPr>
          <w:rFonts w:ascii="Calibri" w:hAnsi="Calibri" w:cs="Calibri"/>
          <w:b w:val="0"/>
          <w:bCs/>
          <w:sz w:val="24"/>
          <w:szCs w:val="24"/>
        </w:rPr>
        <w:t xml:space="preserve"> budou ujednáními v Dodatku řídit.</w:t>
      </w:r>
    </w:p>
    <w:p w14:paraId="3B1BBFCC" w14:textId="77777777" w:rsidR="00582E05" w:rsidRDefault="00F942BD" w:rsidP="00346C0F">
      <w:pPr>
        <w:pStyle w:val="Styl5"/>
        <w:numPr>
          <w:ilvl w:val="1"/>
          <w:numId w:val="5"/>
        </w:numPr>
        <w:tabs>
          <w:tab w:val="left" w:pos="567"/>
        </w:tabs>
        <w:spacing w:before="120" w:after="120"/>
        <w:ind w:left="709" w:hanging="709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7F55D4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B65DD1" w:rsidRPr="007F55D4">
        <w:rPr>
          <w:rFonts w:ascii="Calibri" w:hAnsi="Calibri" w:cs="Calibri"/>
          <w:b w:val="0"/>
          <w:bCs/>
          <w:sz w:val="24"/>
          <w:szCs w:val="24"/>
        </w:rPr>
        <w:t>Nedílnou součástí tohoto Dodatku</w:t>
      </w:r>
      <w:r w:rsidR="00582E05">
        <w:rPr>
          <w:rFonts w:ascii="Calibri" w:hAnsi="Calibri" w:cs="Calibri"/>
          <w:b w:val="0"/>
          <w:bCs/>
          <w:sz w:val="24"/>
          <w:szCs w:val="24"/>
        </w:rPr>
        <w:t xml:space="preserve"> jsou přílohy:</w:t>
      </w:r>
    </w:p>
    <w:p w14:paraId="1963C24D" w14:textId="5AE7BD83" w:rsidR="00582E05" w:rsidRDefault="00582E05" w:rsidP="00582E05">
      <w:pPr>
        <w:pStyle w:val="Styl5"/>
        <w:tabs>
          <w:tab w:val="left" w:pos="567"/>
        </w:tabs>
        <w:spacing w:before="120" w:after="120"/>
        <w:ind w:left="709" w:firstLine="0"/>
        <w:jc w:val="both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lastRenderedPageBreak/>
        <w:t xml:space="preserve">- </w:t>
      </w:r>
      <w:r w:rsidR="00B65DD1" w:rsidRPr="007F55D4">
        <w:rPr>
          <w:rFonts w:ascii="Calibri" w:hAnsi="Calibri" w:cs="Calibri"/>
          <w:b w:val="0"/>
          <w:bCs/>
          <w:sz w:val="24"/>
          <w:szCs w:val="24"/>
        </w:rPr>
        <w:t>Příloha č. 1</w:t>
      </w:r>
      <w:r w:rsidR="0065561E" w:rsidRPr="007F55D4">
        <w:rPr>
          <w:rFonts w:ascii="Calibri" w:hAnsi="Calibri" w:cs="Calibri"/>
          <w:b w:val="0"/>
          <w:bCs/>
          <w:sz w:val="24"/>
          <w:szCs w:val="24"/>
        </w:rPr>
        <w:t>.</w:t>
      </w:r>
      <w:r w:rsidR="001B0752">
        <w:rPr>
          <w:rFonts w:ascii="Calibri" w:hAnsi="Calibri" w:cs="Calibri"/>
          <w:b w:val="0"/>
          <w:bCs/>
          <w:sz w:val="24"/>
          <w:szCs w:val="24"/>
        </w:rPr>
        <w:t>: Technické zadání -  upřesnění</w:t>
      </w:r>
    </w:p>
    <w:p w14:paraId="61E37BE8" w14:textId="7B6C34A1" w:rsidR="00B65DD1" w:rsidRPr="007F55D4" w:rsidRDefault="00582E05" w:rsidP="00582E05">
      <w:pPr>
        <w:pStyle w:val="Styl5"/>
        <w:tabs>
          <w:tab w:val="left" w:pos="567"/>
        </w:tabs>
        <w:spacing w:before="120" w:after="120"/>
        <w:ind w:left="709" w:firstLine="0"/>
        <w:jc w:val="both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 xml:space="preserve">- </w:t>
      </w:r>
      <w:r w:rsidR="000800DD" w:rsidRPr="007F55D4">
        <w:rPr>
          <w:rFonts w:ascii="Calibri" w:hAnsi="Calibri" w:cs="Calibri"/>
          <w:b w:val="0"/>
          <w:bCs/>
          <w:sz w:val="24"/>
          <w:szCs w:val="24"/>
        </w:rPr>
        <w:t>Příloha č.</w:t>
      </w:r>
      <w:r w:rsidR="00103A41" w:rsidRPr="007F55D4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1B0752">
        <w:rPr>
          <w:rFonts w:ascii="Calibri" w:hAnsi="Calibri" w:cs="Calibri"/>
          <w:b w:val="0"/>
          <w:bCs/>
          <w:sz w:val="24"/>
          <w:szCs w:val="24"/>
        </w:rPr>
        <w:t>2</w:t>
      </w:r>
      <w:r w:rsidR="000800DD" w:rsidRPr="007F55D4">
        <w:rPr>
          <w:rFonts w:ascii="Calibri" w:hAnsi="Calibri" w:cs="Calibri"/>
          <w:b w:val="0"/>
          <w:bCs/>
          <w:sz w:val="24"/>
          <w:szCs w:val="24"/>
        </w:rPr>
        <w:t>: Vizualizace výrobků variant 2.1. a 2.2.</w:t>
      </w:r>
    </w:p>
    <w:bookmarkEnd w:id="0"/>
    <w:p w14:paraId="421B4E9F" w14:textId="77777777" w:rsidR="00666D9C" w:rsidRDefault="00666D9C" w:rsidP="00C56BCD">
      <w:pPr>
        <w:pStyle w:val="Styl5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452A44CA" w14:textId="77777777" w:rsidR="00C56BCD" w:rsidRPr="00697A83" w:rsidRDefault="00C56BCD" w:rsidP="00C56BCD">
      <w:pPr>
        <w:tabs>
          <w:tab w:val="left" w:pos="5387"/>
        </w:tabs>
        <w:spacing w:before="36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za Objednatele: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za Zhotovitele:</w:t>
      </w:r>
    </w:p>
    <w:p w14:paraId="3700AD66" w14:textId="77777777" w:rsidR="00EF40AF" w:rsidRDefault="00EF40AF" w:rsidP="00AF7756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C0A5A9C" w14:textId="01D08165" w:rsidR="00AF7756" w:rsidRDefault="00C56BCD" w:rsidP="00AF7756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V Praze dne …………………….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V …………</w:t>
      </w:r>
      <w:proofErr w:type="gramStart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…….</w:t>
      </w:r>
      <w:proofErr w:type="gramEnd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 xml:space="preserve">.….dne </w:t>
      </w:r>
    </w:p>
    <w:p w14:paraId="628F360E" w14:textId="77777777" w:rsidR="00EF40AF" w:rsidRDefault="00EF40AF" w:rsidP="00AF7756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2ED16D4" w14:textId="77777777" w:rsidR="00EF40AF" w:rsidRDefault="00EF40AF" w:rsidP="00AF7756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140C1D7" w14:textId="2B19AC20" w:rsidR="00C56BCD" w:rsidRPr="00697A83" w:rsidRDefault="00C56BCD" w:rsidP="00AF7756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……...........…………………………………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……………………………………….</w:t>
      </w:r>
    </w:p>
    <w:p w14:paraId="1C591AE7" w14:textId="77777777" w:rsidR="00C56BCD" w:rsidRPr="00697A83" w:rsidRDefault="00C56BCD" w:rsidP="00C56BCD">
      <w:pPr>
        <w:tabs>
          <w:tab w:val="left" w:pos="5387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Libor Fiala</w:t>
      </w: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ab/>
        <w:t>Ing. Miloslav Meloun</w:t>
      </w:r>
    </w:p>
    <w:p w14:paraId="2169DE2F" w14:textId="77777777" w:rsidR="00C56BCD" w:rsidRPr="00697A83" w:rsidRDefault="00C56BCD" w:rsidP="00C56BCD">
      <w:pPr>
        <w:tabs>
          <w:tab w:val="left" w:pos="5387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člen představenstva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předseda družstva</w:t>
      </w:r>
    </w:p>
    <w:p w14:paraId="757D6D20" w14:textId="77777777" w:rsidR="00C56BCD" w:rsidRPr="00697A83" w:rsidRDefault="00C56BCD" w:rsidP="00C56BCD">
      <w:pPr>
        <w:tabs>
          <w:tab w:val="left" w:pos="5387"/>
        </w:tabs>
        <w:spacing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Technologie hlavního města Prahy, a.s.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KOOPERATIVA vod družstvo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C85BA16" w14:textId="77777777" w:rsidR="00EF40AF" w:rsidRDefault="00EF40AF" w:rsidP="00C56BCD">
      <w:pPr>
        <w:tabs>
          <w:tab w:val="left" w:pos="5387"/>
        </w:tabs>
        <w:spacing w:before="60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135F52D" w14:textId="217C66F0" w:rsidR="00C56BCD" w:rsidRPr="00697A83" w:rsidRDefault="00C56BCD" w:rsidP="00C56BCD">
      <w:pPr>
        <w:tabs>
          <w:tab w:val="left" w:pos="5387"/>
        </w:tabs>
        <w:spacing w:before="60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………………………………….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E0B8960" w14:textId="77777777" w:rsidR="00C56BCD" w:rsidRPr="00697A83" w:rsidRDefault="00C56BCD" w:rsidP="00C56BCD">
      <w:pPr>
        <w:pStyle w:val="RLdajeosmluvnstran"/>
        <w:spacing w:after="0" w:line="276" w:lineRule="auto"/>
        <w:jc w:val="left"/>
        <w:rPr>
          <w:rFonts w:cs="Calibri"/>
          <w:b/>
          <w:bCs/>
          <w:sz w:val="24"/>
        </w:rPr>
      </w:pPr>
      <w:r w:rsidRPr="00697A83">
        <w:rPr>
          <w:rFonts w:cs="Calibri"/>
          <w:b/>
          <w:bCs/>
          <w:sz w:val="24"/>
        </w:rPr>
        <w:t>Michal Fišer</w:t>
      </w:r>
      <w:r w:rsidRPr="00697A83">
        <w:rPr>
          <w:rFonts w:cs="Calibri"/>
          <w:b/>
          <w:sz w:val="24"/>
          <w:lang w:eastAsia="cs-CZ"/>
        </w:rPr>
        <w:tab/>
      </w:r>
    </w:p>
    <w:p w14:paraId="2BA21366" w14:textId="77777777" w:rsidR="00C56BCD" w:rsidRPr="00697A83" w:rsidRDefault="00C56BCD" w:rsidP="00C56BCD">
      <w:pPr>
        <w:tabs>
          <w:tab w:val="left" w:pos="5387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člen představenstva</w:t>
      </w: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</w:p>
    <w:p w14:paraId="03CEFCA3" w14:textId="77777777" w:rsidR="00C56BCD" w:rsidRPr="00697A83" w:rsidRDefault="00C56BCD" w:rsidP="00C56BCD">
      <w:pPr>
        <w:tabs>
          <w:tab w:val="left" w:pos="5387"/>
        </w:tabs>
        <w:spacing w:after="0"/>
        <w:rPr>
          <w:rFonts w:ascii="Calibri" w:eastAsia="Times New Roman" w:hAnsi="Calibri" w:cs="Calibri"/>
          <w:sz w:val="24"/>
          <w:szCs w:val="24"/>
          <w:lang w:val="en-US"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Technologie hlavního města Prahy, a.s.</w:t>
      </w:r>
    </w:p>
    <w:p w14:paraId="1B43E152" w14:textId="77777777" w:rsidR="009D6066" w:rsidRDefault="009D6066" w:rsidP="008A0532"/>
    <w:sectPr w:rsidR="009D6066" w:rsidSect="00EF40AF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567A" w14:textId="77777777" w:rsidR="00356079" w:rsidRDefault="00356079" w:rsidP="00F60C9C">
      <w:pPr>
        <w:spacing w:after="0" w:line="240" w:lineRule="auto"/>
      </w:pPr>
      <w:r>
        <w:separator/>
      </w:r>
    </w:p>
  </w:endnote>
  <w:endnote w:type="continuationSeparator" w:id="0">
    <w:p w14:paraId="51BE414D" w14:textId="77777777" w:rsidR="00356079" w:rsidRDefault="00356079" w:rsidP="00F6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681722"/>
      <w:docPartObj>
        <w:docPartGallery w:val="Page Numbers (Bottom of Page)"/>
        <w:docPartUnique/>
      </w:docPartObj>
    </w:sdtPr>
    <w:sdtEndPr/>
    <w:sdtContent>
      <w:p w14:paraId="33F5F35C" w14:textId="5C422C48" w:rsidR="00F60C9C" w:rsidRDefault="00F60C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BD53F" w14:textId="77777777" w:rsidR="00F60C9C" w:rsidRDefault="00F60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1D44" w14:textId="77777777" w:rsidR="00356079" w:rsidRDefault="00356079" w:rsidP="00F60C9C">
      <w:pPr>
        <w:spacing w:after="0" w:line="240" w:lineRule="auto"/>
      </w:pPr>
      <w:r>
        <w:separator/>
      </w:r>
    </w:p>
  </w:footnote>
  <w:footnote w:type="continuationSeparator" w:id="0">
    <w:p w14:paraId="111D0B0C" w14:textId="77777777" w:rsidR="00356079" w:rsidRDefault="00356079" w:rsidP="00F6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919"/>
    <w:multiLevelType w:val="multilevel"/>
    <w:tmpl w:val="C4B4C53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A323D0"/>
    <w:multiLevelType w:val="multilevel"/>
    <w:tmpl w:val="3F2E3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2" w15:restartNumberingAfterBreak="0">
    <w:nsid w:val="3A2E2971"/>
    <w:multiLevelType w:val="hybridMultilevel"/>
    <w:tmpl w:val="C2C24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49F58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6922C4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071E5"/>
    <w:multiLevelType w:val="multilevel"/>
    <w:tmpl w:val="3760D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4" w15:restartNumberingAfterBreak="0">
    <w:nsid w:val="503E15E3"/>
    <w:multiLevelType w:val="multilevel"/>
    <w:tmpl w:val="401A7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5ABC37C3"/>
    <w:multiLevelType w:val="multilevel"/>
    <w:tmpl w:val="DF4E6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6" w15:restartNumberingAfterBreak="0">
    <w:nsid w:val="5D89141A"/>
    <w:multiLevelType w:val="multilevel"/>
    <w:tmpl w:val="F37EAF72"/>
    <w:lvl w:ilvl="0">
      <w:start w:val="1"/>
      <w:numFmt w:val="decimal"/>
      <w:lvlText w:val="%1."/>
      <w:lvlJc w:val="left"/>
      <w:pPr>
        <w:ind w:left="751"/>
      </w:pPr>
      <w:rPr>
        <w:rFonts w:asciiTheme="minorHAnsi" w:eastAsia="Calibri" w:hAnsiTheme="minorHAnsi" w:cstheme="minorHAns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1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072357"/>
    <w:multiLevelType w:val="hybridMultilevel"/>
    <w:tmpl w:val="73108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7">
      <w:start w:val="1"/>
      <w:numFmt w:val="lowerLetter"/>
      <w:lvlText w:val="%3)"/>
      <w:lvlJc w:val="left"/>
      <w:pPr>
        <w:ind w:left="1353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00E5F"/>
    <w:multiLevelType w:val="hybridMultilevel"/>
    <w:tmpl w:val="2E80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7CE4"/>
    <w:multiLevelType w:val="multilevel"/>
    <w:tmpl w:val="37AA0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 w15:restartNumberingAfterBreak="0">
    <w:nsid w:val="7F826B84"/>
    <w:multiLevelType w:val="multilevel"/>
    <w:tmpl w:val="0D340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0465067">
    <w:abstractNumId w:val="10"/>
  </w:num>
  <w:num w:numId="2" w16cid:durableId="1187333416">
    <w:abstractNumId w:val="3"/>
  </w:num>
  <w:num w:numId="3" w16cid:durableId="431239912">
    <w:abstractNumId w:val="9"/>
  </w:num>
  <w:num w:numId="4" w16cid:durableId="1459958923">
    <w:abstractNumId w:val="1"/>
  </w:num>
  <w:num w:numId="5" w16cid:durableId="1638803864">
    <w:abstractNumId w:val="5"/>
  </w:num>
  <w:num w:numId="6" w16cid:durableId="1857498720">
    <w:abstractNumId w:val="2"/>
  </w:num>
  <w:num w:numId="7" w16cid:durableId="1873224763">
    <w:abstractNumId w:val="6"/>
  </w:num>
  <w:num w:numId="8" w16cid:durableId="1901751500">
    <w:abstractNumId w:val="4"/>
  </w:num>
  <w:num w:numId="9" w16cid:durableId="447166080">
    <w:abstractNumId w:val="0"/>
  </w:num>
  <w:num w:numId="10" w16cid:durableId="90395762">
    <w:abstractNumId w:val="8"/>
  </w:num>
  <w:num w:numId="11" w16cid:durableId="1716151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CD"/>
    <w:rsid w:val="00035F3E"/>
    <w:rsid w:val="00045311"/>
    <w:rsid w:val="00066963"/>
    <w:rsid w:val="000800DD"/>
    <w:rsid w:val="00087FB3"/>
    <w:rsid w:val="000B035C"/>
    <w:rsid w:val="000D098D"/>
    <w:rsid w:val="00103A41"/>
    <w:rsid w:val="00113C40"/>
    <w:rsid w:val="00121739"/>
    <w:rsid w:val="00121D7A"/>
    <w:rsid w:val="00123384"/>
    <w:rsid w:val="00153AAB"/>
    <w:rsid w:val="001545C3"/>
    <w:rsid w:val="00154C50"/>
    <w:rsid w:val="001643D0"/>
    <w:rsid w:val="001A0910"/>
    <w:rsid w:val="001A6A3D"/>
    <w:rsid w:val="001B0752"/>
    <w:rsid w:val="00200FE5"/>
    <w:rsid w:val="00213A7D"/>
    <w:rsid w:val="00215904"/>
    <w:rsid w:val="0022151D"/>
    <w:rsid w:val="002227E1"/>
    <w:rsid w:val="002A0EB0"/>
    <w:rsid w:val="002D3F6D"/>
    <w:rsid w:val="003433A3"/>
    <w:rsid w:val="00346C0F"/>
    <w:rsid w:val="00354E38"/>
    <w:rsid w:val="00356079"/>
    <w:rsid w:val="003613A7"/>
    <w:rsid w:val="00383334"/>
    <w:rsid w:val="003A644D"/>
    <w:rsid w:val="003A7ED4"/>
    <w:rsid w:val="003B4B56"/>
    <w:rsid w:val="003D6C17"/>
    <w:rsid w:val="00421BDD"/>
    <w:rsid w:val="004220EC"/>
    <w:rsid w:val="0045058B"/>
    <w:rsid w:val="004668C0"/>
    <w:rsid w:val="004A4B31"/>
    <w:rsid w:val="004D3C8D"/>
    <w:rsid w:val="004E06BE"/>
    <w:rsid w:val="004E5631"/>
    <w:rsid w:val="004E6C57"/>
    <w:rsid w:val="004F4FA4"/>
    <w:rsid w:val="00511F4A"/>
    <w:rsid w:val="00557D4C"/>
    <w:rsid w:val="00580C38"/>
    <w:rsid w:val="00581B89"/>
    <w:rsid w:val="00582E05"/>
    <w:rsid w:val="00587D93"/>
    <w:rsid w:val="005908B5"/>
    <w:rsid w:val="00592AB8"/>
    <w:rsid w:val="005A0160"/>
    <w:rsid w:val="005B5B4B"/>
    <w:rsid w:val="005D7199"/>
    <w:rsid w:val="005E1307"/>
    <w:rsid w:val="005F49A9"/>
    <w:rsid w:val="0060155B"/>
    <w:rsid w:val="00603C22"/>
    <w:rsid w:val="0061253C"/>
    <w:rsid w:val="00633D78"/>
    <w:rsid w:val="0065561E"/>
    <w:rsid w:val="006609E7"/>
    <w:rsid w:val="00666D9C"/>
    <w:rsid w:val="00683020"/>
    <w:rsid w:val="006A5FBA"/>
    <w:rsid w:val="006B0780"/>
    <w:rsid w:val="006B310C"/>
    <w:rsid w:val="006E19B3"/>
    <w:rsid w:val="006F0E99"/>
    <w:rsid w:val="007104B1"/>
    <w:rsid w:val="00743D6F"/>
    <w:rsid w:val="00771988"/>
    <w:rsid w:val="00774C2B"/>
    <w:rsid w:val="0079298C"/>
    <w:rsid w:val="007A02E9"/>
    <w:rsid w:val="007B2923"/>
    <w:rsid w:val="007F55D4"/>
    <w:rsid w:val="0080527F"/>
    <w:rsid w:val="0081382E"/>
    <w:rsid w:val="0084546C"/>
    <w:rsid w:val="008676EC"/>
    <w:rsid w:val="0088284F"/>
    <w:rsid w:val="008A0532"/>
    <w:rsid w:val="008B0B73"/>
    <w:rsid w:val="008D06C5"/>
    <w:rsid w:val="008D6111"/>
    <w:rsid w:val="0091796C"/>
    <w:rsid w:val="00930697"/>
    <w:rsid w:val="00935174"/>
    <w:rsid w:val="00952D25"/>
    <w:rsid w:val="0097474B"/>
    <w:rsid w:val="00984C19"/>
    <w:rsid w:val="009A14AF"/>
    <w:rsid w:val="009B2972"/>
    <w:rsid w:val="009C6798"/>
    <w:rsid w:val="009D12BF"/>
    <w:rsid w:val="009D3239"/>
    <w:rsid w:val="009D6066"/>
    <w:rsid w:val="00A41CB5"/>
    <w:rsid w:val="00A44BD5"/>
    <w:rsid w:val="00AA072E"/>
    <w:rsid w:val="00AD25DD"/>
    <w:rsid w:val="00AE4C53"/>
    <w:rsid w:val="00AE6093"/>
    <w:rsid w:val="00AF7756"/>
    <w:rsid w:val="00B205FB"/>
    <w:rsid w:val="00B535DC"/>
    <w:rsid w:val="00B65DD1"/>
    <w:rsid w:val="00B917E0"/>
    <w:rsid w:val="00BB01B7"/>
    <w:rsid w:val="00BB7479"/>
    <w:rsid w:val="00C173CE"/>
    <w:rsid w:val="00C56BCD"/>
    <w:rsid w:val="00C706A1"/>
    <w:rsid w:val="00C96587"/>
    <w:rsid w:val="00CE3E6C"/>
    <w:rsid w:val="00CE3FEC"/>
    <w:rsid w:val="00CE7372"/>
    <w:rsid w:val="00CE7616"/>
    <w:rsid w:val="00DA78BE"/>
    <w:rsid w:val="00DB6246"/>
    <w:rsid w:val="00DC621F"/>
    <w:rsid w:val="00DC6530"/>
    <w:rsid w:val="00E00C5A"/>
    <w:rsid w:val="00E66415"/>
    <w:rsid w:val="00E833CA"/>
    <w:rsid w:val="00EA1B04"/>
    <w:rsid w:val="00EB3302"/>
    <w:rsid w:val="00EB5BEE"/>
    <w:rsid w:val="00ED5ACF"/>
    <w:rsid w:val="00EE6BF0"/>
    <w:rsid w:val="00EF40AF"/>
    <w:rsid w:val="00EF65A4"/>
    <w:rsid w:val="00F041F0"/>
    <w:rsid w:val="00F2732F"/>
    <w:rsid w:val="00F57A7C"/>
    <w:rsid w:val="00F60C9C"/>
    <w:rsid w:val="00F631E6"/>
    <w:rsid w:val="00F7015C"/>
    <w:rsid w:val="00F85855"/>
    <w:rsid w:val="00F92A7F"/>
    <w:rsid w:val="00F942BD"/>
    <w:rsid w:val="00FA1740"/>
    <w:rsid w:val="00FD2381"/>
    <w:rsid w:val="00FD635D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58B4"/>
  <w15:chartTrackingRefBased/>
  <w15:docId w15:val="{B90DEA49-2CB5-40D6-8D7E-8427A63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BCD"/>
  </w:style>
  <w:style w:type="paragraph" w:styleId="Nadpis1">
    <w:name w:val="heading 1"/>
    <w:basedOn w:val="Normln"/>
    <w:next w:val="Normln"/>
    <w:link w:val="Nadpis1Char"/>
    <w:uiPriority w:val="99"/>
    <w:qFormat/>
    <w:rsid w:val="00C56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6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6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6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6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6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6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56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6B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6B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6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6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6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6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6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6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6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6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6BCD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_muj,Odstavec cíl se seznamem,Odstavec se seznamem5,Odrážky,Bullet Number,A-Odrážky1,Conclusion de partie,moje odra,nad 1,Fiche List Paragraph,Dot pt,List Paragraph Char Char Char,Indicator Text,LISTA,3"/>
    <w:basedOn w:val="Normln"/>
    <w:link w:val="OdstavecseseznamemChar"/>
    <w:uiPriority w:val="34"/>
    <w:qFormat/>
    <w:rsid w:val="00C56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6B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6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6B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6BC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Conclusion de partie Char,moje odra Char,nad 1 Char,Dot pt Char,LISTA Char"/>
    <w:link w:val="Odstavecseseznamem"/>
    <w:uiPriority w:val="34"/>
    <w:locked/>
    <w:rsid w:val="00C56BCD"/>
  </w:style>
  <w:style w:type="character" w:styleId="Hypertextovodkaz">
    <w:name w:val="Hyperlink"/>
    <w:uiPriority w:val="99"/>
    <w:rsid w:val="00C56BCD"/>
    <w:rPr>
      <w:rFonts w:cs="Times New Roman"/>
      <w:color w:val="0000FF"/>
      <w:u w:val="single"/>
    </w:rPr>
  </w:style>
  <w:style w:type="paragraph" w:customStyle="1" w:styleId="Styl5">
    <w:name w:val="Styl5"/>
    <w:basedOn w:val="Normln"/>
    <w:qFormat/>
    <w:rsid w:val="00C56BCD"/>
    <w:pPr>
      <w:suppressAutoHyphens/>
      <w:spacing w:before="480" w:after="240" w:line="276" w:lineRule="auto"/>
      <w:ind w:left="680" w:right="-23" w:hanging="680"/>
      <w:jc w:val="center"/>
    </w:pPr>
    <w:rPr>
      <w:rFonts w:ascii="Arial" w:eastAsia="Times New Roman" w:hAnsi="Arial" w:cs="Arial"/>
      <w:b/>
      <w:kern w:val="0"/>
      <w:lang w:eastAsia="ar-SA"/>
      <w14:ligatures w14:val="none"/>
    </w:rPr>
  </w:style>
  <w:style w:type="paragraph" w:customStyle="1" w:styleId="RLdajeosmluvnstran">
    <w:name w:val="RL  údaje o smluvní straně"/>
    <w:basedOn w:val="Normln"/>
    <w:rsid w:val="00C56BCD"/>
    <w:pPr>
      <w:spacing w:after="120" w:line="280" w:lineRule="exact"/>
      <w:jc w:val="center"/>
    </w:pPr>
    <w:rPr>
      <w:rFonts w:ascii="Calibri" w:eastAsia="Times New Roman" w:hAnsi="Calibri" w:cs="Times New Roman"/>
      <w:kern w:val="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C67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7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7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7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79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6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C9C"/>
  </w:style>
  <w:style w:type="paragraph" w:styleId="Zpat">
    <w:name w:val="footer"/>
    <w:basedOn w:val="Normln"/>
    <w:link w:val="ZpatChar"/>
    <w:uiPriority w:val="99"/>
    <w:unhideWhenUsed/>
    <w:rsid w:val="00F6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C9C"/>
  </w:style>
  <w:style w:type="paragraph" w:styleId="Revize">
    <w:name w:val="Revision"/>
    <w:hidden/>
    <w:uiPriority w:val="99"/>
    <w:semiHidden/>
    <w:rsid w:val="00F57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191B-630C-43B3-86EE-25D167ED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Brychcová Martina</dc:creator>
  <cp:keywords/>
  <dc:description/>
  <cp:lastModifiedBy>Vítová Petra</cp:lastModifiedBy>
  <cp:revision>2</cp:revision>
  <cp:lastPrinted>2025-01-13T08:06:00Z</cp:lastPrinted>
  <dcterms:created xsi:type="dcterms:W3CDTF">2025-04-08T13:36:00Z</dcterms:created>
  <dcterms:modified xsi:type="dcterms:W3CDTF">2025-04-08T13:36:00Z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2024-09-25T08:25:45Z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1c9816ab-69e7-41c1-a592-5f02c0ef3547</vt:lpwstr>
  </property>
  <property fmtid="{D5CDD505-2E9C-101B-9397-08002B2CF9AE}" pid="8" name="MSIP_Label_53b2c928-728b-4698-a3fd-c5d03555aa71_ContentBits">
    <vt:lpwstr>0</vt:lpwstr>
  </property>
</Properties>
</file>