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480" w:after="440" w:line="324" w:lineRule="auto"/>
        <w:ind w:left="0" w:right="0" w:firstLine="0"/>
        <w:jc w:val="center"/>
      </w:pPr>
      <w:r>
        <w:rPr>
          <w:b/>
          <w:bCs/>
          <w:color w:val="000000"/>
          <w:spacing w:val="0"/>
          <w:w w:val="100"/>
          <w:position w:val="0"/>
          <w:sz w:val="28"/>
          <w:szCs w:val="28"/>
          <w:shd w:val="clear" w:color="auto" w:fill="auto"/>
          <w:lang w:val="cs-CZ" w:eastAsia="cs-CZ" w:bidi="cs-CZ"/>
        </w:rPr>
        <w:t>D O D A T E K č. 1</w:t>
        <w:br/>
        <w:t>K N Á J E M N Í S M L O U V Ě č. 257/2021</w:t>
        <w:br/>
      </w:r>
      <w:r>
        <w:rPr>
          <w:b/>
          <w:bCs/>
          <w:color w:val="000000"/>
          <w:spacing w:val="0"/>
          <w:w w:val="100"/>
          <w:position w:val="0"/>
          <w:shd w:val="clear" w:color="auto" w:fill="auto"/>
          <w:lang w:val="cs-CZ" w:eastAsia="cs-CZ" w:bidi="cs-CZ"/>
        </w:rPr>
        <w:t>uzavřené dne 7. 5. 2021</w:t>
        <w:br/>
      </w:r>
      <w:r>
        <w:rPr>
          <w:color w:val="000000"/>
          <w:spacing w:val="0"/>
          <w:w w:val="100"/>
          <w:position w:val="0"/>
          <w:shd w:val="clear" w:color="auto" w:fill="auto"/>
          <w:lang w:val="cs-CZ" w:eastAsia="cs-CZ" w:bidi="cs-CZ"/>
        </w:rPr>
        <w:t>uzavřen podle § 2201 a násl. zákona č. 89/2012 Sb., občanského zákoníku v platném znění</w:t>
      </w:r>
    </w:p>
    <w:p>
      <w:pPr>
        <w:pStyle w:val="Style10"/>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Pronajímatel:</w:t>
      </w:r>
      <w:bookmarkEnd w:id="0"/>
      <w:bookmarkEnd w:id="1"/>
      <w:bookmarkEnd w:id="2"/>
    </w:p>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Povodí Ohře, státní podnik</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statutární orgán: generálním ředitelem zastoupený ve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Nájemce:</w:t>
      </w:r>
    </w:p>
    <w:p>
      <w:pPr>
        <w:pStyle w:val="Style10"/>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YACHT CLUB CERE, z. s.</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Podolské nábřeží – Přístav č. 1, 147 00 Praha 4 - Podolí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zastoupen:předsedou spolku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70104565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CZ70104565</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Spolek je veden u Městského soudu v Praze, sp. zn. L 10524</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(společně dále jako „účastníci“)</w:t>
      </w:r>
    </w:p>
    <w:p>
      <w:pPr>
        <w:pStyle w:val="Style2"/>
        <w:keepNext w:val="0"/>
        <w:keepLines w:val="0"/>
        <w:widowControl w:val="0"/>
        <w:shd w:val="clear" w:color="auto" w:fill="auto"/>
        <w:bidi w:val="0"/>
        <w:spacing w:before="0" w:after="0" w:line="480" w:lineRule="auto"/>
        <w:ind w:left="0" w:right="0" w:firstLine="0"/>
        <w:jc w:val="center"/>
      </w:pPr>
      <w:r>
        <w:rPr>
          <w:color w:val="000000"/>
          <w:spacing w:val="0"/>
          <w:w w:val="100"/>
          <w:position w:val="0"/>
          <w:shd w:val="clear" w:color="auto" w:fill="auto"/>
          <w:lang w:val="cs-CZ" w:eastAsia="cs-CZ" w:bidi="cs-CZ"/>
        </w:rPr>
        <w:t>uzavírají níže uvedeného dne, měsíce, roku tento</w:t>
        <w:br/>
      </w:r>
      <w:r>
        <w:rPr>
          <w:b/>
          <w:bCs/>
          <w:color w:val="000000"/>
          <w:spacing w:val="0"/>
          <w:w w:val="100"/>
          <w:position w:val="0"/>
          <w:shd w:val="clear" w:color="auto" w:fill="auto"/>
          <w:lang w:val="cs-CZ" w:eastAsia="cs-CZ" w:bidi="cs-CZ"/>
        </w:rPr>
        <w:t>dodatek č. 1 k Nájemní smlouvě č. 257/2021</w:t>
      </w:r>
    </w:p>
    <w:p>
      <w:pPr>
        <w:pStyle w:val="Style10"/>
        <w:keepNext/>
        <w:keepLines/>
        <w:widowControl w:val="0"/>
        <w:numPr>
          <w:ilvl w:val="0"/>
          <w:numId w:val="1"/>
        </w:numPr>
        <w:shd w:val="clear" w:color="auto" w:fill="auto"/>
        <w:tabs>
          <w:tab w:pos="409" w:val="left"/>
        </w:tabs>
        <w:bidi w:val="0"/>
        <w:spacing w:before="0" w:after="0" w:line="480" w:lineRule="auto"/>
        <w:ind w:left="0" w:right="0" w:firstLine="0"/>
        <w:jc w:val="center"/>
      </w:pPr>
      <w:bookmarkStart w:id="10" w:name="bookmark10"/>
      <w:bookmarkStart w:id="11" w:name="bookmark11"/>
      <w:bookmarkStart w:id="12" w:name="bookmark12"/>
      <w:bookmarkStart w:id="9" w:name="bookmark9"/>
      <w:bookmarkEnd w:id="11"/>
      <w:r>
        <w:rPr>
          <w:color w:val="000000"/>
          <w:spacing w:val="0"/>
          <w:w w:val="100"/>
          <w:position w:val="0"/>
          <w:shd w:val="clear" w:color="auto" w:fill="auto"/>
          <w:lang w:val="cs-CZ" w:eastAsia="cs-CZ" w:bidi="cs-CZ"/>
        </w:rPr>
        <w:t>PŘEDMĚT DODATKU</w:t>
      </w:r>
      <w:bookmarkEnd w:id="10"/>
      <w:bookmarkEnd w:id="12"/>
      <w:bookmarkEnd w:id="9"/>
    </w:p>
    <w:p>
      <w:pPr>
        <w:pStyle w:val="Style2"/>
        <w:keepNext w:val="0"/>
        <w:keepLines w:val="0"/>
        <w:widowControl w:val="0"/>
        <w:numPr>
          <w:ilvl w:val="0"/>
          <w:numId w:val="3"/>
        </w:numPr>
        <w:shd w:val="clear" w:color="auto" w:fill="auto"/>
        <w:tabs>
          <w:tab w:pos="409" w:val="left"/>
        </w:tabs>
        <w:bidi w:val="0"/>
        <w:spacing w:before="0" w:after="0" w:line="240" w:lineRule="auto"/>
        <w:ind w:left="460" w:right="0" w:hanging="460"/>
        <w:jc w:val="left"/>
      </w:pPr>
      <w:bookmarkStart w:id="13" w:name="bookmark13"/>
      <w:bookmarkEnd w:id="13"/>
      <w:r>
        <w:rPr>
          <w:color w:val="000000"/>
          <w:spacing w:val="0"/>
          <w:w w:val="100"/>
          <w:position w:val="0"/>
          <w:shd w:val="clear" w:color="auto" w:fill="auto"/>
          <w:lang w:val="cs-CZ" w:eastAsia="cs-CZ" w:bidi="cs-CZ"/>
        </w:rPr>
        <w:t>Na podkladě skutečností, se smluvní strany dohodly na uzavření dodatku č. 1 k nájemní smlouvě č. 257/2021 uzavřené dne 7. 5. 2021.</w:t>
      </w:r>
    </w:p>
    <w:p>
      <w:pPr>
        <w:pStyle w:val="Style2"/>
        <w:keepNext w:val="0"/>
        <w:keepLines w:val="0"/>
        <w:widowControl w:val="0"/>
        <w:numPr>
          <w:ilvl w:val="0"/>
          <w:numId w:val="3"/>
        </w:numPr>
        <w:shd w:val="clear" w:color="auto" w:fill="auto"/>
        <w:tabs>
          <w:tab w:pos="409" w:val="left"/>
        </w:tabs>
        <w:bidi w:val="0"/>
        <w:spacing w:before="0" w:after="120" w:line="240" w:lineRule="auto"/>
        <w:ind w:left="0" w:right="0" w:firstLine="0"/>
        <w:jc w:val="left"/>
      </w:pPr>
      <w:bookmarkStart w:id="14" w:name="bookmark14"/>
      <w:bookmarkEnd w:id="14"/>
      <w:r>
        <w:rPr>
          <w:color w:val="000000"/>
          <w:spacing w:val="0"/>
          <w:w w:val="100"/>
          <w:position w:val="0"/>
          <w:shd w:val="clear" w:color="auto" w:fill="auto"/>
          <w:lang w:val="cs-CZ" w:eastAsia="cs-CZ" w:bidi="cs-CZ"/>
        </w:rPr>
        <w:t>Smluvní strany se dohodly na tomto znění:</w:t>
      </w:r>
    </w:p>
    <w:p>
      <w:pPr>
        <w:pStyle w:val="Style2"/>
        <w:keepNext w:val="0"/>
        <w:keepLines w:val="0"/>
        <w:widowControl w:val="0"/>
        <w:shd w:val="clear" w:color="auto" w:fill="auto"/>
        <w:bidi w:val="0"/>
        <w:spacing w:before="0" w:after="120" w:line="240" w:lineRule="auto"/>
        <w:ind w:left="0" w:right="0" w:firstLine="0"/>
        <w:jc w:val="left"/>
      </w:pPr>
      <w:r>
        <w:rPr>
          <w:b/>
          <w:bCs/>
          <w:i/>
          <w:iCs/>
          <w:color w:val="000000"/>
          <w:spacing w:val="0"/>
          <w:w w:val="100"/>
          <w:position w:val="0"/>
          <w:shd w:val="clear" w:color="auto" w:fill="auto"/>
          <w:lang w:val="cs-CZ" w:eastAsia="cs-CZ" w:bidi="cs-CZ"/>
        </w:rPr>
        <w:t>Článek VI. Ostatní ujednání se mění na následující znění:</w:t>
      </w:r>
    </w:p>
    <w:p>
      <w:pPr>
        <w:pStyle w:val="Style2"/>
        <w:keepNext w:val="0"/>
        <w:keepLines w:val="0"/>
        <w:widowControl w:val="0"/>
        <w:numPr>
          <w:ilvl w:val="0"/>
          <w:numId w:val="5"/>
        </w:numPr>
        <w:shd w:val="clear" w:color="auto" w:fill="auto"/>
        <w:tabs>
          <w:tab w:pos="409" w:val="left"/>
        </w:tabs>
        <w:bidi w:val="0"/>
        <w:spacing w:before="0" w:after="0" w:line="240" w:lineRule="auto"/>
        <w:ind w:left="0" w:right="0" w:firstLine="0"/>
        <w:jc w:val="left"/>
      </w:pPr>
      <w:bookmarkStart w:id="15" w:name="bookmark15"/>
      <w:bookmarkEnd w:id="15"/>
      <w:r>
        <w:rPr>
          <w:i/>
          <w:iCs/>
          <w:color w:val="000000"/>
          <w:spacing w:val="0"/>
          <w:w w:val="100"/>
          <w:position w:val="0"/>
          <w:shd w:val="clear" w:color="auto" w:fill="auto"/>
          <w:lang w:val="cs-CZ" w:eastAsia="cs-CZ" w:bidi="cs-CZ"/>
        </w:rPr>
        <w:t>Na předmětu nájmu je zakázáno:</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likvidovat odpady, a to ani zakopáváním do země,</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rozdělávat ohně, mimo pevně vybudovaných ohnišť,</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znečišťovat sousedící pozemky,</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chovat hospodářská zvířata,</w:t>
      </w:r>
    </w:p>
    <w:p>
      <w:pPr>
        <w:pStyle w:val="Style2"/>
        <w:keepNext w:val="0"/>
        <w:keepLines w:val="0"/>
        <w:widowControl w:val="0"/>
        <w:shd w:val="clear" w:color="auto" w:fill="auto"/>
        <w:bidi w:val="0"/>
        <w:spacing w:before="0" w:after="0" w:line="218" w:lineRule="auto"/>
        <w:ind w:left="1080" w:right="0" w:firstLine="0"/>
        <w:jc w:val="left"/>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skladovat látky škodlivé vodám.</w:t>
      </w:r>
    </w:p>
    <w:p>
      <w:pPr>
        <w:pStyle w:val="Style2"/>
        <w:keepNext w:val="0"/>
        <w:keepLines w:val="0"/>
        <w:widowControl w:val="0"/>
        <w:numPr>
          <w:ilvl w:val="0"/>
          <w:numId w:val="5"/>
        </w:numPr>
        <w:shd w:val="clear" w:color="auto" w:fill="auto"/>
        <w:tabs>
          <w:tab w:pos="409" w:val="left"/>
        </w:tabs>
        <w:bidi w:val="0"/>
        <w:spacing w:before="0" w:after="0" w:line="240" w:lineRule="auto"/>
        <w:ind w:left="460" w:right="0" w:hanging="460"/>
        <w:jc w:val="left"/>
      </w:pPr>
      <w:bookmarkStart w:id="16" w:name="bookmark16"/>
      <w:bookmarkEnd w:id="16"/>
      <w:r>
        <w:rPr>
          <w:i/>
          <w:iCs/>
          <w:color w:val="000000"/>
          <w:spacing w:val="0"/>
          <w:w w:val="100"/>
          <w:position w:val="0"/>
          <w:shd w:val="clear" w:color="auto" w:fill="auto"/>
          <w:lang w:val="cs-CZ" w:eastAsia="cs-CZ" w:bidi="cs-CZ"/>
        </w:rPr>
        <w:t>Nájemce se zavazuje při jakékoliv nové stavební úpravě písemně zažádat pronajímatele o povolení k plánovanému záměru.</w:t>
      </w:r>
    </w:p>
    <w:p>
      <w:pPr>
        <w:pStyle w:val="Style2"/>
        <w:keepNext w:val="0"/>
        <w:keepLines w:val="0"/>
        <w:widowControl w:val="0"/>
        <w:numPr>
          <w:ilvl w:val="0"/>
          <w:numId w:val="5"/>
        </w:numPr>
        <w:shd w:val="clear" w:color="auto" w:fill="auto"/>
        <w:tabs>
          <w:tab w:pos="409" w:val="left"/>
        </w:tabs>
        <w:bidi w:val="0"/>
        <w:spacing w:before="0" w:after="0" w:line="240" w:lineRule="auto"/>
        <w:ind w:left="460" w:right="0" w:hanging="460"/>
        <w:jc w:val="left"/>
      </w:pPr>
      <w:bookmarkStart w:id="17" w:name="bookmark17"/>
      <w:bookmarkEnd w:id="17"/>
      <w:r>
        <w:rPr>
          <w:i/>
          <w:iCs/>
          <w:color w:val="000000"/>
          <w:spacing w:val="0"/>
          <w:w w:val="100"/>
          <w:position w:val="0"/>
          <w:shd w:val="clear" w:color="auto" w:fill="auto"/>
          <w:lang w:val="cs-CZ" w:eastAsia="cs-CZ" w:bidi="cs-CZ"/>
        </w:rPr>
        <w:t>Nájemce umožní vstup na předmět nájmu zaměstnancům pronajímatele pro kontrolu a zabezpečení péče VD Nechranice. V případě provádění oprav umožní vjezd příslušným mechanizmům pronajímatele a jejich dodavatelů.</w:t>
      </w:r>
    </w:p>
    <w:p>
      <w:pPr>
        <w:pStyle w:val="Style2"/>
        <w:keepNext w:val="0"/>
        <w:keepLines w:val="0"/>
        <w:widowControl w:val="0"/>
        <w:numPr>
          <w:ilvl w:val="0"/>
          <w:numId w:val="5"/>
        </w:numPr>
        <w:shd w:val="clear" w:color="auto" w:fill="auto"/>
        <w:tabs>
          <w:tab w:pos="409" w:val="left"/>
        </w:tabs>
        <w:bidi w:val="0"/>
        <w:spacing w:before="0" w:after="0" w:line="240" w:lineRule="auto"/>
        <w:ind w:left="0" w:right="0" w:firstLine="0"/>
        <w:jc w:val="left"/>
      </w:pPr>
      <w:bookmarkStart w:id="18" w:name="bookmark18"/>
      <w:bookmarkEnd w:id="18"/>
      <w:r>
        <w:rPr>
          <w:i/>
          <w:iCs/>
          <w:color w:val="000000"/>
          <w:spacing w:val="0"/>
          <w:w w:val="100"/>
          <w:position w:val="0"/>
          <w:shd w:val="clear" w:color="auto" w:fill="auto"/>
          <w:lang w:val="cs-CZ" w:eastAsia="cs-CZ" w:bidi="cs-CZ"/>
        </w:rPr>
        <w:t>Nájemce odpovídá za dodržování protipožárních předpisů.</w:t>
      </w:r>
    </w:p>
    <w:p>
      <w:pPr>
        <w:pStyle w:val="Style2"/>
        <w:keepNext w:val="0"/>
        <w:keepLines w:val="0"/>
        <w:widowControl w:val="0"/>
        <w:numPr>
          <w:ilvl w:val="0"/>
          <w:numId w:val="5"/>
        </w:numPr>
        <w:shd w:val="clear" w:color="auto" w:fill="auto"/>
        <w:tabs>
          <w:tab w:pos="409" w:val="left"/>
        </w:tabs>
        <w:bidi w:val="0"/>
        <w:spacing w:before="0" w:after="0" w:line="240" w:lineRule="auto"/>
        <w:ind w:left="460" w:right="0" w:hanging="460"/>
        <w:jc w:val="left"/>
      </w:pPr>
      <w:bookmarkStart w:id="19" w:name="bookmark19"/>
      <w:bookmarkEnd w:id="19"/>
      <w:r>
        <w:rPr>
          <w:i/>
          <w:iCs/>
          <w:color w:val="000000"/>
          <w:spacing w:val="0"/>
          <w:w w:val="100"/>
          <w:position w:val="0"/>
          <w:shd w:val="clear" w:color="auto" w:fill="auto"/>
          <w:lang w:val="cs-CZ" w:eastAsia="cs-CZ" w:bidi="cs-CZ"/>
        </w:rPr>
        <w:t>Nájemce se zavazuje, že provozem mola nedojde k významnému znečištění vod, zvláště ne ropnými látkami.</w:t>
      </w:r>
    </w:p>
    <w:p>
      <w:pPr>
        <w:pStyle w:val="Style2"/>
        <w:keepNext w:val="0"/>
        <w:keepLines w:val="0"/>
        <w:widowControl w:val="0"/>
        <w:numPr>
          <w:ilvl w:val="0"/>
          <w:numId w:val="5"/>
        </w:numPr>
        <w:shd w:val="clear" w:color="auto" w:fill="auto"/>
        <w:tabs>
          <w:tab w:pos="409" w:val="left"/>
        </w:tabs>
        <w:bidi w:val="0"/>
        <w:spacing w:before="0" w:after="240" w:line="240" w:lineRule="auto"/>
        <w:ind w:left="0" w:right="0" w:firstLine="0"/>
        <w:jc w:val="left"/>
      </w:pPr>
      <w:bookmarkStart w:id="20" w:name="bookmark20"/>
      <w:bookmarkEnd w:id="20"/>
      <w:r>
        <w:rPr>
          <w:i/>
          <w:iCs/>
          <w:color w:val="000000"/>
          <w:spacing w:val="0"/>
          <w:w w:val="100"/>
          <w:position w:val="0"/>
          <w:shd w:val="clear" w:color="auto" w:fill="auto"/>
          <w:lang w:val="cs-CZ" w:eastAsia="cs-CZ" w:bidi="cs-CZ"/>
        </w:rPr>
        <w:t>Nájemce se zavazuje udržovat molo v bezvadném technickém stavu.</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21" w:name="bookmark21"/>
      <w:bookmarkEnd w:id="21"/>
      <w:r>
        <w:rPr>
          <w:i/>
          <w:iCs/>
          <w:color w:val="000000"/>
          <w:spacing w:val="0"/>
          <w:w w:val="100"/>
          <w:position w:val="0"/>
          <w:shd w:val="clear" w:color="auto" w:fill="auto"/>
          <w:lang w:val="cs-CZ" w:eastAsia="cs-CZ" w:bidi="cs-CZ"/>
        </w:rPr>
        <w:t>Molo bude demontovatelné a využíváno sezónně v měsících duben – říjen. Umístění mola oznámí nájemce vedoucímu hráznému VD Nechranice (p. Jan Koudelka, tel.: 724 874 188).</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22" w:name="bookmark22"/>
      <w:bookmarkEnd w:id="22"/>
      <w:r>
        <w:rPr>
          <w:i/>
          <w:iCs/>
          <w:color w:val="000000"/>
          <w:spacing w:val="0"/>
          <w:w w:val="100"/>
          <w:position w:val="0"/>
          <w:shd w:val="clear" w:color="auto" w:fill="auto"/>
          <w:lang w:val="cs-CZ" w:eastAsia="cs-CZ" w:bidi="cs-CZ"/>
        </w:rPr>
        <w:t>Nájemce se zavazuje dodržovat při užívání předmětu nájmu ustanovení obecně platných, zejména vodohospodářských, právních předpisů.</w:t>
      </w:r>
    </w:p>
    <w:p>
      <w:pPr>
        <w:pStyle w:val="Style2"/>
        <w:keepNext w:val="0"/>
        <w:keepLines w:val="0"/>
        <w:widowControl w:val="0"/>
        <w:numPr>
          <w:ilvl w:val="0"/>
          <w:numId w:val="5"/>
        </w:numPr>
        <w:shd w:val="clear" w:color="auto" w:fill="auto"/>
        <w:tabs>
          <w:tab w:pos="430" w:val="left"/>
        </w:tabs>
        <w:bidi w:val="0"/>
        <w:spacing w:before="0" w:after="0" w:line="240" w:lineRule="auto"/>
        <w:ind w:left="0" w:right="0" w:firstLine="0"/>
        <w:jc w:val="both"/>
      </w:pPr>
      <w:bookmarkStart w:id="23" w:name="bookmark23"/>
      <w:bookmarkEnd w:id="23"/>
      <w:r>
        <w:rPr>
          <w:i/>
          <w:iCs/>
          <w:color w:val="000000"/>
          <w:spacing w:val="0"/>
          <w:w w:val="100"/>
          <w:position w:val="0"/>
          <w:shd w:val="clear" w:color="auto" w:fill="auto"/>
          <w:lang w:val="cs-CZ" w:eastAsia="cs-CZ" w:bidi="cs-CZ"/>
        </w:rPr>
        <w:t>Nájemce nesmí dávat předmět nájmu do podnájmu bez souhlasu pronajímatele.</w:t>
      </w:r>
    </w:p>
    <w:p>
      <w:pPr>
        <w:pStyle w:val="Style2"/>
        <w:keepNext w:val="0"/>
        <w:keepLines w:val="0"/>
        <w:widowControl w:val="0"/>
        <w:numPr>
          <w:ilvl w:val="0"/>
          <w:numId w:val="5"/>
        </w:numPr>
        <w:shd w:val="clear" w:color="auto" w:fill="auto"/>
        <w:tabs>
          <w:tab w:pos="430" w:val="left"/>
        </w:tabs>
        <w:bidi w:val="0"/>
        <w:spacing w:before="0" w:after="0" w:line="240" w:lineRule="auto"/>
        <w:ind w:left="0" w:right="0" w:firstLine="0"/>
        <w:jc w:val="both"/>
      </w:pPr>
      <w:bookmarkStart w:id="24" w:name="bookmark24"/>
      <w:bookmarkEnd w:id="24"/>
      <w:r>
        <w:rPr>
          <w:i/>
          <w:iCs/>
          <w:color w:val="000000"/>
          <w:spacing w:val="0"/>
          <w:w w:val="100"/>
          <w:position w:val="0"/>
          <w:shd w:val="clear" w:color="auto" w:fill="auto"/>
          <w:lang w:val="cs-CZ" w:eastAsia="cs-CZ" w:bidi="cs-CZ"/>
        </w:rPr>
        <w:t>Pronajímatel neodpovídá za škody způsobené zatopením při povodních a při poškození ledem.</w:t>
      </w:r>
    </w:p>
    <w:p>
      <w:pPr>
        <w:pStyle w:val="Style2"/>
        <w:keepNext w:val="0"/>
        <w:keepLines w:val="0"/>
        <w:widowControl w:val="0"/>
        <w:numPr>
          <w:ilvl w:val="0"/>
          <w:numId w:val="5"/>
        </w:numPr>
        <w:shd w:val="clear" w:color="auto" w:fill="auto"/>
        <w:tabs>
          <w:tab w:pos="430" w:val="left"/>
        </w:tabs>
        <w:bidi w:val="0"/>
        <w:spacing w:before="0" w:after="0" w:line="240" w:lineRule="auto"/>
        <w:ind w:left="0" w:right="0" w:firstLine="0"/>
        <w:jc w:val="both"/>
      </w:pPr>
      <w:bookmarkStart w:id="25" w:name="bookmark25"/>
      <w:bookmarkEnd w:id="25"/>
      <w:r>
        <w:rPr>
          <w:i/>
          <w:iCs/>
          <w:color w:val="000000"/>
          <w:spacing w:val="0"/>
          <w:w w:val="100"/>
          <w:position w:val="0"/>
          <w:shd w:val="clear" w:color="auto" w:fill="auto"/>
          <w:lang w:val="cs-CZ" w:eastAsia="cs-CZ" w:bidi="cs-CZ"/>
        </w:rPr>
        <w:t>Nájemce se zavazuje udržovat předmět nájmu bez plevelů a nežádoucích dřevin.</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26" w:name="bookmark26"/>
      <w:bookmarkEnd w:id="26"/>
      <w:r>
        <w:rPr>
          <w:i/>
          <w:iCs/>
          <w:color w:val="000000"/>
          <w:spacing w:val="0"/>
          <w:w w:val="100"/>
          <w:position w:val="0"/>
          <w:shd w:val="clear" w:color="auto" w:fill="auto"/>
          <w:lang w:val="cs-CZ" w:eastAsia="cs-CZ" w:bidi="cs-CZ"/>
        </w:rPr>
        <w:t>Předmět nájmu může být oplocen lehce odstranitelným plotem. Nové oplocení zbudovat jen s předchozím písemným souhlasem pronajímatele. Nájemce je povinen umožnit členům Českého rybářského svazu výkon rybářského práva a zajistit jim přístup na pronajaté pozemky za tímto účelem.</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27" w:name="bookmark27"/>
      <w:bookmarkEnd w:id="27"/>
      <w:r>
        <w:rPr>
          <w:b/>
          <w:bCs/>
          <w:i/>
          <w:iCs/>
          <w:color w:val="000000"/>
          <w:spacing w:val="0"/>
          <w:w w:val="100"/>
          <w:position w:val="0"/>
          <w:shd w:val="clear" w:color="auto" w:fill="auto"/>
          <w:lang w:val="cs-CZ" w:eastAsia="cs-CZ" w:bidi="cs-CZ"/>
        </w:rPr>
        <w:t>Nájemce může umístit po dobu trvání nájemního vztahu, na část pronajímané plochy, 11 ks bezpečnostních sloupků k zajištění dětského hřiště za dodržení podmínek uvedených ve vyjádření pronajímatele zn. POH/03757/2025-2/032400 ze dne 27. 1. 2025, které tvoří přílohu č. 1 této smlouvy.</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28" w:name="bookmark28"/>
      <w:bookmarkEnd w:id="28"/>
      <w:r>
        <w:rPr>
          <w:b/>
          <w:bCs/>
          <w:i/>
          <w:iCs/>
          <w:color w:val="000000"/>
          <w:spacing w:val="0"/>
          <w:w w:val="100"/>
          <w:position w:val="0"/>
          <w:shd w:val="clear" w:color="auto" w:fill="auto"/>
          <w:lang w:val="cs-CZ" w:eastAsia="cs-CZ" w:bidi="cs-CZ"/>
        </w:rPr>
        <w:t>Nájemce bere na vědomí, že bezpečnostní sloupky jsou ve vlastnictví nájemce a v případě ukončení nájemního vztahu budou sloupky odstraněny na náklady nájemce a pozemek uvede nájemce do původního stavu.</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29" w:name="bookmark29"/>
      <w:bookmarkEnd w:id="29"/>
      <w:r>
        <w:rPr>
          <w:b/>
          <w:bCs/>
          <w:i/>
          <w:iCs/>
          <w:color w:val="000000"/>
          <w:spacing w:val="0"/>
          <w:w w:val="100"/>
          <w:position w:val="0"/>
          <w:shd w:val="clear" w:color="auto" w:fill="auto"/>
          <w:lang w:val="cs-CZ" w:eastAsia="cs-CZ" w:bidi="cs-CZ"/>
        </w:rPr>
        <w:t>Pronajímatel nezodpovídá za škodu na majetku a zdraví nájemce, popř. dalších osob v souvislosti s technickým stavem sloupků. Za technický stav bezpečnostních sloupků zodpovídá nájemce.</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30" w:name="bookmark30"/>
      <w:bookmarkEnd w:id="30"/>
      <w:r>
        <w:rPr>
          <w:b/>
          <w:bCs/>
          <w:i/>
          <w:iCs/>
          <w:color w:val="000000"/>
          <w:spacing w:val="0"/>
          <w:w w:val="100"/>
          <w:position w:val="0"/>
          <w:shd w:val="clear" w:color="auto" w:fill="auto"/>
          <w:lang w:val="cs-CZ" w:eastAsia="cs-CZ" w:bidi="cs-CZ"/>
        </w:rPr>
        <w:t>Nájemce se zavazuje předložit fotodokumentaci počátečního a finálního stavu osazení sloupků pronajímateli, která bude označena jasným popisem a časem pořízení.</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31" w:name="bookmark31"/>
      <w:bookmarkEnd w:id="31"/>
      <w:r>
        <w:rPr>
          <w:i/>
          <w:iCs/>
          <w:color w:val="000000"/>
          <w:spacing w:val="0"/>
          <w:w w:val="100"/>
          <w:position w:val="0"/>
          <w:shd w:val="clear" w:color="auto" w:fill="auto"/>
          <w:lang w:val="cs-CZ" w:eastAsia="cs-CZ" w:bidi="cs-CZ"/>
        </w:rPr>
        <w:t>Kácení a řezání dřevin na předmětu nájmu je povoleno pouze v době vegetačního klidu od 1. listopadu do 31. března se souhlasem pronajímatele a povolením příslušného orgánu.</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32" w:name="bookmark32"/>
      <w:bookmarkEnd w:id="32"/>
      <w:r>
        <w:rPr>
          <w:i/>
          <w:iCs/>
          <w:color w:val="000000"/>
          <w:spacing w:val="0"/>
          <w:w w:val="100"/>
          <w:position w:val="0"/>
          <w:shd w:val="clear" w:color="auto" w:fill="auto"/>
          <w:lang w:val="cs-CZ" w:eastAsia="cs-CZ" w:bidi="cs-CZ"/>
        </w:rPr>
        <w:t>V případě ukončení nájmu se nájemce zavazuje vyklidit předmět nájmu a odstranit veškeré stavby, bezpečnostní sloupky, a to nejpozději ke dni ukončení nájemního vztahu. Pro případ nesplnění povinnosti nájemce vyplývající z první věty tohoto bodu smlouvy bude předmět nájmu vyklizen na náklad nájemce. Nájemce se pronajímateli zavazuje uhradit veškeré náklady, které pronajímateli vzniknou v souvislosti s nesplněním povinnosti nájemce.</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33" w:name="bookmark33"/>
      <w:bookmarkEnd w:id="33"/>
      <w:r>
        <w:rPr>
          <w:i/>
          <w:iCs/>
          <w:color w:val="000000"/>
          <w:spacing w:val="0"/>
          <w:w w:val="100"/>
          <w:position w:val="0"/>
          <w:shd w:val="clear" w:color="auto" w:fill="auto"/>
          <w:lang w:val="cs-CZ" w:eastAsia="cs-CZ" w:bidi="cs-CZ"/>
        </w:rPr>
        <w:t>Nájemce se zavazuje pronajímateli uhradit v případě nesplnění povinnosti vyklidit předmět nájmu, jak je uvedeno v bodu 18 tohoto článku smlouvy, smluvní pokutu ve výši 200.000 Kč.</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34" w:name="bookmark34"/>
      <w:bookmarkEnd w:id="34"/>
      <w:r>
        <w:rPr>
          <w:i/>
          <w:iCs/>
          <w:color w:val="000000"/>
          <w:spacing w:val="0"/>
          <w:w w:val="100"/>
          <w:position w:val="0"/>
          <w:shd w:val="clear" w:color="auto" w:fill="auto"/>
          <w:lang w:val="cs-CZ" w:eastAsia="cs-CZ" w:bidi="cs-CZ"/>
        </w:rPr>
        <w:t>Nájemce se zavazuje za účelem zabezpečení ochrany zdraví osob a majetku, kontrolovat stav vegetace na pronajatém pozemku dendrologem, a to minimálně 1x za rok. V případě zjištěné závady na vegetaci, která by ohrožovala bezpečnost a zdraví osob či ohrožení majetku je nájemce povinen zabezpečit místo proti vstupu v dostatečné míře a závadu nahlásit pronajímateli, či ji se souhlasem pronajímatele odstranit.</w:t>
      </w:r>
    </w:p>
    <w:p>
      <w:pPr>
        <w:pStyle w:val="Style2"/>
        <w:keepNext w:val="0"/>
        <w:keepLines w:val="0"/>
        <w:widowControl w:val="0"/>
        <w:numPr>
          <w:ilvl w:val="0"/>
          <w:numId w:val="5"/>
        </w:numPr>
        <w:shd w:val="clear" w:color="auto" w:fill="auto"/>
        <w:tabs>
          <w:tab w:pos="430" w:val="left"/>
        </w:tabs>
        <w:bidi w:val="0"/>
        <w:spacing w:before="0" w:after="0" w:line="240" w:lineRule="auto"/>
        <w:ind w:left="460" w:right="0" w:hanging="460"/>
        <w:jc w:val="both"/>
      </w:pPr>
      <w:bookmarkStart w:id="35" w:name="bookmark35"/>
      <w:bookmarkEnd w:id="35"/>
      <w:r>
        <w:rPr>
          <w:i/>
          <w:iCs/>
          <w:color w:val="000000"/>
          <w:spacing w:val="0"/>
          <w:w w:val="100"/>
          <w:position w:val="0"/>
          <w:shd w:val="clear" w:color="auto" w:fill="auto"/>
          <w:lang w:val="cs-CZ" w:eastAsia="cs-CZ" w:bidi="cs-CZ"/>
        </w:rPr>
        <w:t>Nájemce se zavazuje předložit, a to nejpozději do šesti měsíců od podpisu této smlouvy, tyto dokumenty:</w:t>
      </w:r>
    </w:p>
    <w:p>
      <w:pPr>
        <w:pStyle w:val="Style2"/>
        <w:keepNext w:val="0"/>
        <w:keepLines w:val="0"/>
        <w:widowControl w:val="0"/>
        <w:shd w:val="clear" w:color="auto" w:fill="auto"/>
        <w:bidi w:val="0"/>
        <w:spacing w:before="0" w:after="0" w:line="228" w:lineRule="auto"/>
        <w:ind w:left="1180" w:right="0" w:hanging="360"/>
        <w:jc w:val="both"/>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platné Rozhodnutí o dodatečném povolení užívání dočasných staveb vydaného příslušným Stavebním úřadem v Kadani,</w:t>
      </w:r>
    </w:p>
    <w:p>
      <w:pPr>
        <w:pStyle w:val="Style2"/>
        <w:keepNext w:val="0"/>
        <w:keepLines w:val="0"/>
        <w:widowControl w:val="0"/>
        <w:shd w:val="clear" w:color="auto" w:fill="auto"/>
        <w:bidi w:val="0"/>
        <w:spacing w:before="0" w:after="0" w:line="218" w:lineRule="auto"/>
        <w:ind w:left="0" w:right="0" w:firstLine="820"/>
        <w:jc w:val="both"/>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 xml:space="preserve">^ </w:t>
      </w:r>
      <w:r>
        <w:rPr>
          <w:i/>
          <w:iCs/>
          <w:color w:val="000000"/>
          <w:spacing w:val="0"/>
          <w:w w:val="100"/>
          <w:position w:val="0"/>
          <w:shd w:val="clear" w:color="auto" w:fill="auto"/>
          <w:lang w:val="cs-CZ" w:eastAsia="cs-CZ" w:bidi="cs-CZ"/>
        </w:rPr>
        <w:t>povodňový plán schválený příslušným Vodoprávním úřadem</w:t>
      </w:r>
    </w:p>
    <w:p>
      <w:pPr>
        <w:pStyle w:val="Style2"/>
        <w:keepNext w:val="0"/>
        <w:keepLines w:val="0"/>
        <w:widowControl w:val="0"/>
        <w:numPr>
          <w:ilvl w:val="0"/>
          <w:numId w:val="5"/>
        </w:numPr>
        <w:shd w:val="clear" w:color="auto" w:fill="auto"/>
        <w:tabs>
          <w:tab w:pos="430" w:val="left"/>
        </w:tabs>
        <w:bidi w:val="0"/>
        <w:spacing w:before="0" w:after="120" w:line="240" w:lineRule="auto"/>
        <w:ind w:left="460" w:right="0" w:hanging="460"/>
        <w:jc w:val="both"/>
      </w:pPr>
      <w:bookmarkStart w:id="36" w:name="bookmark36"/>
      <w:bookmarkEnd w:id="36"/>
      <w:r>
        <w:rPr>
          <w:i/>
          <w:iCs/>
          <w:color w:val="000000"/>
          <w:spacing w:val="0"/>
          <w:w w:val="100"/>
          <w:position w:val="0"/>
          <w:shd w:val="clear" w:color="auto" w:fill="auto"/>
          <w:lang w:val="cs-CZ" w:eastAsia="cs-CZ" w:bidi="cs-CZ"/>
        </w:rPr>
        <w:t>V případě nesplnění povinností vyplývající z bodu 21 tohoto článku, pozbývá tato nájemní smlouva platnosti.</w:t>
      </w:r>
    </w:p>
    <w:p>
      <w:pPr>
        <w:pStyle w:val="Style10"/>
        <w:keepNext/>
        <w:keepLines/>
        <w:widowControl w:val="0"/>
        <w:shd w:val="clear" w:color="auto" w:fill="auto"/>
        <w:bidi w:val="0"/>
        <w:spacing w:before="0" w:after="0" w:line="240" w:lineRule="auto"/>
        <w:ind w:left="0" w:right="0" w:firstLine="0"/>
        <w:jc w:val="center"/>
      </w:pPr>
      <w:bookmarkStart w:id="37" w:name="bookmark37"/>
      <w:bookmarkStart w:id="38" w:name="bookmark38"/>
      <w:bookmarkStart w:id="39" w:name="bookmark39"/>
      <w:r>
        <w:rPr>
          <w:color w:val="000000"/>
          <w:spacing w:val="0"/>
          <w:w w:val="100"/>
          <w:position w:val="0"/>
          <w:shd w:val="clear" w:color="auto" w:fill="auto"/>
          <w:lang w:val="cs-CZ" w:eastAsia="cs-CZ" w:bidi="cs-CZ"/>
        </w:rPr>
        <w:t>II. COMPLIANCE DOLOŽKA</w:t>
      </w:r>
      <w:bookmarkEnd w:id="37"/>
      <w:bookmarkEnd w:id="38"/>
      <w:bookmarkEnd w:id="39"/>
    </w:p>
    <w:p>
      <w:pPr>
        <w:pStyle w:val="Style2"/>
        <w:keepNext w:val="0"/>
        <w:keepLines w:val="0"/>
        <w:widowControl w:val="0"/>
        <w:numPr>
          <w:ilvl w:val="0"/>
          <w:numId w:val="7"/>
        </w:numPr>
        <w:shd w:val="clear" w:color="auto" w:fill="auto"/>
        <w:tabs>
          <w:tab w:pos="430" w:val="left"/>
        </w:tabs>
        <w:bidi w:val="0"/>
        <w:spacing w:before="0" w:after="0" w:line="240" w:lineRule="auto"/>
        <w:ind w:left="460" w:right="0" w:hanging="460"/>
        <w:jc w:val="both"/>
      </w:pPr>
      <w:bookmarkStart w:id="40" w:name="bookmark40"/>
      <w:bookmarkEnd w:id="40"/>
      <w:r>
        <w:rPr>
          <w:color w:val="000000"/>
          <w:spacing w:val="0"/>
          <w:w w:val="100"/>
          <w:position w:val="0"/>
          <w:shd w:val="clear" w:color="auto" w:fill="auto"/>
          <w:lang w:val="cs-CZ" w:eastAsia="cs-CZ" w:bidi="cs-CZ"/>
        </w:rPr>
        <w:t>Smluvní strany níže svým podpisem stvrzují, že v průběhu vyjednávání o tomto dodatku vždy jednaly a postupovaly čestně a transparentně, a současně se zavazují, že takto budou jednat i při plnění dodatku a smlouvy a veškerých činností s ní souvisejících.</w:t>
      </w:r>
    </w:p>
    <w:p>
      <w:pPr>
        <w:pStyle w:val="Style2"/>
        <w:keepNext w:val="0"/>
        <w:keepLines w:val="0"/>
        <w:widowControl w:val="0"/>
        <w:numPr>
          <w:ilvl w:val="0"/>
          <w:numId w:val="7"/>
        </w:numPr>
        <w:shd w:val="clear" w:color="auto" w:fill="auto"/>
        <w:tabs>
          <w:tab w:pos="430" w:val="left"/>
        </w:tabs>
        <w:bidi w:val="0"/>
        <w:spacing w:before="0" w:after="0" w:line="240" w:lineRule="auto"/>
        <w:ind w:left="460" w:right="0" w:hanging="460"/>
        <w:jc w:val="both"/>
      </w:pPr>
      <w:bookmarkStart w:id="41" w:name="bookmark41"/>
      <w:bookmarkEnd w:id="4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v platném znění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7"/>
        </w:numPr>
        <w:shd w:val="clear" w:color="auto" w:fill="auto"/>
        <w:tabs>
          <w:tab w:pos="430" w:val="left"/>
        </w:tabs>
        <w:bidi w:val="0"/>
        <w:spacing w:before="0" w:after="0" w:line="240" w:lineRule="auto"/>
        <w:ind w:left="460" w:right="0" w:hanging="460"/>
        <w:jc w:val="both"/>
      </w:pPr>
      <w:bookmarkStart w:id="42" w:name="bookmark42"/>
      <w:bookmarkEnd w:id="42"/>
      <w:r>
        <w:rPr>
          <w:color w:val="000000"/>
          <w:spacing w:val="0"/>
          <w:w w:val="100"/>
          <w:position w:val="0"/>
          <w:shd w:val="clear" w:color="auto" w:fill="auto"/>
          <w:lang w:val="cs-CZ" w:eastAsia="cs-CZ" w:bidi="cs-CZ"/>
        </w:rPr>
        <w:t xml:space="preserve">Nájemce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Nájemce se při plnění tohoto dodatku zavazuje po celou dobu jeho trvání dodržovat</w:t>
        <w:br w:type="page"/>
      </w:r>
      <w:r>
        <w:rPr>
          <w:color w:val="000000"/>
          <w:spacing w:val="0"/>
          <w:w w:val="100"/>
          <w:position w:val="0"/>
          <w:shd w:val="clear" w:color="auto" w:fill="auto"/>
          <w:lang w:val="cs-CZ" w:eastAsia="cs-CZ" w:bidi="cs-CZ"/>
        </w:rPr>
        <w:t>zásady a hodnoty obsažené v uvedených dokumentech, pokud to jejich povaha umožňuje.</w:t>
      </w:r>
    </w:p>
    <w:p>
      <w:pPr>
        <w:pStyle w:val="Style2"/>
        <w:keepNext w:val="0"/>
        <w:keepLines w:val="0"/>
        <w:widowControl w:val="0"/>
        <w:numPr>
          <w:ilvl w:val="0"/>
          <w:numId w:val="7"/>
        </w:numPr>
        <w:shd w:val="clear" w:color="auto" w:fill="auto"/>
        <w:tabs>
          <w:tab w:pos="401" w:val="left"/>
        </w:tabs>
        <w:bidi w:val="0"/>
        <w:spacing w:before="0" w:after="140" w:line="240" w:lineRule="auto"/>
        <w:ind w:left="460" w:right="0" w:hanging="460"/>
        <w:jc w:val="both"/>
      </w:pPr>
      <w:bookmarkStart w:id="43" w:name="bookmark43"/>
      <w:bookmarkEnd w:id="4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tímto dodatkem, zejména trestného činu korupční povahy, a to bez ohledu a nad rámec případné zákonné oznamovací povinnosti; obdobné platí ve vztahu k jednání, které je v rozporu se zásadami vyjádřenými v tomto článku.</w:t>
      </w:r>
    </w:p>
    <w:p>
      <w:pPr>
        <w:pStyle w:val="Style10"/>
        <w:keepNext/>
        <w:keepLines/>
        <w:widowControl w:val="0"/>
        <w:numPr>
          <w:ilvl w:val="0"/>
          <w:numId w:val="9"/>
        </w:numPr>
        <w:shd w:val="clear" w:color="auto" w:fill="auto"/>
        <w:tabs>
          <w:tab w:pos="410" w:val="left"/>
        </w:tabs>
        <w:bidi w:val="0"/>
        <w:spacing w:before="0" w:after="0" w:line="240" w:lineRule="auto"/>
        <w:ind w:left="0" w:right="0" w:firstLine="0"/>
        <w:jc w:val="center"/>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OCHRANA A ZPRACOVÁNÍ OSOBNÍCH ÚDAJŮ</w:t>
      </w:r>
      <w:bookmarkEnd w:id="44"/>
      <w:bookmarkEnd w:id="45"/>
      <w:bookmarkEnd w:id="47"/>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V případě, že v souvislosti s tímto dodatkem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r>
      <w:r>
        <w:rPr>
          <w:rFonts w:ascii="Times New Roman" w:eastAsia="Times New Roman" w:hAnsi="Times New Roman" w:cs="Times New Roman"/>
          <w:color w:val="000000"/>
          <w:spacing w:val="0"/>
          <w:w w:val="100"/>
          <w:position w:val="0"/>
          <w:shd w:val="clear" w:color="auto" w:fill="auto"/>
          <w:lang w:val="cs-CZ" w:eastAsia="cs-CZ" w:bidi="cs-CZ"/>
        </w:rPr>
        <w:t xml:space="preserve">,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http://www.poh.cz/informace-o- zpracovani-osobnich-udaju/d-1369/p1=1459</w:t>
      </w:r>
      <w:r>
        <w:fldChar w:fldCharType="end"/>
      </w:r>
    </w:p>
    <w:p>
      <w:pPr>
        <w:pStyle w:val="Style10"/>
        <w:keepNext/>
        <w:keepLines/>
        <w:widowControl w:val="0"/>
        <w:numPr>
          <w:ilvl w:val="0"/>
          <w:numId w:val="9"/>
        </w:numPr>
        <w:shd w:val="clear" w:color="auto" w:fill="auto"/>
        <w:tabs>
          <w:tab w:pos="434" w:val="left"/>
        </w:tabs>
        <w:bidi w:val="0"/>
        <w:spacing w:before="0" w:after="0" w:line="240" w:lineRule="auto"/>
        <w:ind w:left="0" w:right="0" w:firstLine="0"/>
        <w:jc w:val="center"/>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ZÁVĚREČNÁ USTANOVENÍ</w:t>
      </w:r>
      <w:bookmarkEnd w:id="48"/>
      <w:bookmarkEnd w:id="49"/>
      <w:bookmarkEnd w:id="51"/>
    </w:p>
    <w:p>
      <w:pPr>
        <w:pStyle w:val="Style2"/>
        <w:keepNext w:val="0"/>
        <w:keepLines w:val="0"/>
        <w:widowControl w:val="0"/>
        <w:numPr>
          <w:ilvl w:val="0"/>
          <w:numId w:val="11"/>
        </w:numPr>
        <w:shd w:val="clear" w:color="auto" w:fill="auto"/>
        <w:tabs>
          <w:tab w:pos="401" w:val="left"/>
        </w:tabs>
        <w:bidi w:val="0"/>
        <w:spacing w:before="0" w:after="0" w:line="240" w:lineRule="auto"/>
        <w:ind w:left="0" w:right="0" w:firstLine="0"/>
        <w:jc w:val="left"/>
      </w:pPr>
      <w:bookmarkStart w:id="52" w:name="bookmark52"/>
      <w:bookmarkEnd w:id="52"/>
      <w:r>
        <w:rPr>
          <w:color w:val="000000"/>
          <w:spacing w:val="0"/>
          <w:w w:val="100"/>
          <w:position w:val="0"/>
          <w:shd w:val="clear" w:color="auto" w:fill="auto"/>
          <w:lang w:val="cs-CZ" w:eastAsia="cs-CZ" w:bidi="cs-CZ"/>
        </w:rPr>
        <w:t>Tento dodatek je vyhotoven 4x, nájemce si ponechá 1 vyhotovení a pronajímatel 3 vyhotovení.</w:t>
      </w:r>
    </w:p>
    <w:p>
      <w:pPr>
        <w:pStyle w:val="Style2"/>
        <w:keepNext w:val="0"/>
        <w:keepLines w:val="0"/>
        <w:widowControl w:val="0"/>
        <w:numPr>
          <w:ilvl w:val="0"/>
          <w:numId w:val="11"/>
        </w:numPr>
        <w:shd w:val="clear" w:color="auto" w:fill="auto"/>
        <w:tabs>
          <w:tab w:pos="401" w:val="left"/>
        </w:tabs>
        <w:bidi w:val="0"/>
        <w:spacing w:before="0" w:after="0" w:line="240" w:lineRule="auto"/>
        <w:ind w:left="460" w:right="0" w:hanging="460"/>
        <w:jc w:val="both"/>
      </w:pPr>
      <w:bookmarkStart w:id="53" w:name="bookmark53"/>
      <w:bookmarkEnd w:id="53"/>
      <w:r>
        <w:rPr>
          <w:color w:val="000000"/>
          <w:spacing w:val="0"/>
          <w:w w:val="100"/>
          <w:position w:val="0"/>
          <w:shd w:val="clear" w:color="auto" w:fill="auto"/>
          <w:lang w:val="cs-CZ" w:eastAsia="cs-CZ" w:bidi="cs-CZ"/>
        </w:rPr>
        <w:t>Dodatek č. 1 k nájemní smlouvě č. 257/2021uzavřené dne 7. 5. 2021 nabývá platnosti dnem podpisu oběma smluvními stranami.</w:t>
      </w:r>
    </w:p>
    <w:p>
      <w:pPr>
        <w:pStyle w:val="Style2"/>
        <w:keepNext w:val="0"/>
        <w:keepLines w:val="0"/>
        <w:widowControl w:val="0"/>
        <w:numPr>
          <w:ilvl w:val="0"/>
          <w:numId w:val="11"/>
        </w:numPr>
        <w:shd w:val="clear" w:color="auto" w:fill="auto"/>
        <w:tabs>
          <w:tab w:pos="401" w:val="left"/>
        </w:tabs>
        <w:bidi w:val="0"/>
        <w:spacing w:before="0" w:after="0" w:line="240" w:lineRule="auto"/>
        <w:ind w:left="460" w:right="0" w:hanging="460"/>
        <w:jc w:val="both"/>
      </w:pPr>
      <w:bookmarkStart w:id="54" w:name="bookmark54"/>
      <w:bookmarkEnd w:id="54"/>
      <w:r>
        <w:rPr>
          <w:color w:val="000000"/>
          <w:spacing w:val="0"/>
          <w:w w:val="100"/>
          <w:position w:val="0"/>
          <w:shd w:val="clear" w:color="auto" w:fill="auto"/>
          <w:lang w:val="cs-CZ" w:eastAsia="cs-CZ" w:bidi="cs-CZ"/>
        </w:rPr>
        <w:t>Dle ustanovení čl. 6, odst. 6, bodu 7 statutu Povodí Ohře, státního podniku, v platném znění není k tomuto dodatku nutný písemný souhlas zakladatele Povodí Ohře, státního podniku, tj. Ministerstva zemědělství ČR.</w:t>
      </w:r>
    </w:p>
    <w:p>
      <w:pPr>
        <w:pStyle w:val="Style2"/>
        <w:keepNext w:val="0"/>
        <w:keepLines w:val="0"/>
        <w:widowControl w:val="0"/>
        <w:numPr>
          <w:ilvl w:val="0"/>
          <w:numId w:val="11"/>
        </w:numPr>
        <w:shd w:val="clear" w:color="auto" w:fill="auto"/>
        <w:tabs>
          <w:tab w:pos="401" w:val="left"/>
        </w:tabs>
        <w:bidi w:val="0"/>
        <w:spacing w:before="0" w:after="0" w:line="240" w:lineRule="auto"/>
        <w:ind w:left="460" w:right="0" w:hanging="460"/>
        <w:jc w:val="both"/>
      </w:pPr>
      <w:bookmarkStart w:id="55" w:name="bookmark55"/>
      <w:bookmarkEnd w:id="55"/>
      <w:r>
        <w:rPr>
          <w:color w:val="000000"/>
          <w:spacing w:val="0"/>
          <w:w w:val="100"/>
          <w:position w:val="0"/>
          <w:shd w:val="clear" w:color="auto" w:fill="auto"/>
          <w:lang w:val="cs-CZ" w:eastAsia="cs-CZ" w:bidi="cs-CZ"/>
        </w:rPr>
        <w:t>Smluvní strany berou na vědomí, že Povodí Ohře, státní podnik, je povinen zveřejnit obraz dodatku včetně metadat požadovaných k uveřejnění dle zákona č. 340/2015 Sb. o registru smluv. Zveřejnění dodatku a metadat v registru smluv zajistí Povodí Ohře, státní podnik, který má právo tento dodatek zveřejnit rovněž v pochybnostech o tom, zda tento dodatek zveřejnění podléhá či nikoliv.</w:t>
      </w:r>
    </w:p>
    <w:p>
      <w:pPr>
        <w:pStyle w:val="Style2"/>
        <w:keepNext w:val="0"/>
        <w:keepLines w:val="0"/>
        <w:widowControl w:val="0"/>
        <w:numPr>
          <w:ilvl w:val="0"/>
          <w:numId w:val="11"/>
        </w:numPr>
        <w:shd w:val="clear" w:color="auto" w:fill="auto"/>
        <w:tabs>
          <w:tab w:pos="401" w:val="left"/>
        </w:tabs>
        <w:bidi w:val="0"/>
        <w:spacing w:before="0" w:after="0" w:line="240" w:lineRule="auto"/>
        <w:ind w:left="460" w:right="0" w:hanging="460"/>
        <w:jc w:val="both"/>
      </w:pPr>
      <w:bookmarkStart w:id="56" w:name="bookmark56"/>
      <w:bookmarkEnd w:id="56"/>
      <w:r>
        <w:rPr>
          <w:color w:val="000000"/>
          <w:spacing w:val="0"/>
          <w:w w:val="100"/>
          <w:position w:val="0"/>
          <w:shd w:val="clear" w:color="auto" w:fill="auto"/>
          <w:lang w:val="cs-CZ" w:eastAsia="cs-CZ" w:bidi="cs-CZ"/>
        </w:rPr>
        <w:t>Tento dodatek je sepsán dle příslušných ustanovení občanského zákoníku včetně předpisů souvisejících.</w:t>
      </w:r>
    </w:p>
    <w:p>
      <w:pPr>
        <w:pStyle w:val="Style2"/>
        <w:keepNext w:val="0"/>
        <w:keepLines w:val="0"/>
        <w:widowControl w:val="0"/>
        <w:numPr>
          <w:ilvl w:val="0"/>
          <w:numId w:val="11"/>
        </w:numPr>
        <w:shd w:val="clear" w:color="auto" w:fill="auto"/>
        <w:tabs>
          <w:tab w:pos="401" w:val="left"/>
        </w:tabs>
        <w:bidi w:val="0"/>
        <w:spacing w:before="0" w:after="0" w:line="240" w:lineRule="auto"/>
        <w:ind w:left="0" w:right="0" w:firstLine="0"/>
        <w:jc w:val="both"/>
      </w:pPr>
      <w:bookmarkStart w:id="57" w:name="bookmark57"/>
      <w:bookmarkEnd w:id="57"/>
      <w:r>
        <w:rPr>
          <w:color w:val="000000"/>
          <w:spacing w:val="0"/>
          <w:w w:val="100"/>
          <w:position w:val="0"/>
          <w:shd w:val="clear" w:color="auto" w:fill="auto"/>
          <w:lang w:val="cs-CZ" w:eastAsia="cs-CZ" w:bidi="cs-CZ"/>
        </w:rPr>
        <w:t>Smluvní strany nepovažují žádné ustanovení tohoto dodatku za obchodní tajemství.</w:t>
      </w:r>
    </w:p>
    <w:p>
      <w:pPr>
        <w:pStyle w:val="Style2"/>
        <w:keepNext w:val="0"/>
        <w:keepLines w:val="0"/>
        <w:widowControl w:val="0"/>
        <w:numPr>
          <w:ilvl w:val="0"/>
          <w:numId w:val="11"/>
        </w:numPr>
        <w:shd w:val="clear" w:color="auto" w:fill="auto"/>
        <w:tabs>
          <w:tab w:pos="401" w:val="left"/>
        </w:tabs>
        <w:bidi w:val="0"/>
        <w:spacing w:before="0" w:after="0" w:line="240" w:lineRule="auto"/>
        <w:ind w:left="460" w:right="0" w:hanging="460"/>
        <w:jc w:val="both"/>
      </w:pPr>
      <w:bookmarkStart w:id="58" w:name="bookmark58"/>
      <w:bookmarkEnd w:id="58"/>
      <w:r>
        <w:rPr>
          <w:color w:val="000000"/>
          <w:spacing w:val="0"/>
          <w:w w:val="100"/>
          <w:position w:val="0"/>
          <w:shd w:val="clear" w:color="auto" w:fill="auto"/>
          <w:lang w:val="cs-CZ" w:eastAsia="cs-CZ" w:bidi="cs-CZ"/>
        </w:rPr>
        <w:t>Smluvní strany prohlašují, že tento dodatek odpovídá jejich pravé a svobodné vůli, seznámily se s jeho obsahem a na důkaz svého souhlasu ji podepisují.</w:t>
      </w:r>
    </w:p>
    <w:p>
      <w:pPr>
        <w:pStyle w:val="Style2"/>
        <w:keepNext w:val="0"/>
        <w:keepLines w:val="0"/>
        <w:widowControl w:val="0"/>
        <w:numPr>
          <w:ilvl w:val="0"/>
          <w:numId w:val="11"/>
        </w:numPr>
        <w:shd w:val="clear" w:color="auto" w:fill="auto"/>
        <w:tabs>
          <w:tab w:pos="401" w:val="left"/>
        </w:tabs>
        <w:bidi w:val="0"/>
        <w:spacing w:before="0" w:after="140" w:line="240" w:lineRule="auto"/>
        <w:ind w:left="0" w:right="0" w:firstLine="0"/>
        <w:jc w:val="both"/>
      </w:pPr>
      <w:bookmarkStart w:id="59" w:name="bookmark59"/>
      <w:bookmarkEnd w:id="59"/>
      <w:r>
        <w:rPr>
          <w:color w:val="000000"/>
          <w:spacing w:val="0"/>
          <w:w w:val="100"/>
          <w:position w:val="0"/>
          <w:shd w:val="clear" w:color="auto" w:fill="auto"/>
          <w:lang w:val="cs-CZ" w:eastAsia="cs-CZ" w:bidi="cs-CZ"/>
        </w:rPr>
        <w:t>Ostatní ustanovení Nájemní smlouvy č. 257/2021 zůstávají nezměněna.</w:t>
      </w:r>
    </w:p>
    <w:p>
      <w:pPr>
        <w:pStyle w:val="Style2"/>
        <w:keepNext w:val="0"/>
        <w:keepLines w:val="0"/>
        <w:widowControl w:val="0"/>
        <w:shd w:val="clear" w:color="auto" w:fill="auto"/>
        <w:bidi w:val="0"/>
        <w:spacing w:before="0" w:after="14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3692525</wp:posOffset>
                </wp:positionH>
                <wp:positionV relativeFrom="paragraph">
                  <wp:posOffset>241300</wp:posOffset>
                </wp:positionV>
                <wp:extent cx="1703705" cy="429895"/>
                <wp:wrapSquare wrapText="left"/>
                <wp:docPr id="1" name="Shape 1"/>
                <a:graphic xmlns:a="http://schemas.openxmlformats.org/drawingml/2006/main">
                  <a:graphicData uri="http://schemas.microsoft.com/office/word/2010/wordprocessingShape">
                    <wps:wsp>
                      <wps:cNvSpPr txBox="1"/>
                      <wps:spPr>
                        <a:xfrm>
                          <a:ext cx="1703705" cy="429895"/>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0.75pt;margin-top:19.pt;width:134.15000000000001pt;height:33.8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Chomutově, dne:</w:t>
                      </w:r>
                    </w:p>
                  </w:txbxContent>
                </v:textbox>
                <w10:wrap type="square" side="left" anchorx="page"/>
              </v:shape>
            </w:pict>
          </mc:Fallback>
        </mc:AlternateContent>
      </w:r>
      <w:r>
        <w:rPr>
          <w:i/>
          <w:iCs/>
          <w:color w:val="000000"/>
          <w:spacing w:val="0"/>
          <w:w w:val="100"/>
          <w:position w:val="0"/>
          <w:shd w:val="clear" w:color="auto" w:fill="auto"/>
          <w:lang w:val="cs-CZ" w:eastAsia="cs-CZ" w:bidi="cs-CZ"/>
        </w:rPr>
        <w:t>Příloha č. 1: vyjádření č. POH/03757/2025-2/032400</w:t>
      </w:r>
    </w:p>
    <w:p>
      <w:pPr>
        <w:pStyle w:val="Style2"/>
        <w:keepNext w:val="0"/>
        <w:keepLines w:val="0"/>
        <w:widowControl w:val="0"/>
        <w:shd w:val="clear" w:color="auto" w:fill="auto"/>
        <w:bidi w:val="0"/>
        <w:spacing w:before="0" w:after="40" w:line="240" w:lineRule="auto"/>
        <w:ind w:left="0" w:right="0" w:firstLine="0"/>
        <w:jc w:val="both"/>
      </w:pPr>
      <w:r>
        <w:rPr>
          <w:i/>
          <w:iCs/>
          <w:color w:val="000000"/>
          <w:spacing w:val="0"/>
          <w:w w:val="100"/>
          <w:position w:val="0"/>
          <w:shd w:val="clear" w:color="auto" w:fill="auto"/>
          <w:lang w:val="cs-CZ" w:eastAsia="cs-CZ" w:bidi="cs-CZ"/>
        </w:rPr>
        <w:t>Za nájemce:</w:t>
      </w:r>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033" w:left="1389" w:right="1379" w:bottom="1766" w:header="605" w:footer="3" w:gutter="0"/>
          <w:pgNumType w:start="1"/>
          <w:cols w:space="720"/>
          <w:noEndnote/>
          <w:rtlGutter w:val="0"/>
          <w:docGrid w:linePitch="360"/>
        </w:sectPr>
      </w:pPr>
      <w:r>
        <w:rPr>
          <w:color w:val="000000"/>
          <w:spacing w:val="0"/>
          <w:w w:val="100"/>
          <w:position w:val="0"/>
          <w:shd w:val="clear" w:color="auto" w:fill="auto"/>
          <w:lang w:val="cs-CZ" w:eastAsia="cs-CZ" w:bidi="cs-CZ"/>
        </w:rPr>
        <w:t>V ………………, dne:</w:t>
      </w: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28" w:left="0" w:right="0" w:bottom="171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předseda spolku</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28" w:left="1389" w:right="1778" w:bottom="1718" w:header="0" w:footer="3" w:gutter="0"/>
          <w:cols w:num="2" w:space="2011"/>
          <w:noEndnote/>
          <w:rtlGutter w:val="0"/>
          <w:docGrid w:linePitch="360"/>
        </w:sectPr>
      </w:pPr>
      <w:r>
        <w:rPr>
          <w:color w:val="000000"/>
          <w:spacing w:val="0"/>
          <w:w w:val="100"/>
          <w:position w:val="0"/>
          <w:shd w:val="clear" w:color="auto" w:fill="auto"/>
          <w:lang w:val="cs-CZ" w:eastAsia="cs-CZ" w:bidi="cs-CZ"/>
        </w:rPr>
        <w:t>………………………………………….. ekonomický ředitel</w:t>
      </w:r>
    </w:p>
    <w:sectPr>
      <w:footnotePr>
        <w:pos w:val="pageBottom"/>
        <w:numFmt w:val="decimal"/>
        <w:numRestart w:val="continuous"/>
      </w:footnotePr>
      <w:type w:val="continuous"/>
      <w:pgSz w:w="11909" w:h="16838"/>
      <w:pgMar w:top="1128" w:left="1389" w:right="1778" w:bottom="1718" w:header="0" w:footer="3" w:gutter="0"/>
      <w:cols w:num="2" w:space="201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6588125</wp:posOffset>
              </wp:positionH>
              <wp:positionV relativeFrom="page">
                <wp:posOffset>9634220</wp:posOffset>
              </wp:positionV>
              <wp:extent cx="64135" cy="170815"/>
              <wp:wrapNone/>
              <wp:docPr id="3" name="Shape 3"/>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518.75pt;margin-top:758.60000000000002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jc w:val="center"/>
      <w:outlineLvl w:val="0"/>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D O D A T E K     č</dc:title>
  <dc:subject/>
  <dc:creator>Povodí Ohře a.s.</dc:creator>
  <cp:keywords/>
</cp:coreProperties>
</file>