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5C7F" w14:textId="1BF51F98" w:rsidR="00526699" w:rsidRPr="009D1F14" w:rsidRDefault="00526699" w:rsidP="00195E21">
      <w:pPr>
        <w:spacing w:after="60" w:line="240" w:lineRule="auto"/>
        <w:jc w:val="center"/>
        <w:rPr>
          <w:rFonts w:asciiTheme="majorHAnsi" w:hAnsiTheme="majorHAnsi"/>
          <w:b/>
        </w:rPr>
      </w:pPr>
      <w:r w:rsidRPr="009D1F14">
        <w:rPr>
          <w:rFonts w:asciiTheme="majorHAnsi" w:hAnsiTheme="majorHAnsi"/>
          <w:b/>
        </w:rPr>
        <w:t xml:space="preserve">Dodatek č. </w:t>
      </w:r>
      <w:r w:rsidR="00A44F14" w:rsidRPr="009D1F14">
        <w:rPr>
          <w:rFonts w:asciiTheme="majorHAnsi" w:hAnsiTheme="majorHAnsi"/>
          <w:b/>
        </w:rPr>
        <w:t>1</w:t>
      </w:r>
    </w:p>
    <w:p w14:paraId="35B34549" w14:textId="7726E2D6" w:rsidR="0003570F" w:rsidRPr="009D1F14" w:rsidRDefault="00526699" w:rsidP="00647C05">
      <w:pPr>
        <w:spacing w:line="240" w:lineRule="auto"/>
        <w:jc w:val="center"/>
        <w:rPr>
          <w:rFonts w:asciiTheme="majorHAnsi" w:hAnsiTheme="majorHAnsi"/>
          <w:b/>
        </w:rPr>
      </w:pPr>
      <w:r w:rsidRPr="009D1F14">
        <w:rPr>
          <w:rFonts w:asciiTheme="majorHAnsi" w:hAnsiTheme="majorHAnsi"/>
          <w:b/>
        </w:rPr>
        <w:t xml:space="preserve">ke </w:t>
      </w:r>
      <w:r w:rsidR="00B535F7" w:rsidRPr="009D1F14">
        <w:rPr>
          <w:rFonts w:asciiTheme="majorHAnsi" w:hAnsiTheme="majorHAnsi"/>
          <w:b/>
        </w:rPr>
        <w:t>S</w:t>
      </w:r>
      <w:r w:rsidR="00CA492F" w:rsidRPr="009D1F14">
        <w:rPr>
          <w:rFonts w:asciiTheme="majorHAnsi" w:hAnsiTheme="majorHAnsi"/>
          <w:b/>
        </w:rPr>
        <w:t>mlouv</w:t>
      </w:r>
      <w:r w:rsidRPr="009D1F14">
        <w:rPr>
          <w:rFonts w:asciiTheme="majorHAnsi" w:hAnsiTheme="majorHAnsi"/>
          <w:b/>
        </w:rPr>
        <w:t>ě</w:t>
      </w:r>
      <w:r w:rsidR="00CA492F" w:rsidRPr="009D1F14">
        <w:rPr>
          <w:rFonts w:asciiTheme="majorHAnsi" w:hAnsiTheme="majorHAnsi"/>
          <w:b/>
        </w:rPr>
        <w:t xml:space="preserve"> </w:t>
      </w:r>
      <w:r w:rsidR="00CA0ECA" w:rsidRPr="009D1F14">
        <w:rPr>
          <w:rFonts w:asciiTheme="majorHAnsi" w:hAnsiTheme="majorHAnsi"/>
          <w:b/>
        </w:rPr>
        <w:t>o poskytování bezpečnostních služeb č.</w:t>
      </w:r>
      <w:r w:rsidR="00C62F3D" w:rsidRPr="009D1F14">
        <w:rPr>
          <w:rFonts w:asciiTheme="majorHAnsi" w:hAnsiTheme="majorHAnsi"/>
          <w:b/>
        </w:rPr>
        <w:t xml:space="preserve"> </w:t>
      </w:r>
      <w:r w:rsidR="005F6E9C" w:rsidRPr="005F6E9C">
        <w:rPr>
          <w:rFonts w:asciiTheme="majorHAnsi" w:hAnsiTheme="majorHAnsi"/>
          <w:b/>
        </w:rPr>
        <w:t>2024/06/0036</w:t>
      </w:r>
      <w:r w:rsidR="006C0F7B" w:rsidRPr="009D1F14">
        <w:rPr>
          <w:rFonts w:asciiTheme="majorHAnsi" w:hAnsiTheme="majorHAnsi"/>
          <w:b/>
        </w:rPr>
        <w:t xml:space="preserve"> ze dne </w:t>
      </w:r>
      <w:r w:rsidR="00237E79" w:rsidRPr="009D1F14">
        <w:rPr>
          <w:rFonts w:asciiTheme="majorHAnsi" w:hAnsiTheme="majorHAnsi"/>
          <w:b/>
        </w:rPr>
        <w:t>2</w:t>
      </w:r>
      <w:r w:rsidR="005F6E9C">
        <w:rPr>
          <w:rFonts w:asciiTheme="majorHAnsi" w:hAnsiTheme="majorHAnsi"/>
          <w:b/>
        </w:rPr>
        <w:t>7</w:t>
      </w:r>
      <w:r w:rsidR="006C0F7B" w:rsidRPr="009D1F14">
        <w:rPr>
          <w:rFonts w:asciiTheme="majorHAnsi" w:hAnsiTheme="majorHAnsi"/>
          <w:b/>
        </w:rPr>
        <w:t>.</w:t>
      </w:r>
      <w:r w:rsidR="008C0718" w:rsidRPr="009D1F14">
        <w:rPr>
          <w:rFonts w:asciiTheme="majorHAnsi" w:hAnsiTheme="majorHAnsi"/>
          <w:b/>
        </w:rPr>
        <w:t>0</w:t>
      </w:r>
      <w:r w:rsidR="005F6E9C">
        <w:rPr>
          <w:rFonts w:asciiTheme="majorHAnsi" w:hAnsiTheme="majorHAnsi"/>
          <w:b/>
        </w:rPr>
        <w:t>6</w:t>
      </w:r>
      <w:r w:rsidR="006C0F7B" w:rsidRPr="009D1F14">
        <w:rPr>
          <w:rFonts w:asciiTheme="majorHAnsi" w:hAnsiTheme="majorHAnsi"/>
          <w:b/>
        </w:rPr>
        <w:t>.202</w:t>
      </w:r>
      <w:r w:rsidR="00ED27BC" w:rsidRPr="009D1F14">
        <w:rPr>
          <w:rFonts w:asciiTheme="majorHAnsi" w:hAnsiTheme="majorHAnsi"/>
          <w:b/>
        </w:rPr>
        <w:t>4</w:t>
      </w:r>
      <w:r w:rsidR="003C1FCC" w:rsidRPr="009D1F14">
        <w:rPr>
          <w:rFonts w:asciiTheme="majorHAnsi" w:hAnsiTheme="majorHAnsi"/>
          <w:b/>
        </w:rPr>
        <w:t xml:space="preserve"> </w:t>
      </w:r>
      <w:r w:rsidR="0003570F" w:rsidRPr="009D1F14">
        <w:rPr>
          <w:rFonts w:asciiTheme="majorHAnsi" w:hAnsiTheme="majorHAnsi"/>
          <w:b/>
        </w:rPr>
        <w:t>(dále jen „Smlouva“)</w:t>
      </w:r>
    </w:p>
    <w:p w14:paraId="3975D07F" w14:textId="54C61EEF" w:rsidR="006C0F7B" w:rsidRPr="009D1F14" w:rsidRDefault="00E75E10" w:rsidP="006C0F7B">
      <w:pPr>
        <w:spacing w:line="240" w:lineRule="auto"/>
        <w:jc w:val="center"/>
        <w:rPr>
          <w:rFonts w:asciiTheme="majorHAnsi" w:hAnsiTheme="majorHAnsi"/>
          <w:b/>
        </w:rPr>
      </w:pPr>
      <w:r w:rsidRPr="009D1F14">
        <w:rPr>
          <w:rFonts w:asciiTheme="majorHAnsi" w:hAnsiTheme="majorHAnsi"/>
          <w:b/>
        </w:rPr>
        <w:tab/>
      </w:r>
    </w:p>
    <w:p w14:paraId="77CC5CD8" w14:textId="77777777" w:rsidR="00CA0ECA" w:rsidRPr="009D1F14" w:rsidRDefault="00CA0ECA" w:rsidP="00227427">
      <w:pPr>
        <w:spacing w:line="240" w:lineRule="auto"/>
        <w:rPr>
          <w:rFonts w:asciiTheme="majorHAnsi" w:hAnsiTheme="majorHAnsi"/>
          <w:b/>
        </w:rPr>
      </w:pPr>
      <w:r w:rsidRPr="009D1F14">
        <w:rPr>
          <w:rFonts w:asciiTheme="majorHAnsi" w:hAnsiTheme="majorHAnsi"/>
          <w:b/>
        </w:rPr>
        <w:t>Smluvní strany</w:t>
      </w:r>
    </w:p>
    <w:p w14:paraId="7612B9F6" w14:textId="77777777" w:rsidR="00CA0ECA" w:rsidRPr="009D1F14" w:rsidRDefault="00CA0ECA" w:rsidP="00227427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rFonts w:asciiTheme="majorHAnsi" w:hAnsiTheme="majorHAnsi"/>
        </w:rPr>
      </w:pPr>
      <w:r w:rsidRPr="009D1F14">
        <w:rPr>
          <w:rFonts w:asciiTheme="majorHAnsi" w:hAnsiTheme="majorHAnsi"/>
        </w:rPr>
        <w:t>Muzeum umění Olomouc, státní příspěvková organizace</w:t>
      </w:r>
    </w:p>
    <w:p w14:paraId="4774F6FF" w14:textId="05E7C56D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  <w:t>se sídlem:</w:t>
      </w:r>
      <w:r w:rsidRPr="009D1F14">
        <w:rPr>
          <w:rFonts w:asciiTheme="majorHAnsi" w:hAnsiTheme="majorHAnsi"/>
        </w:rPr>
        <w:tab/>
      </w:r>
      <w:r w:rsidR="00CA492F"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 xml:space="preserve">Denisova 47, 771 </w:t>
      </w:r>
      <w:r w:rsidR="00EF5D6F">
        <w:rPr>
          <w:rFonts w:asciiTheme="majorHAnsi" w:hAnsiTheme="majorHAnsi"/>
        </w:rPr>
        <w:t>11</w:t>
      </w:r>
      <w:r w:rsidRPr="009D1F14">
        <w:rPr>
          <w:rFonts w:asciiTheme="majorHAnsi" w:hAnsiTheme="majorHAnsi"/>
        </w:rPr>
        <w:t xml:space="preserve"> Olomouc</w:t>
      </w:r>
    </w:p>
    <w:p w14:paraId="6D346C60" w14:textId="77777777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  <w:t xml:space="preserve">IČ: 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>75079950</w:t>
      </w:r>
      <w:r w:rsidR="00BC76C6" w:rsidRPr="009D1F14">
        <w:rPr>
          <w:rFonts w:asciiTheme="majorHAnsi" w:hAnsiTheme="majorHAnsi"/>
        </w:rPr>
        <w:t>, není plátce DPH</w:t>
      </w:r>
    </w:p>
    <w:p w14:paraId="0F2E939E" w14:textId="77777777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  <w:t>zastoupená:</w:t>
      </w:r>
      <w:r w:rsidRPr="009D1F14">
        <w:rPr>
          <w:rFonts w:asciiTheme="majorHAnsi" w:hAnsiTheme="majorHAnsi"/>
        </w:rPr>
        <w:tab/>
      </w:r>
      <w:r w:rsidR="00CA492F"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>Mgr. Ondřejem Zatloukalem, ředitelem</w:t>
      </w:r>
    </w:p>
    <w:p w14:paraId="08E1C7E1" w14:textId="1411B645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</w:r>
      <w:r w:rsidR="00CA492F" w:rsidRPr="009D1F14">
        <w:rPr>
          <w:rFonts w:asciiTheme="majorHAnsi" w:hAnsiTheme="majorHAnsi"/>
        </w:rPr>
        <w:t>bankovní spojení:</w:t>
      </w:r>
      <w:r w:rsidR="009E4902"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>Česká národní banka, Rooseveltova 18, 601</w:t>
      </w:r>
      <w:r w:rsidR="00EF5D6F">
        <w:rPr>
          <w:rFonts w:asciiTheme="majorHAnsi" w:hAnsiTheme="majorHAnsi"/>
        </w:rPr>
        <w:t xml:space="preserve"> </w:t>
      </w:r>
      <w:r w:rsidRPr="009D1F14">
        <w:rPr>
          <w:rFonts w:asciiTheme="majorHAnsi" w:hAnsiTheme="majorHAnsi"/>
        </w:rPr>
        <w:t>10 Brno</w:t>
      </w:r>
    </w:p>
    <w:p w14:paraId="58BDAE0C" w14:textId="77777777" w:rsidR="00CA0ECA" w:rsidRPr="009D1F14" w:rsidRDefault="00CA492F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  <w:t xml:space="preserve">č. účtu: 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="00CA0ECA" w:rsidRPr="009D1F14">
        <w:rPr>
          <w:rFonts w:asciiTheme="majorHAnsi" w:hAnsiTheme="majorHAnsi"/>
        </w:rPr>
        <w:t>197937621/0710</w:t>
      </w:r>
    </w:p>
    <w:p w14:paraId="7FCADBBF" w14:textId="77777777" w:rsidR="00CA492F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</w:r>
    </w:p>
    <w:p w14:paraId="245D22FA" w14:textId="77777777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(dále jen „Objednatel")</w:t>
      </w:r>
    </w:p>
    <w:p w14:paraId="24139C93" w14:textId="77777777" w:rsidR="00CA0ECA" w:rsidRPr="009D1F14" w:rsidRDefault="00CA0ECA" w:rsidP="00C62F3D">
      <w:pPr>
        <w:spacing w:before="120" w:after="120" w:line="240" w:lineRule="auto"/>
        <w:rPr>
          <w:rFonts w:asciiTheme="majorHAnsi" w:hAnsiTheme="majorHAnsi"/>
          <w:szCs w:val="24"/>
        </w:rPr>
      </w:pPr>
      <w:r w:rsidRPr="009D1F14">
        <w:rPr>
          <w:rFonts w:asciiTheme="majorHAnsi" w:hAnsiTheme="majorHAnsi"/>
          <w:szCs w:val="24"/>
        </w:rPr>
        <w:t>a</w:t>
      </w:r>
    </w:p>
    <w:p w14:paraId="55705B04" w14:textId="77777777" w:rsidR="00E75E10" w:rsidRPr="009D1F14" w:rsidRDefault="00CA0ECA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/>
          <w:szCs w:val="24"/>
        </w:rPr>
        <w:t>2.</w:t>
      </w:r>
      <w:r w:rsidRPr="009D1F14">
        <w:rPr>
          <w:rFonts w:asciiTheme="majorHAnsi" w:hAnsiTheme="majorHAnsi"/>
          <w:szCs w:val="24"/>
        </w:rPr>
        <w:tab/>
      </w:r>
      <w:r w:rsidR="00E75E10" w:rsidRPr="009D1F14">
        <w:rPr>
          <w:rFonts w:asciiTheme="majorHAnsi" w:hAnsiTheme="majorHAnsi" w:cs="TimesNewRoman"/>
          <w:szCs w:val="24"/>
        </w:rPr>
        <w:t>M Security and Cleaning s.r.o.</w:t>
      </w:r>
    </w:p>
    <w:p w14:paraId="52608D75" w14:textId="278D97C1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 xml:space="preserve">se sídlem: 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  <w:t>č. p, 160, 779 00 Bystroč</w:t>
      </w:r>
      <w:r w:rsidR="005F49E1">
        <w:rPr>
          <w:rFonts w:asciiTheme="majorHAnsi" w:hAnsiTheme="majorHAnsi" w:cs="TimesNewRoman"/>
          <w:szCs w:val="24"/>
        </w:rPr>
        <w:t>i</w:t>
      </w:r>
      <w:r w:rsidRPr="009D1F14">
        <w:rPr>
          <w:rFonts w:asciiTheme="majorHAnsi" w:hAnsiTheme="majorHAnsi" w:cs="TimesNewRoman"/>
          <w:szCs w:val="24"/>
        </w:rPr>
        <w:t>ce</w:t>
      </w:r>
    </w:p>
    <w:p w14:paraId="17188A21" w14:textId="44B7E85B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ab/>
        <w:t>IČ: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  <w:t>01609246</w:t>
      </w:r>
    </w:p>
    <w:p w14:paraId="4E387F97" w14:textId="2E63D94C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ab/>
        <w:t>DIČ: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  <w:t>CZ 01609246</w:t>
      </w:r>
    </w:p>
    <w:p w14:paraId="60322B02" w14:textId="77777777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ab/>
        <w:t>zastoupená: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  <w:t>Miroslav Hradil</w:t>
      </w:r>
    </w:p>
    <w:p w14:paraId="7FA8C364" w14:textId="7E038094" w:rsidR="00E75E10" w:rsidRPr="009D1F14" w:rsidRDefault="00E75E10" w:rsidP="00214BFE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>bankovní spojení:</w:t>
      </w:r>
      <w:r w:rsidR="00214BFE" w:rsidRPr="009D1F14">
        <w:rPr>
          <w:rFonts w:asciiTheme="majorHAnsi" w:hAnsiTheme="majorHAnsi" w:cs="TimesNewRoman"/>
          <w:szCs w:val="24"/>
        </w:rPr>
        <w:tab/>
        <w:t xml:space="preserve">UniCredit Bank Czech </w:t>
      </w:r>
      <w:r w:rsidR="00496A95" w:rsidRPr="009D1F14">
        <w:rPr>
          <w:rFonts w:asciiTheme="majorHAnsi" w:hAnsiTheme="majorHAnsi" w:cs="TimesNewRoman"/>
          <w:szCs w:val="24"/>
        </w:rPr>
        <w:t>Republ</w:t>
      </w:r>
      <w:r w:rsidR="00496A95">
        <w:rPr>
          <w:rFonts w:asciiTheme="majorHAnsi" w:hAnsiTheme="majorHAnsi" w:cs="TimesNewRoman"/>
          <w:szCs w:val="24"/>
        </w:rPr>
        <w:t>i</w:t>
      </w:r>
      <w:r w:rsidR="00496A95" w:rsidRPr="009D1F14">
        <w:rPr>
          <w:rFonts w:asciiTheme="majorHAnsi" w:hAnsiTheme="majorHAnsi" w:cs="TimesNewRoman"/>
          <w:szCs w:val="24"/>
        </w:rPr>
        <w:t xml:space="preserve">c </w:t>
      </w:r>
      <w:r w:rsidR="00214BFE" w:rsidRPr="009D1F14">
        <w:rPr>
          <w:rFonts w:asciiTheme="majorHAnsi" w:hAnsiTheme="majorHAnsi" w:cs="TimesNewRoman"/>
          <w:szCs w:val="24"/>
        </w:rPr>
        <w:t>and Slovakia, a s.</w:t>
      </w:r>
    </w:p>
    <w:p w14:paraId="69AE6CC1" w14:textId="05398F70" w:rsidR="00214BFE" w:rsidRDefault="00214BFE" w:rsidP="007F41EF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>č. účtu: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</w:r>
      <w:r w:rsidR="007F41EF" w:rsidRPr="007F41EF">
        <w:rPr>
          <w:rFonts w:asciiTheme="majorHAnsi" w:hAnsiTheme="majorHAnsi" w:cs="TimesNewRoman"/>
          <w:szCs w:val="24"/>
        </w:rPr>
        <w:t>29034781/0100</w:t>
      </w:r>
    </w:p>
    <w:p w14:paraId="163DD4CA" w14:textId="77EA5E14" w:rsidR="002B6CA9" w:rsidRPr="009D1F14" w:rsidRDefault="002B6CA9" w:rsidP="00214BFE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>
        <w:rPr>
          <w:rFonts w:asciiTheme="majorHAnsi" w:hAnsiTheme="majorHAnsi" w:cs="TimesNewRoman"/>
          <w:szCs w:val="24"/>
        </w:rPr>
        <w:t xml:space="preserve">id </w:t>
      </w:r>
      <w:r w:rsidRPr="002B6CA9">
        <w:rPr>
          <w:rFonts w:asciiTheme="majorHAnsi" w:hAnsiTheme="majorHAnsi" w:cs="TimesNewRoman"/>
          <w:szCs w:val="24"/>
        </w:rPr>
        <w:t>datov</w:t>
      </w:r>
      <w:r>
        <w:rPr>
          <w:rFonts w:asciiTheme="majorHAnsi" w:hAnsiTheme="majorHAnsi" w:cs="TimesNewRoman"/>
          <w:szCs w:val="24"/>
        </w:rPr>
        <w:t>é</w:t>
      </w:r>
      <w:r w:rsidRPr="002B6CA9">
        <w:rPr>
          <w:rFonts w:asciiTheme="majorHAnsi" w:hAnsiTheme="majorHAnsi" w:cs="TimesNewRoman"/>
          <w:szCs w:val="24"/>
        </w:rPr>
        <w:t xml:space="preserve"> schránk</w:t>
      </w:r>
      <w:r>
        <w:rPr>
          <w:rFonts w:asciiTheme="majorHAnsi" w:hAnsiTheme="majorHAnsi" w:cs="TimesNewRoman"/>
          <w:szCs w:val="24"/>
        </w:rPr>
        <w:t>y</w:t>
      </w:r>
      <w:r w:rsidR="007F41EF">
        <w:rPr>
          <w:rFonts w:asciiTheme="majorHAnsi" w:hAnsiTheme="majorHAnsi" w:cs="TimesNewRoman"/>
          <w:szCs w:val="24"/>
        </w:rPr>
        <w:t>:</w:t>
      </w:r>
      <w:r w:rsidRPr="002B6CA9">
        <w:rPr>
          <w:rFonts w:asciiTheme="majorHAnsi" w:hAnsiTheme="majorHAnsi" w:cs="TimesNewRoman"/>
          <w:szCs w:val="24"/>
        </w:rPr>
        <w:t xml:space="preserve"> </w:t>
      </w:r>
      <w:r>
        <w:rPr>
          <w:rFonts w:asciiTheme="majorHAnsi" w:hAnsiTheme="majorHAnsi" w:cs="TimesNewRoman"/>
          <w:szCs w:val="24"/>
        </w:rPr>
        <w:tab/>
      </w:r>
      <w:r w:rsidRPr="002B6CA9">
        <w:rPr>
          <w:rFonts w:asciiTheme="majorHAnsi" w:hAnsiTheme="majorHAnsi" w:cs="TimesNewRoman"/>
          <w:szCs w:val="24"/>
        </w:rPr>
        <w:t>jc6tw6h</w:t>
      </w:r>
    </w:p>
    <w:p w14:paraId="5D1F95A6" w14:textId="41F877A1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ab/>
        <w:t>společnost je zapsána v obchodním rejstříku vedeném Krajským soudem v Ostravě</w:t>
      </w:r>
    </w:p>
    <w:p w14:paraId="55472AF5" w14:textId="796C6AFF" w:rsidR="00E75E10" w:rsidRPr="009D1F14" w:rsidRDefault="00E75E10" w:rsidP="00214BFE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>oddíl C, vložka 56243</w:t>
      </w:r>
    </w:p>
    <w:p w14:paraId="4F51A55B" w14:textId="77777777" w:rsidR="00214BFE" w:rsidRPr="009D1F14" w:rsidRDefault="00214BFE" w:rsidP="00214BFE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Theme="majorHAnsi" w:hAnsiTheme="majorHAnsi" w:cs="TimesNewRoman"/>
          <w:szCs w:val="24"/>
        </w:rPr>
      </w:pPr>
    </w:p>
    <w:p w14:paraId="06EC41B6" w14:textId="2A586883" w:rsidR="00CA0ECA" w:rsidRPr="009D1F14" w:rsidRDefault="00E75E10" w:rsidP="00E75E10">
      <w:pPr>
        <w:spacing w:after="0" w:line="240" w:lineRule="auto"/>
        <w:rPr>
          <w:rFonts w:asciiTheme="majorHAnsi" w:hAnsiTheme="majorHAnsi"/>
          <w:szCs w:val="24"/>
        </w:rPr>
      </w:pPr>
      <w:r w:rsidRPr="009D1F14">
        <w:rPr>
          <w:rFonts w:asciiTheme="majorHAnsi" w:hAnsiTheme="majorHAnsi" w:cs="TimesNewRoman"/>
          <w:szCs w:val="24"/>
        </w:rPr>
        <w:t>(dále jen „</w:t>
      </w:r>
      <w:r w:rsidR="00496A95">
        <w:rPr>
          <w:rFonts w:asciiTheme="majorHAnsi" w:hAnsiTheme="majorHAnsi" w:cs="TimesNewRoman"/>
          <w:szCs w:val="24"/>
        </w:rPr>
        <w:t>Poskytovatel</w:t>
      </w:r>
      <w:r w:rsidRPr="009D1F14">
        <w:rPr>
          <w:rFonts w:asciiTheme="majorHAnsi" w:hAnsiTheme="majorHAnsi" w:cs="TimesNewRoman"/>
          <w:szCs w:val="24"/>
        </w:rPr>
        <w:t>")</w:t>
      </w:r>
    </w:p>
    <w:p w14:paraId="30A1A834" w14:textId="1CAE4647" w:rsidR="00F35977" w:rsidRPr="009D1F14" w:rsidRDefault="0096266F" w:rsidP="00227427">
      <w:pPr>
        <w:spacing w:line="240" w:lineRule="auto"/>
        <w:rPr>
          <w:rFonts w:asciiTheme="majorHAnsi" w:hAnsiTheme="majorHAnsi"/>
          <w:szCs w:val="24"/>
        </w:rPr>
      </w:pPr>
      <w:r w:rsidRPr="009D1F14">
        <w:rPr>
          <w:rFonts w:asciiTheme="majorHAnsi" w:hAnsiTheme="majorHAnsi"/>
          <w:szCs w:val="24"/>
        </w:rPr>
        <w:t xml:space="preserve">(Objednatel a </w:t>
      </w:r>
      <w:r w:rsidR="00496A95">
        <w:rPr>
          <w:rFonts w:asciiTheme="majorHAnsi" w:hAnsiTheme="majorHAnsi"/>
          <w:szCs w:val="24"/>
        </w:rPr>
        <w:t>P</w:t>
      </w:r>
      <w:r w:rsidR="00496A95" w:rsidRPr="009D1F14">
        <w:rPr>
          <w:rFonts w:asciiTheme="majorHAnsi" w:hAnsiTheme="majorHAnsi"/>
          <w:szCs w:val="24"/>
        </w:rPr>
        <w:t xml:space="preserve">oskytovatel </w:t>
      </w:r>
      <w:r w:rsidRPr="009D1F14">
        <w:rPr>
          <w:rFonts w:asciiTheme="majorHAnsi" w:hAnsiTheme="majorHAnsi"/>
          <w:szCs w:val="24"/>
        </w:rPr>
        <w:t>budou dále společně označováni jen jako „smluvní strany“)</w:t>
      </w:r>
    </w:p>
    <w:p w14:paraId="44BE9880" w14:textId="21D11CB8" w:rsidR="00F35977" w:rsidRPr="009D1F14" w:rsidRDefault="00496A95" w:rsidP="00F7420A">
      <w:pPr>
        <w:spacing w:before="240" w:line="240" w:lineRule="auto"/>
        <w:rPr>
          <w:rFonts w:asciiTheme="majorHAnsi" w:hAnsiTheme="majorHAnsi"/>
          <w:szCs w:val="24"/>
        </w:rPr>
      </w:pPr>
      <w:r w:rsidRPr="009D1F14">
        <w:rPr>
          <w:rFonts w:asciiTheme="majorHAnsi" w:hAnsiTheme="majorHAnsi"/>
          <w:szCs w:val="24"/>
        </w:rPr>
        <w:t>uzav</w:t>
      </w:r>
      <w:r>
        <w:rPr>
          <w:rFonts w:asciiTheme="majorHAnsi" w:hAnsiTheme="majorHAnsi"/>
          <w:szCs w:val="24"/>
        </w:rPr>
        <w:t>írají</w:t>
      </w:r>
      <w:r w:rsidRPr="009D1F14">
        <w:rPr>
          <w:rFonts w:asciiTheme="majorHAnsi" w:hAnsiTheme="majorHAnsi"/>
          <w:szCs w:val="24"/>
        </w:rPr>
        <w:t xml:space="preserve"> </w:t>
      </w:r>
      <w:r w:rsidR="00F35977" w:rsidRPr="009D1F14">
        <w:rPr>
          <w:rFonts w:asciiTheme="majorHAnsi" w:hAnsiTheme="majorHAnsi"/>
          <w:szCs w:val="24"/>
        </w:rPr>
        <w:t xml:space="preserve">níže uvedeného dne, měsíce a roku </w:t>
      </w:r>
      <w:r w:rsidR="00494C64">
        <w:rPr>
          <w:rFonts w:asciiTheme="majorHAnsi" w:hAnsiTheme="majorHAnsi"/>
          <w:szCs w:val="24"/>
        </w:rPr>
        <w:t>tento D</w:t>
      </w:r>
      <w:r w:rsidR="008B60FB" w:rsidRPr="009D1F14">
        <w:rPr>
          <w:rFonts w:asciiTheme="majorHAnsi" w:hAnsiTheme="majorHAnsi"/>
          <w:szCs w:val="24"/>
        </w:rPr>
        <w:t xml:space="preserve">odatek č. </w:t>
      </w:r>
      <w:r w:rsidR="00A44F14" w:rsidRPr="009D1F14">
        <w:rPr>
          <w:rFonts w:asciiTheme="majorHAnsi" w:hAnsiTheme="majorHAnsi"/>
          <w:szCs w:val="24"/>
        </w:rPr>
        <w:t>1</w:t>
      </w:r>
      <w:r w:rsidR="008B60FB" w:rsidRPr="009D1F14">
        <w:rPr>
          <w:rFonts w:asciiTheme="majorHAnsi" w:hAnsiTheme="majorHAnsi"/>
          <w:szCs w:val="24"/>
        </w:rPr>
        <w:t xml:space="preserve"> ke </w:t>
      </w:r>
      <w:r w:rsidR="00F35977" w:rsidRPr="009D1F14">
        <w:rPr>
          <w:rFonts w:asciiTheme="majorHAnsi" w:hAnsiTheme="majorHAnsi"/>
          <w:szCs w:val="24"/>
        </w:rPr>
        <w:t>Smlouv</w:t>
      </w:r>
      <w:r w:rsidR="008B60FB" w:rsidRPr="009D1F14">
        <w:rPr>
          <w:rFonts w:asciiTheme="majorHAnsi" w:hAnsiTheme="majorHAnsi"/>
          <w:szCs w:val="24"/>
        </w:rPr>
        <w:t>ě</w:t>
      </w:r>
      <w:r w:rsidR="00F35977" w:rsidRPr="009D1F14">
        <w:rPr>
          <w:rFonts w:asciiTheme="majorHAnsi" w:hAnsiTheme="majorHAnsi"/>
          <w:szCs w:val="24"/>
        </w:rPr>
        <w:t xml:space="preserve"> o poskytování bezpečnostních služeb č. </w:t>
      </w:r>
      <w:bookmarkStart w:id="0" w:name="_Hlk193362258"/>
      <w:r w:rsidR="005F6E9C" w:rsidRPr="005F6E9C">
        <w:rPr>
          <w:rFonts w:asciiTheme="majorHAnsi" w:hAnsiTheme="majorHAnsi"/>
          <w:bCs/>
        </w:rPr>
        <w:t>2024/06/0036</w:t>
      </w:r>
      <w:r w:rsidR="00F35977" w:rsidRPr="009D1F14">
        <w:rPr>
          <w:rFonts w:asciiTheme="majorHAnsi" w:hAnsiTheme="majorHAnsi"/>
          <w:szCs w:val="24"/>
        </w:rPr>
        <w:t xml:space="preserve"> ze dne </w:t>
      </w:r>
      <w:r w:rsidR="005F6E9C">
        <w:rPr>
          <w:rFonts w:asciiTheme="majorHAnsi" w:hAnsiTheme="majorHAnsi"/>
          <w:szCs w:val="24"/>
        </w:rPr>
        <w:t>27</w:t>
      </w:r>
      <w:r w:rsidR="00F35977" w:rsidRPr="009D1F14">
        <w:rPr>
          <w:rFonts w:asciiTheme="majorHAnsi" w:hAnsiTheme="majorHAnsi"/>
          <w:szCs w:val="24"/>
        </w:rPr>
        <w:t>.0</w:t>
      </w:r>
      <w:r w:rsidR="005F6E9C">
        <w:rPr>
          <w:rFonts w:asciiTheme="majorHAnsi" w:hAnsiTheme="majorHAnsi"/>
          <w:szCs w:val="24"/>
        </w:rPr>
        <w:t>6</w:t>
      </w:r>
      <w:r w:rsidR="00F35977" w:rsidRPr="009D1F14">
        <w:rPr>
          <w:rFonts w:asciiTheme="majorHAnsi" w:hAnsiTheme="majorHAnsi"/>
          <w:szCs w:val="24"/>
        </w:rPr>
        <w:t>.202</w:t>
      </w:r>
      <w:r w:rsidR="008C0718" w:rsidRPr="009D1F14">
        <w:rPr>
          <w:rFonts w:asciiTheme="majorHAnsi" w:hAnsiTheme="majorHAnsi"/>
          <w:szCs w:val="24"/>
        </w:rPr>
        <w:t>4</w:t>
      </w:r>
      <w:r w:rsidR="00F35977" w:rsidRPr="009D1F14">
        <w:rPr>
          <w:rFonts w:asciiTheme="majorHAnsi" w:hAnsiTheme="majorHAnsi"/>
          <w:szCs w:val="24"/>
        </w:rPr>
        <w:t xml:space="preserve"> </w:t>
      </w:r>
      <w:bookmarkEnd w:id="0"/>
      <w:r w:rsidR="00F35977" w:rsidRPr="009D1F14">
        <w:rPr>
          <w:rFonts w:asciiTheme="majorHAnsi" w:hAnsiTheme="majorHAnsi"/>
          <w:szCs w:val="24"/>
        </w:rPr>
        <w:t>(dále jen „</w:t>
      </w:r>
      <w:r w:rsidR="00647C05" w:rsidRPr="009D1F14">
        <w:rPr>
          <w:rFonts w:asciiTheme="majorHAnsi" w:hAnsiTheme="majorHAnsi"/>
          <w:szCs w:val="24"/>
        </w:rPr>
        <w:t>D</w:t>
      </w:r>
      <w:r w:rsidR="00F35977" w:rsidRPr="009D1F14">
        <w:rPr>
          <w:rFonts w:asciiTheme="majorHAnsi" w:hAnsiTheme="majorHAnsi"/>
          <w:szCs w:val="24"/>
        </w:rPr>
        <w:t>odatek“).</w:t>
      </w:r>
    </w:p>
    <w:p w14:paraId="5EED3686" w14:textId="77777777" w:rsidR="00B52FDE" w:rsidRPr="009D1F14" w:rsidRDefault="00B52FDE" w:rsidP="00C62F3D">
      <w:pPr>
        <w:pStyle w:val="Default"/>
        <w:spacing w:before="360"/>
        <w:jc w:val="center"/>
        <w:rPr>
          <w:rFonts w:asciiTheme="majorHAnsi" w:hAnsiTheme="majorHAnsi" w:cstheme="minorHAnsi"/>
          <w:b/>
          <w:bCs/>
          <w:color w:val="auto"/>
        </w:rPr>
      </w:pPr>
      <w:r w:rsidRPr="009D1F14">
        <w:rPr>
          <w:rFonts w:asciiTheme="majorHAnsi" w:hAnsiTheme="majorHAnsi" w:cstheme="minorHAnsi"/>
          <w:b/>
          <w:bCs/>
          <w:color w:val="auto"/>
        </w:rPr>
        <w:t xml:space="preserve">Článek </w:t>
      </w:r>
      <w:r w:rsidR="00A320BC" w:rsidRPr="009D1F14">
        <w:rPr>
          <w:rFonts w:asciiTheme="majorHAnsi" w:hAnsiTheme="majorHAnsi" w:cstheme="minorHAnsi"/>
          <w:b/>
          <w:bCs/>
          <w:color w:val="auto"/>
        </w:rPr>
        <w:t>I</w:t>
      </w:r>
    </w:p>
    <w:p w14:paraId="4D518C38" w14:textId="77777777" w:rsidR="00F35977" w:rsidRPr="009D1F14" w:rsidRDefault="00F35977" w:rsidP="00F35977">
      <w:pPr>
        <w:pStyle w:val="Default"/>
        <w:jc w:val="center"/>
        <w:rPr>
          <w:rFonts w:asciiTheme="majorHAnsi" w:hAnsiTheme="majorHAnsi" w:cstheme="minorHAnsi"/>
          <w:color w:val="auto"/>
        </w:rPr>
      </w:pPr>
      <w:r w:rsidRPr="009D1F14">
        <w:rPr>
          <w:rFonts w:asciiTheme="majorHAnsi" w:hAnsiTheme="majorHAnsi" w:cstheme="minorHAnsi"/>
          <w:b/>
          <w:bCs/>
          <w:color w:val="auto"/>
        </w:rPr>
        <w:t>Předmět dodatku</w:t>
      </w:r>
    </w:p>
    <w:p w14:paraId="00897A32" w14:textId="10B63611" w:rsidR="00494C64" w:rsidRPr="00CC2BFE" w:rsidRDefault="00494C64" w:rsidP="00CC2BFE">
      <w:pPr>
        <w:pStyle w:val="Default"/>
        <w:numPr>
          <w:ilvl w:val="0"/>
          <w:numId w:val="49"/>
        </w:numPr>
        <w:spacing w:before="120"/>
        <w:ind w:left="426" w:hanging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color w:val="auto"/>
        </w:rPr>
        <w:t>Smluvní strany po vzájemné dohodě mění název</w:t>
      </w:r>
      <w:r w:rsidR="00496A95">
        <w:rPr>
          <w:rFonts w:asciiTheme="majorHAnsi" w:hAnsiTheme="majorHAnsi" w:cstheme="minorHAnsi"/>
          <w:color w:val="auto"/>
        </w:rPr>
        <w:t xml:space="preserve"> </w:t>
      </w:r>
      <w:r>
        <w:rPr>
          <w:rFonts w:asciiTheme="majorHAnsi" w:hAnsiTheme="majorHAnsi" w:cstheme="minorHAnsi"/>
          <w:color w:val="auto"/>
        </w:rPr>
        <w:t>Smlouvy tak, aby odpovídal skuteč</w:t>
      </w:r>
      <w:r w:rsidR="00CC2BFE">
        <w:rPr>
          <w:rFonts w:asciiTheme="majorHAnsi" w:hAnsiTheme="majorHAnsi" w:cstheme="minorHAnsi"/>
          <w:color w:val="auto"/>
        </w:rPr>
        <w:t xml:space="preserve">né adrese objektu, ve které jsou </w:t>
      </w:r>
      <w:r w:rsidR="002B6CA9">
        <w:rPr>
          <w:rFonts w:asciiTheme="majorHAnsi" w:hAnsiTheme="majorHAnsi" w:cstheme="minorHAnsi"/>
          <w:color w:val="auto"/>
        </w:rPr>
        <w:t xml:space="preserve">Poskytovatelem </w:t>
      </w:r>
      <w:r w:rsidR="00CC2BFE">
        <w:rPr>
          <w:rFonts w:asciiTheme="majorHAnsi" w:hAnsiTheme="majorHAnsi" w:cstheme="minorHAnsi"/>
          <w:color w:val="auto"/>
        </w:rPr>
        <w:t xml:space="preserve">poskytovány </w:t>
      </w:r>
      <w:r w:rsidR="002B6CA9" w:rsidRPr="002B6CA9">
        <w:rPr>
          <w:rFonts w:asciiTheme="majorHAnsi" w:hAnsiTheme="majorHAnsi" w:cstheme="minorHAnsi"/>
          <w:color w:val="auto"/>
        </w:rPr>
        <w:t>služb</w:t>
      </w:r>
      <w:r w:rsidR="002B6CA9">
        <w:rPr>
          <w:rFonts w:asciiTheme="majorHAnsi" w:hAnsiTheme="majorHAnsi" w:cstheme="minorHAnsi"/>
          <w:color w:val="auto"/>
        </w:rPr>
        <w:t>y</w:t>
      </w:r>
      <w:r w:rsidR="002B6CA9" w:rsidRPr="002B6CA9">
        <w:rPr>
          <w:rFonts w:asciiTheme="majorHAnsi" w:hAnsiTheme="majorHAnsi" w:cstheme="minorHAnsi"/>
          <w:color w:val="auto"/>
        </w:rPr>
        <w:t xml:space="preserve"> fyzické ostrahy</w:t>
      </w:r>
      <w:r w:rsidR="002B6CA9">
        <w:rPr>
          <w:rFonts w:asciiTheme="majorHAnsi" w:hAnsiTheme="majorHAnsi" w:cstheme="minorHAnsi"/>
          <w:color w:val="auto"/>
        </w:rPr>
        <w:t xml:space="preserve"> Objednateli</w:t>
      </w:r>
      <w:r w:rsidR="00CC2BFE">
        <w:rPr>
          <w:rFonts w:asciiTheme="majorHAnsi" w:hAnsiTheme="majorHAnsi" w:cstheme="minorHAnsi"/>
          <w:color w:val="auto"/>
        </w:rPr>
        <w:t xml:space="preserve">. Původní název Smlouvy se tedy nahrazuje názvem následujícím: </w:t>
      </w:r>
      <w:r w:rsidR="00CC2BFE" w:rsidRPr="00CC2BFE">
        <w:rPr>
          <w:rFonts w:asciiTheme="majorHAnsi" w:hAnsiTheme="majorHAnsi" w:cstheme="minorHAnsi"/>
          <w:b/>
          <w:bCs/>
          <w:color w:val="auto"/>
        </w:rPr>
        <w:t>„Smlouva o poskytování bezpečnostních služeb – služeb fyzické ostrahy v objektu Riegrova 406/1 Olomouc“</w:t>
      </w:r>
    </w:p>
    <w:p w14:paraId="08063551" w14:textId="456CF896" w:rsidR="00496A95" w:rsidRPr="003E30BC" w:rsidRDefault="00496A95" w:rsidP="00496A95">
      <w:pPr>
        <w:pStyle w:val="Default"/>
        <w:numPr>
          <w:ilvl w:val="0"/>
          <w:numId w:val="49"/>
        </w:numPr>
        <w:spacing w:before="120"/>
        <w:ind w:left="426" w:hanging="426"/>
        <w:rPr>
          <w:rFonts w:asciiTheme="majorHAnsi" w:hAnsiTheme="majorHAnsi" w:cstheme="minorHAnsi"/>
        </w:rPr>
      </w:pPr>
      <w:r w:rsidRPr="00496A95">
        <w:rPr>
          <w:rFonts w:asciiTheme="majorHAnsi" w:hAnsiTheme="majorHAnsi" w:cstheme="minorHAnsi"/>
          <w:color w:val="auto"/>
        </w:rPr>
        <w:t>Z</w:t>
      </w:r>
      <w:r>
        <w:rPr>
          <w:rFonts w:asciiTheme="majorHAnsi" w:hAnsiTheme="majorHAnsi" w:cstheme="minorHAnsi"/>
          <w:color w:val="auto"/>
        </w:rPr>
        <w:t> </w:t>
      </w:r>
      <w:r w:rsidRPr="00496A95">
        <w:rPr>
          <w:rFonts w:asciiTheme="majorHAnsi" w:hAnsiTheme="majorHAnsi" w:cstheme="minorHAnsi"/>
          <w:color w:val="auto"/>
        </w:rPr>
        <w:t>důvodu</w:t>
      </w:r>
      <w:r>
        <w:rPr>
          <w:rFonts w:asciiTheme="majorHAnsi" w:hAnsiTheme="majorHAnsi" w:cstheme="minorHAnsi"/>
          <w:color w:val="auto"/>
        </w:rPr>
        <w:t xml:space="preserve"> zvýšení minimální mzdy</w:t>
      </w:r>
      <w:r w:rsidR="007E7EB7">
        <w:rPr>
          <w:rFonts w:asciiTheme="majorHAnsi" w:hAnsiTheme="majorHAnsi" w:cstheme="minorHAnsi"/>
          <w:color w:val="auto"/>
        </w:rPr>
        <w:t>,</w:t>
      </w:r>
      <w:r>
        <w:rPr>
          <w:rFonts w:asciiTheme="majorHAnsi" w:hAnsiTheme="majorHAnsi" w:cstheme="minorHAnsi"/>
          <w:color w:val="auto"/>
        </w:rPr>
        <w:t xml:space="preserve"> </w:t>
      </w:r>
      <w:r w:rsidR="007E7EB7">
        <w:rPr>
          <w:rFonts w:asciiTheme="majorHAnsi" w:hAnsiTheme="majorHAnsi" w:cstheme="minorHAnsi"/>
          <w:color w:val="auto"/>
        </w:rPr>
        <w:t>stanovené</w:t>
      </w:r>
      <w:r>
        <w:rPr>
          <w:rFonts w:asciiTheme="majorHAnsi" w:hAnsiTheme="majorHAnsi" w:cstheme="minorHAnsi"/>
          <w:color w:val="auto"/>
        </w:rPr>
        <w:t xml:space="preserve"> § 111 zákona č. 262/2006 Sb., zákoník práce, se mění Příloha č. 2 Smlouvy, a to takto: </w:t>
      </w:r>
    </w:p>
    <w:p w14:paraId="22A99192" w14:textId="77777777" w:rsidR="005365B3" w:rsidRDefault="005365B3">
      <w:pPr>
        <w:spacing w:line="276" w:lineRule="auto"/>
        <w:jc w:val="left"/>
        <w:rPr>
          <w:rFonts w:asciiTheme="majorHAnsi" w:hAnsiTheme="majorHAnsi" w:cstheme="minorHAnsi"/>
          <w:color w:val="000000"/>
          <w:szCs w:val="24"/>
        </w:rPr>
      </w:pPr>
      <w:r>
        <w:rPr>
          <w:rFonts w:asciiTheme="majorHAnsi" w:hAnsiTheme="majorHAnsi" w:cstheme="minorHAnsi"/>
        </w:rPr>
        <w:br w:type="page"/>
      </w:r>
    </w:p>
    <w:p w14:paraId="2A79DA42" w14:textId="40B16DF4" w:rsidR="00F34E7C" w:rsidRDefault="00F34E7C" w:rsidP="002D4936">
      <w:pPr>
        <w:pStyle w:val="Default"/>
        <w:spacing w:before="120"/>
        <w:ind w:left="426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color w:val="auto"/>
        </w:rPr>
        <w:lastRenderedPageBreak/>
        <w:t>Příloha č. 2 Smlouvy</w:t>
      </w:r>
    </w:p>
    <w:p w14:paraId="1E6E6A04" w14:textId="067AA789" w:rsidR="00496A95" w:rsidRPr="00496A95" w:rsidRDefault="00496A95" w:rsidP="002D4936">
      <w:pPr>
        <w:pStyle w:val="Default"/>
        <w:spacing w:before="120"/>
        <w:ind w:left="426"/>
        <w:jc w:val="center"/>
        <w:rPr>
          <w:rFonts w:asciiTheme="majorHAnsi" w:hAnsiTheme="majorHAnsi" w:cstheme="minorHAnsi"/>
        </w:rPr>
      </w:pPr>
      <w:r w:rsidRPr="00496A95">
        <w:rPr>
          <w:rFonts w:asciiTheme="majorHAnsi" w:hAnsiTheme="majorHAnsi" w:cstheme="minorHAnsi"/>
        </w:rPr>
        <w:t>Položkový rozpočet</w:t>
      </w:r>
    </w:p>
    <w:p w14:paraId="6A09320F" w14:textId="456E018D" w:rsidR="00496A95" w:rsidRPr="00406A04" w:rsidRDefault="00496A95" w:rsidP="00406A04">
      <w:pPr>
        <w:pStyle w:val="Default"/>
        <w:spacing w:before="60"/>
        <w:ind w:left="425"/>
        <w:jc w:val="center"/>
        <w:rPr>
          <w:rFonts w:asciiTheme="majorHAnsi" w:hAnsiTheme="majorHAnsi" w:cstheme="minorHAnsi"/>
        </w:rPr>
      </w:pPr>
      <w:r w:rsidRPr="00406A04">
        <w:rPr>
          <w:rFonts w:asciiTheme="majorHAnsi" w:hAnsiTheme="majorHAnsi" w:cstheme="minorHAnsi"/>
        </w:rPr>
        <w:t>„</w:t>
      </w:r>
      <w:r w:rsidR="00406A04" w:rsidRPr="00406A04">
        <w:rPr>
          <w:rFonts w:asciiTheme="majorHAnsi" w:hAnsiTheme="majorHAnsi" w:cstheme="minorHAnsi"/>
        </w:rPr>
        <w:t>Poskytování bezpečnostních služeb – služeb fyzické ostrahy v objektu Riegrova</w:t>
      </w:r>
      <w:r w:rsidR="00406A04">
        <w:rPr>
          <w:rFonts w:asciiTheme="majorHAnsi" w:hAnsiTheme="majorHAnsi" w:cstheme="minorHAnsi"/>
        </w:rPr>
        <w:t> </w:t>
      </w:r>
      <w:r w:rsidR="00406A04" w:rsidRPr="00406A04">
        <w:rPr>
          <w:rFonts w:asciiTheme="majorHAnsi" w:hAnsiTheme="majorHAnsi" w:cstheme="minorHAnsi"/>
        </w:rPr>
        <w:t>406/1, Olomouc</w:t>
      </w:r>
      <w:r w:rsidRPr="00406A04">
        <w:rPr>
          <w:rFonts w:asciiTheme="majorHAnsi" w:hAnsiTheme="majorHAnsi" w:cstheme="minorHAnsi"/>
        </w:rPr>
        <w:t>“</w:t>
      </w:r>
    </w:p>
    <w:p w14:paraId="7DD2509F" w14:textId="07628533" w:rsidR="00496A95" w:rsidRPr="00496A95" w:rsidRDefault="00496A95" w:rsidP="00294582">
      <w:pPr>
        <w:pStyle w:val="Default"/>
        <w:spacing w:before="120"/>
        <w:jc w:val="both"/>
        <w:rPr>
          <w:rFonts w:asciiTheme="majorHAnsi" w:hAnsiTheme="majorHAnsi" w:cstheme="minorHAnsi"/>
        </w:rPr>
      </w:pPr>
    </w:p>
    <w:tbl>
      <w:tblPr>
        <w:tblW w:w="8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899"/>
        <w:gridCol w:w="1809"/>
        <w:gridCol w:w="1452"/>
        <w:gridCol w:w="2320"/>
      </w:tblGrid>
      <w:tr w:rsidR="002B6CA9" w:rsidRPr="004A4ADC" w14:paraId="0C25C3CC" w14:textId="2A99BBBB" w:rsidTr="002B6CA9">
        <w:trPr>
          <w:trHeight w:val="1389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BE88A" w14:textId="77777777" w:rsidR="002B6CA9" w:rsidRPr="002667A4" w:rsidRDefault="002B6CA9" w:rsidP="00294582">
            <w:pPr>
              <w:pStyle w:val="Default"/>
              <w:spacing w:before="120"/>
              <w:ind w:left="426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2667A4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Pozice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4A484" w14:textId="6E478EDD" w:rsidR="002B6CA9" w:rsidRPr="002667A4" w:rsidRDefault="006668CD" w:rsidP="00294582">
            <w:pPr>
              <w:pStyle w:val="Default"/>
              <w:spacing w:before="12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2667A4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</w:t>
            </w:r>
            <w:r w:rsidR="002B6CA9" w:rsidRPr="002667A4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očet osob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82023" w14:textId="4A40B430" w:rsidR="002B6CA9" w:rsidRPr="002667A4" w:rsidRDefault="006668CD" w:rsidP="00294582">
            <w:pPr>
              <w:pStyle w:val="Default"/>
              <w:spacing w:before="12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2667A4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C</w:t>
            </w:r>
            <w:r w:rsidR="002B6CA9" w:rsidRPr="002667A4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ena za 1 hod. výkonu služby bez DPH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41B72A" w14:textId="77777777" w:rsidR="002B6CA9" w:rsidRPr="002667A4" w:rsidRDefault="002B6CA9" w:rsidP="002B6CA9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02F7EBF0" w14:textId="29880C04" w:rsidR="002B6CA9" w:rsidRPr="002667A4" w:rsidRDefault="002B6CA9" w:rsidP="002B6CA9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2667A4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EE7CF8" w14:textId="77777777" w:rsidR="002B6CA9" w:rsidRPr="002667A4" w:rsidRDefault="002B6CA9" w:rsidP="002B6CA9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7381B150" w14:textId="6B1CAB8F" w:rsidR="002B6CA9" w:rsidRPr="002667A4" w:rsidRDefault="002B6CA9" w:rsidP="002B6CA9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2667A4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Celková cena za hodinu včetně DPH</w:t>
            </w:r>
          </w:p>
        </w:tc>
      </w:tr>
      <w:tr w:rsidR="002B6CA9" w:rsidRPr="004A4ADC" w14:paraId="435F4DFA" w14:textId="7EDAEAE0" w:rsidTr="009F46E5">
        <w:trPr>
          <w:trHeight w:val="765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C6EA3" w14:textId="2F4D71AD" w:rsidR="002B6CA9" w:rsidRPr="002667A4" w:rsidRDefault="002B6CA9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667A4">
              <w:rPr>
                <w:rFonts w:asciiTheme="majorHAnsi" w:hAnsiTheme="majorHAnsi" w:cstheme="minorHAnsi"/>
                <w:sz w:val="22"/>
                <w:szCs w:val="22"/>
              </w:rPr>
              <w:t xml:space="preserve">Bezpečnostní pracovník </w:t>
            </w:r>
          </w:p>
          <w:p w14:paraId="1FD51DDC" w14:textId="490EC453" w:rsidR="002B6CA9" w:rsidRPr="002667A4" w:rsidRDefault="002B6CA9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  <w:sz w:val="22"/>
                <w:szCs w:val="22"/>
              </w:rPr>
            </w:pPr>
            <w:r w:rsidRPr="002667A4">
              <w:rPr>
                <w:rFonts w:asciiTheme="majorHAnsi" w:hAnsiTheme="majorHAnsi" w:cstheme="minorHAnsi"/>
                <w:sz w:val="22"/>
                <w:szCs w:val="22"/>
              </w:rPr>
              <w:t xml:space="preserve"> (strážný)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755F7" w14:textId="750C6C59" w:rsidR="002B6CA9" w:rsidRPr="002667A4" w:rsidRDefault="00AA443A" w:rsidP="00294582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xxx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9C4CA" w14:textId="5396F552" w:rsidR="002B6CA9" w:rsidRPr="002667A4" w:rsidRDefault="00AA443A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xxx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94B8FF" w14:textId="568E931F" w:rsidR="002B6CA9" w:rsidRPr="002667A4" w:rsidRDefault="002B6CA9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6890F0D9" w14:textId="6D0DE199" w:rsidR="007F41EF" w:rsidRPr="002667A4" w:rsidRDefault="00AA443A" w:rsidP="009F46E5">
            <w:pPr>
              <w:jc w:val="center"/>
              <w:rPr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xxx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0EF1E7" w14:textId="1ED5850B" w:rsidR="002B6CA9" w:rsidRPr="002667A4" w:rsidRDefault="00AA443A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xxx</w:t>
            </w:r>
          </w:p>
        </w:tc>
      </w:tr>
    </w:tbl>
    <w:p w14:paraId="6DB476EB" w14:textId="77777777" w:rsidR="0004580E" w:rsidRPr="002667A4" w:rsidRDefault="0004580E" w:rsidP="002667A4">
      <w:pPr>
        <w:pStyle w:val="Default"/>
        <w:spacing w:before="120"/>
        <w:ind w:left="425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749D1276" w14:textId="72F14966" w:rsidR="0004580E" w:rsidRPr="002667A4" w:rsidRDefault="0004580E" w:rsidP="0004580E">
      <w:pPr>
        <w:spacing w:line="240" w:lineRule="auto"/>
        <w:jc w:val="center"/>
        <w:rPr>
          <w:rFonts w:cs="Arial"/>
          <w:b/>
          <w:sz w:val="22"/>
        </w:rPr>
      </w:pPr>
      <w:r w:rsidRPr="002667A4">
        <w:rPr>
          <w:rFonts w:cs="Arial"/>
          <w:b/>
          <w:sz w:val="22"/>
        </w:rPr>
        <w:t>Celková nabídková cena za 1</w:t>
      </w:r>
      <w:r w:rsidR="00B458DD" w:rsidRPr="002667A4">
        <w:rPr>
          <w:rFonts w:cs="Arial"/>
          <w:b/>
          <w:sz w:val="22"/>
        </w:rPr>
        <w:t>5</w:t>
      </w:r>
      <w:r w:rsidRPr="002667A4">
        <w:rPr>
          <w:rFonts w:cs="Arial"/>
          <w:b/>
          <w:sz w:val="22"/>
        </w:rPr>
        <w:t xml:space="preserve"> měsíců (hodnotící kritérium)</w:t>
      </w:r>
    </w:p>
    <w:tbl>
      <w:tblPr>
        <w:tblStyle w:val="Mkatabulky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2552"/>
      </w:tblGrid>
      <w:tr w:rsidR="0004580E" w:rsidRPr="004A4ADC" w14:paraId="0F3B4BC8" w14:textId="77777777" w:rsidTr="006E699D">
        <w:trPr>
          <w:trHeight w:val="92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DA2716" w14:textId="325770C5" w:rsidR="0004580E" w:rsidRPr="002667A4" w:rsidRDefault="0004580E" w:rsidP="006E699D">
            <w:pPr>
              <w:spacing w:line="240" w:lineRule="auto"/>
              <w:jc w:val="center"/>
              <w:rPr>
                <w:rFonts w:cs="Arial"/>
                <w:b/>
                <w:sz w:val="22"/>
              </w:rPr>
            </w:pPr>
            <w:r w:rsidRPr="002667A4">
              <w:rPr>
                <w:rFonts w:cs="Arial"/>
                <w:b/>
                <w:sz w:val="22"/>
              </w:rPr>
              <w:t>Celková cena za 1</w:t>
            </w:r>
            <w:r w:rsidR="00B458DD" w:rsidRPr="002667A4">
              <w:rPr>
                <w:rFonts w:cs="Arial"/>
                <w:b/>
                <w:sz w:val="22"/>
              </w:rPr>
              <w:t>5</w:t>
            </w:r>
            <w:r w:rsidRPr="002667A4">
              <w:rPr>
                <w:rFonts w:cs="Arial"/>
                <w:b/>
                <w:sz w:val="22"/>
              </w:rPr>
              <w:t xml:space="preserve"> měsíců strážní služby bez DPH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41A5852" w14:textId="1444F02A" w:rsidR="0004580E" w:rsidRPr="002667A4" w:rsidRDefault="0004580E" w:rsidP="006E699D">
            <w:pPr>
              <w:suppressAutoHyphens/>
              <w:spacing w:line="240" w:lineRule="auto"/>
              <w:jc w:val="center"/>
              <w:rPr>
                <w:rFonts w:cs="Arial"/>
                <w:b/>
                <w:bCs/>
                <w:sz w:val="22"/>
                <w:lang w:eastAsia="ar-SA"/>
              </w:rPr>
            </w:pPr>
            <w:r w:rsidRPr="002667A4">
              <w:rPr>
                <w:rFonts w:cs="Arial"/>
                <w:b/>
                <w:bCs/>
                <w:sz w:val="22"/>
                <w:lang w:eastAsia="ar-SA"/>
              </w:rPr>
              <w:t>DPH za 1</w:t>
            </w:r>
            <w:r w:rsidR="0086693A" w:rsidRPr="002667A4">
              <w:rPr>
                <w:rFonts w:cs="Arial"/>
                <w:b/>
                <w:bCs/>
                <w:sz w:val="22"/>
                <w:lang w:eastAsia="ar-SA"/>
              </w:rPr>
              <w:t>5</w:t>
            </w:r>
            <w:r w:rsidRPr="002667A4">
              <w:rPr>
                <w:rFonts w:cs="Arial"/>
                <w:b/>
                <w:bCs/>
                <w:sz w:val="22"/>
                <w:lang w:eastAsia="ar-SA"/>
              </w:rPr>
              <w:t xml:space="preserve"> měsíců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1BB401F" w14:textId="77777777" w:rsidR="0004580E" w:rsidRPr="002667A4" w:rsidRDefault="0004580E" w:rsidP="006E699D">
            <w:pPr>
              <w:suppressAutoHyphens/>
              <w:spacing w:line="240" w:lineRule="auto"/>
              <w:jc w:val="center"/>
              <w:rPr>
                <w:rFonts w:cs="Arial"/>
                <w:b/>
                <w:bCs/>
                <w:sz w:val="22"/>
                <w:lang w:eastAsia="ar-SA"/>
              </w:rPr>
            </w:pPr>
            <w:r w:rsidRPr="002667A4">
              <w:rPr>
                <w:rFonts w:cs="Arial"/>
                <w:b/>
                <w:bCs/>
                <w:sz w:val="22"/>
                <w:lang w:eastAsia="ar-SA"/>
              </w:rPr>
              <w:t>Celková cena včetně DPH</w:t>
            </w:r>
          </w:p>
          <w:p w14:paraId="7797A253" w14:textId="0802B9D0" w:rsidR="0004580E" w:rsidRPr="002667A4" w:rsidRDefault="0004580E" w:rsidP="006E699D">
            <w:pPr>
              <w:suppressAutoHyphens/>
              <w:spacing w:line="240" w:lineRule="auto"/>
              <w:jc w:val="center"/>
              <w:rPr>
                <w:rFonts w:cs="Arial"/>
                <w:b/>
                <w:bCs/>
                <w:sz w:val="22"/>
                <w:lang w:eastAsia="ar-SA"/>
              </w:rPr>
            </w:pPr>
            <w:r w:rsidRPr="002667A4">
              <w:rPr>
                <w:rFonts w:cs="Arial"/>
                <w:b/>
                <w:bCs/>
                <w:sz w:val="22"/>
                <w:lang w:eastAsia="ar-SA"/>
              </w:rPr>
              <w:t>1</w:t>
            </w:r>
            <w:r w:rsidR="0086693A" w:rsidRPr="002667A4">
              <w:rPr>
                <w:rFonts w:cs="Arial"/>
                <w:b/>
                <w:bCs/>
                <w:sz w:val="22"/>
                <w:lang w:eastAsia="ar-SA"/>
              </w:rPr>
              <w:t>5</w:t>
            </w:r>
            <w:r w:rsidRPr="002667A4">
              <w:rPr>
                <w:rFonts w:cs="Arial"/>
                <w:b/>
                <w:bCs/>
                <w:sz w:val="22"/>
                <w:lang w:eastAsia="ar-SA"/>
              </w:rPr>
              <w:t xml:space="preserve"> měsíců</w:t>
            </w:r>
          </w:p>
        </w:tc>
      </w:tr>
      <w:tr w:rsidR="0004580E" w:rsidRPr="004A4ADC" w14:paraId="7014FC26" w14:textId="77777777" w:rsidTr="006E699D">
        <w:trPr>
          <w:trHeight w:val="841"/>
          <w:jc w:val="center"/>
        </w:trPr>
        <w:tc>
          <w:tcPr>
            <w:tcW w:w="2835" w:type="dxa"/>
            <w:vAlign w:val="center"/>
          </w:tcPr>
          <w:p w14:paraId="70D6F46C" w14:textId="0EC2B928" w:rsidR="0004580E" w:rsidRPr="002667A4" w:rsidRDefault="00B458DD" w:rsidP="006E699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2667A4">
              <w:rPr>
                <w:rFonts w:cs="Arial"/>
                <w:sz w:val="22"/>
                <w:lang w:eastAsia="ar-SA"/>
              </w:rPr>
              <w:t xml:space="preserve">1 250 </w:t>
            </w:r>
            <w:r w:rsidR="0086693A" w:rsidRPr="002667A4">
              <w:rPr>
                <w:rFonts w:cs="Arial"/>
                <w:sz w:val="22"/>
                <w:lang w:eastAsia="ar-SA"/>
              </w:rPr>
              <w:t>448</w:t>
            </w:r>
            <w:r w:rsidRPr="002667A4">
              <w:rPr>
                <w:rFonts w:cs="Arial"/>
                <w:sz w:val="22"/>
                <w:lang w:eastAsia="ar-SA"/>
              </w:rPr>
              <w:t>,</w:t>
            </w:r>
            <w:r w:rsidR="001773D8" w:rsidRPr="002667A4">
              <w:rPr>
                <w:rFonts w:cs="Arial"/>
                <w:sz w:val="22"/>
                <w:lang w:eastAsia="ar-SA"/>
              </w:rPr>
              <w:t>00</w:t>
            </w:r>
            <w:r w:rsidRPr="002667A4">
              <w:rPr>
                <w:rFonts w:cs="Arial"/>
                <w:sz w:val="22"/>
                <w:lang w:eastAsia="ar-SA"/>
              </w:rPr>
              <w:t xml:space="preserve"> Kč</w:t>
            </w:r>
          </w:p>
        </w:tc>
        <w:tc>
          <w:tcPr>
            <w:tcW w:w="1843" w:type="dxa"/>
            <w:vAlign w:val="center"/>
          </w:tcPr>
          <w:p w14:paraId="016BB8FE" w14:textId="30A8906F" w:rsidR="0004580E" w:rsidRPr="002667A4" w:rsidRDefault="00B458DD" w:rsidP="006E699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2667A4">
              <w:rPr>
                <w:rFonts w:cs="Arial"/>
                <w:sz w:val="22"/>
                <w:lang w:eastAsia="ar-SA"/>
              </w:rPr>
              <w:t>262 59</w:t>
            </w:r>
            <w:r w:rsidR="0086693A" w:rsidRPr="002667A4">
              <w:rPr>
                <w:rFonts w:cs="Arial"/>
                <w:sz w:val="22"/>
                <w:lang w:eastAsia="ar-SA"/>
              </w:rPr>
              <w:t>4</w:t>
            </w:r>
            <w:r w:rsidRPr="002667A4">
              <w:rPr>
                <w:rFonts w:cs="Arial"/>
                <w:sz w:val="22"/>
                <w:lang w:eastAsia="ar-SA"/>
              </w:rPr>
              <w:t>,</w:t>
            </w:r>
            <w:r w:rsidR="001773D8" w:rsidRPr="002667A4">
              <w:rPr>
                <w:rFonts w:cs="Arial"/>
                <w:sz w:val="22"/>
                <w:lang w:eastAsia="ar-SA"/>
              </w:rPr>
              <w:t>08</w:t>
            </w:r>
            <w:r w:rsidRPr="002667A4">
              <w:rPr>
                <w:rFonts w:cs="Arial"/>
                <w:sz w:val="22"/>
                <w:lang w:eastAsia="ar-SA"/>
              </w:rPr>
              <w:t xml:space="preserve"> Kč</w:t>
            </w:r>
          </w:p>
        </w:tc>
        <w:tc>
          <w:tcPr>
            <w:tcW w:w="2552" w:type="dxa"/>
            <w:vAlign w:val="center"/>
          </w:tcPr>
          <w:p w14:paraId="1CA48F2A" w14:textId="3A87E1AF" w:rsidR="0004580E" w:rsidRPr="002667A4" w:rsidRDefault="00272F56" w:rsidP="006E699D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2667A4">
              <w:rPr>
                <w:rFonts w:cs="Arial"/>
                <w:sz w:val="22"/>
                <w:lang w:eastAsia="ar-SA"/>
              </w:rPr>
              <w:t>1 513 0</w:t>
            </w:r>
            <w:r w:rsidR="001773D8" w:rsidRPr="002667A4">
              <w:rPr>
                <w:rFonts w:cs="Arial"/>
                <w:sz w:val="22"/>
                <w:lang w:eastAsia="ar-SA"/>
              </w:rPr>
              <w:t>42</w:t>
            </w:r>
            <w:r w:rsidRPr="002667A4">
              <w:rPr>
                <w:rFonts w:cs="Arial"/>
                <w:sz w:val="22"/>
                <w:lang w:eastAsia="ar-SA"/>
              </w:rPr>
              <w:t>,</w:t>
            </w:r>
            <w:r w:rsidR="001773D8" w:rsidRPr="002667A4">
              <w:rPr>
                <w:rFonts w:cs="Arial"/>
                <w:sz w:val="22"/>
                <w:lang w:eastAsia="ar-SA"/>
              </w:rPr>
              <w:t xml:space="preserve">08 </w:t>
            </w:r>
            <w:r w:rsidRPr="002667A4">
              <w:rPr>
                <w:rFonts w:cs="Arial"/>
                <w:sz w:val="22"/>
                <w:lang w:eastAsia="ar-SA"/>
              </w:rPr>
              <w:t>Kč</w:t>
            </w:r>
          </w:p>
        </w:tc>
      </w:tr>
    </w:tbl>
    <w:p w14:paraId="72280AC9" w14:textId="77777777" w:rsidR="0004580E" w:rsidRDefault="0004580E" w:rsidP="002667A4">
      <w:pPr>
        <w:pStyle w:val="Default"/>
        <w:spacing w:before="120"/>
        <w:jc w:val="both"/>
        <w:rPr>
          <w:rFonts w:asciiTheme="majorHAnsi" w:hAnsiTheme="majorHAnsi" w:cstheme="minorHAnsi"/>
          <w:color w:val="auto"/>
        </w:rPr>
      </w:pPr>
    </w:p>
    <w:p w14:paraId="238EDAD1" w14:textId="54DB0A54" w:rsidR="00294582" w:rsidRDefault="00FE7300" w:rsidP="003E30BC">
      <w:pPr>
        <w:pStyle w:val="Default"/>
        <w:numPr>
          <w:ilvl w:val="0"/>
          <w:numId w:val="49"/>
        </w:numPr>
        <w:spacing w:before="120"/>
        <w:ind w:left="425" w:hanging="425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>Poskytovatel</w:t>
      </w:r>
      <w:r w:rsidR="00F7420A" w:rsidRPr="009D1F14">
        <w:rPr>
          <w:rFonts w:asciiTheme="majorHAnsi" w:hAnsiTheme="majorHAnsi" w:cstheme="minorHAnsi"/>
          <w:color w:val="auto"/>
        </w:rPr>
        <w:t xml:space="preserve"> se zavazuje využít odpovídající navýšení ceny pouze na zvýšené mzdové náklady zaměstnanců v souvislosti se změnou hodinové sazby minimální mzdy dle </w:t>
      </w:r>
      <w:r w:rsidR="00EF5D6F">
        <w:rPr>
          <w:rFonts w:asciiTheme="majorHAnsi" w:hAnsiTheme="majorHAnsi" w:cstheme="minorHAnsi"/>
          <w:color w:val="auto"/>
        </w:rPr>
        <w:t>ustanovení § 111 zákona č. 262/2006 Sb., zákoník práce,</w:t>
      </w:r>
      <w:r w:rsidR="00F7420A" w:rsidRPr="009D1F14">
        <w:rPr>
          <w:rFonts w:asciiTheme="majorHAnsi" w:hAnsiTheme="majorHAnsi" w:cstheme="minorHAnsi"/>
          <w:color w:val="auto"/>
        </w:rPr>
        <w:t xml:space="preserve"> </w:t>
      </w:r>
      <w:r w:rsidR="00535D2C" w:rsidRPr="009D1F14">
        <w:rPr>
          <w:rFonts w:asciiTheme="majorHAnsi" w:hAnsiTheme="majorHAnsi" w:cstheme="minorHAnsi"/>
          <w:color w:val="auto"/>
        </w:rPr>
        <w:t>v</w:t>
      </w:r>
      <w:r w:rsidR="00F7420A" w:rsidRPr="009D1F14">
        <w:rPr>
          <w:rFonts w:asciiTheme="majorHAnsi" w:hAnsiTheme="majorHAnsi" w:cstheme="minorHAnsi"/>
          <w:color w:val="auto"/>
        </w:rPr>
        <w:t> platném znění.</w:t>
      </w:r>
    </w:p>
    <w:p w14:paraId="08B8B125" w14:textId="6ECCA478" w:rsidR="00294582" w:rsidRPr="003E30BC" w:rsidRDefault="00294582" w:rsidP="003E30BC">
      <w:pPr>
        <w:pStyle w:val="Default"/>
        <w:numPr>
          <w:ilvl w:val="0"/>
          <w:numId w:val="49"/>
        </w:numPr>
        <w:spacing w:before="120"/>
        <w:ind w:left="426" w:hanging="426"/>
        <w:jc w:val="both"/>
        <w:rPr>
          <w:rFonts w:asciiTheme="majorHAnsi" w:hAnsiTheme="majorHAnsi" w:cstheme="minorHAnsi"/>
          <w:color w:val="auto"/>
        </w:rPr>
      </w:pPr>
      <w:r w:rsidRPr="00294582">
        <w:rPr>
          <w:rFonts w:asciiTheme="majorHAnsi" w:hAnsiTheme="majorHAnsi" w:cstheme="minorHAnsi"/>
          <w:color w:val="auto"/>
        </w:rPr>
        <w:t>Ostatní ujednání Smlouvy, nedotčená tímto Dodatkem, zůstávají bez změny</w:t>
      </w:r>
      <w:r w:rsidR="002B6CA9">
        <w:rPr>
          <w:rFonts w:asciiTheme="majorHAnsi" w:hAnsiTheme="majorHAnsi" w:cstheme="minorHAnsi"/>
          <w:color w:val="auto"/>
        </w:rPr>
        <w:t>, platné a účinné, nedotčené tímto Dodatkem</w:t>
      </w:r>
      <w:r w:rsidRPr="00294582">
        <w:rPr>
          <w:rFonts w:asciiTheme="majorHAnsi" w:hAnsiTheme="majorHAnsi" w:cstheme="minorHAnsi"/>
          <w:color w:val="auto"/>
        </w:rPr>
        <w:t>.</w:t>
      </w:r>
    </w:p>
    <w:p w14:paraId="7AD9AC81" w14:textId="29D9199F" w:rsidR="00A320BC" w:rsidRPr="009D1F14" w:rsidRDefault="0096266F" w:rsidP="00F63B26">
      <w:pPr>
        <w:pStyle w:val="Default"/>
        <w:spacing w:before="240"/>
        <w:jc w:val="center"/>
        <w:rPr>
          <w:rFonts w:asciiTheme="majorHAnsi" w:hAnsiTheme="majorHAnsi" w:cstheme="minorHAnsi"/>
          <w:b/>
          <w:bCs/>
          <w:color w:val="auto"/>
        </w:rPr>
      </w:pPr>
      <w:r w:rsidRPr="009D1F14">
        <w:rPr>
          <w:rFonts w:asciiTheme="majorHAnsi" w:hAnsiTheme="majorHAnsi" w:cstheme="minorHAnsi"/>
          <w:b/>
          <w:bCs/>
          <w:color w:val="auto"/>
        </w:rPr>
        <w:t xml:space="preserve">Článek </w:t>
      </w:r>
      <w:r w:rsidR="00A320BC" w:rsidRPr="009D1F14">
        <w:rPr>
          <w:rFonts w:asciiTheme="majorHAnsi" w:hAnsiTheme="majorHAnsi" w:cstheme="minorHAnsi"/>
          <w:b/>
          <w:bCs/>
          <w:color w:val="auto"/>
        </w:rPr>
        <w:t>II</w:t>
      </w:r>
    </w:p>
    <w:p w14:paraId="0BBBD09F" w14:textId="77777777" w:rsidR="0096266F" w:rsidRPr="009D1F14" w:rsidRDefault="00A320BC" w:rsidP="00A320BC">
      <w:pPr>
        <w:pStyle w:val="Default"/>
        <w:jc w:val="center"/>
        <w:rPr>
          <w:rFonts w:asciiTheme="majorHAnsi" w:hAnsiTheme="majorHAnsi" w:cstheme="minorHAnsi"/>
          <w:b/>
          <w:bCs/>
          <w:color w:val="auto"/>
        </w:rPr>
      </w:pPr>
      <w:r w:rsidRPr="009D1F14">
        <w:rPr>
          <w:rFonts w:asciiTheme="majorHAnsi" w:hAnsiTheme="majorHAnsi" w:cstheme="minorHAnsi"/>
          <w:b/>
          <w:bCs/>
          <w:color w:val="auto"/>
        </w:rPr>
        <w:t>Závěrečná ustanovení</w:t>
      </w:r>
      <w:r w:rsidR="0096266F" w:rsidRPr="009D1F14">
        <w:rPr>
          <w:rFonts w:asciiTheme="majorHAnsi" w:hAnsiTheme="majorHAnsi" w:cstheme="minorHAnsi"/>
          <w:b/>
          <w:bCs/>
          <w:color w:val="auto"/>
        </w:rPr>
        <w:t xml:space="preserve"> </w:t>
      </w:r>
    </w:p>
    <w:p w14:paraId="76093466" w14:textId="3BCE7ABE" w:rsidR="00294582" w:rsidRDefault="00294582" w:rsidP="00294582">
      <w:pPr>
        <w:pStyle w:val="Default"/>
        <w:numPr>
          <w:ilvl w:val="0"/>
          <w:numId w:val="48"/>
        </w:numPr>
        <w:spacing w:before="120"/>
        <w:ind w:left="414" w:hanging="414"/>
        <w:jc w:val="both"/>
        <w:rPr>
          <w:rFonts w:asciiTheme="majorHAnsi" w:hAnsiTheme="majorHAnsi"/>
          <w:color w:val="auto"/>
        </w:rPr>
      </w:pPr>
      <w:r w:rsidRPr="00294582">
        <w:rPr>
          <w:rFonts w:asciiTheme="majorHAnsi" w:hAnsiTheme="majorHAnsi"/>
          <w:color w:val="auto"/>
        </w:rPr>
        <w:t>Objednatel je povinným subjektem ve smyslu zákona č. 340/2015 Sb., o zvláštních podmínkách účinnosti některých smluv, uveřejňování těchto smluv a o registru smluv, ve znění pozdějších předpisů (dále jen „zákon o registru smluv“). Poskytovatel souhlasí se zveřejněním tohoto Dodatku především na profilu zadavatele a v registru smluv</w:t>
      </w:r>
      <w:r>
        <w:rPr>
          <w:rFonts w:asciiTheme="majorHAnsi" w:hAnsiTheme="majorHAnsi"/>
          <w:color w:val="auto"/>
        </w:rPr>
        <w:t>.</w:t>
      </w:r>
      <w:r w:rsidR="00D5387D">
        <w:rPr>
          <w:rFonts w:asciiTheme="majorHAnsi" w:hAnsiTheme="majorHAnsi"/>
          <w:color w:val="auto"/>
        </w:rPr>
        <w:t xml:space="preserve"> Zveřejnění provede pouze Objednatel.</w:t>
      </w:r>
    </w:p>
    <w:p w14:paraId="2C55B6C2" w14:textId="7B479B45" w:rsidR="00294582" w:rsidRDefault="00294582" w:rsidP="00294582">
      <w:pPr>
        <w:pStyle w:val="Default"/>
        <w:numPr>
          <w:ilvl w:val="0"/>
          <w:numId w:val="48"/>
        </w:numPr>
        <w:spacing w:before="120"/>
        <w:ind w:left="414" w:hanging="414"/>
        <w:jc w:val="both"/>
        <w:rPr>
          <w:rFonts w:asciiTheme="majorHAnsi" w:hAnsiTheme="majorHAnsi"/>
          <w:color w:val="auto"/>
        </w:rPr>
      </w:pPr>
      <w:r w:rsidRPr="00294582">
        <w:rPr>
          <w:rFonts w:asciiTheme="majorHAnsi" w:hAnsiTheme="majorHAnsi" w:cstheme="minorHAnsi"/>
          <w:color w:val="auto"/>
        </w:rPr>
        <w:t>Tento Dodatek nabývá platnosti dnem podpisu oběma smluvními stranami a účinnosti uveřejněním v registru smluv.</w:t>
      </w:r>
    </w:p>
    <w:p w14:paraId="6C34C743" w14:textId="0742D073" w:rsidR="00284988" w:rsidRDefault="00294582" w:rsidP="005365B3">
      <w:pPr>
        <w:pStyle w:val="Default"/>
        <w:numPr>
          <w:ilvl w:val="0"/>
          <w:numId w:val="48"/>
        </w:numPr>
        <w:spacing w:before="120"/>
        <w:ind w:left="414" w:hanging="414"/>
        <w:jc w:val="both"/>
        <w:rPr>
          <w:rFonts w:asciiTheme="majorHAnsi" w:hAnsiTheme="majorHAnsi"/>
        </w:rPr>
      </w:pPr>
      <w:r w:rsidRPr="00EF5D6F">
        <w:rPr>
          <w:rFonts w:asciiTheme="majorHAnsi" w:hAnsiTheme="majorHAnsi"/>
        </w:rPr>
        <w:t xml:space="preserve">Obě smluvní strany prohlašují, že tento dodatek uzavřely svobodně a vážně, že jim nejsou známy jakékoliv skutečnosti, které by jeho uzavření vylučovaly, neuvedly se </w:t>
      </w:r>
      <w:r w:rsidRPr="007E7EB7">
        <w:rPr>
          <w:rFonts w:asciiTheme="majorHAnsi" w:hAnsiTheme="majorHAnsi"/>
        </w:rPr>
        <w:t>vzájemně v omyl a berou na vědomí, že v plném rozsahu nesou veškeré důsledky plynoucí z vědomě jimi udaných nepravdivých údajů.</w:t>
      </w:r>
    </w:p>
    <w:p w14:paraId="10C8ED43" w14:textId="3868D5A4" w:rsidR="00F34E7C" w:rsidRPr="002667A4" w:rsidRDefault="00284988" w:rsidP="002667A4">
      <w:pPr>
        <w:spacing w:line="276" w:lineRule="auto"/>
        <w:jc w:val="left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br w:type="page"/>
      </w:r>
    </w:p>
    <w:p w14:paraId="690D6EC6" w14:textId="77777777" w:rsidR="00D35AB8" w:rsidRPr="00EF5D6F" w:rsidRDefault="00D35AB8" w:rsidP="002D4936">
      <w:pPr>
        <w:pStyle w:val="Default"/>
        <w:spacing w:before="120"/>
        <w:ind w:left="414"/>
        <w:jc w:val="both"/>
        <w:rPr>
          <w:rFonts w:asciiTheme="majorHAnsi" w:hAnsiTheme="majorHAnsi"/>
        </w:rPr>
      </w:pPr>
    </w:p>
    <w:p w14:paraId="44FBB99F" w14:textId="3103B9C2" w:rsidR="00312424" w:rsidRPr="009D1F14" w:rsidRDefault="00CA0ECA" w:rsidP="00227427">
      <w:pPr>
        <w:spacing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V Olomouci dne ………………….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 xml:space="preserve">V </w:t>
      </w:r>
      <w:r w:rsidR="00583579" w:rsidRPr="009D1F14">
        <w:rPr>
          <w:rFonts w:asciiTheme="majorHAnsi" w:hAnsiTheme="majorHAnsi"/>
        </w:rPr>
        <w:t>Bystročicích</w:t>
      </w:r>
      <w:r w:rsidR="00BE5A4D" w:rsidRPr="009D1F14">
        <w:rPr>
          <w:rFonts w:asciiTheme="majorHAnsi" w:hAnsiTheme="majorHAnsi"/>
        </w:rPr>
        <w:t xml:space="preserve"> dne</w:t>
      </w:r>
      <w:r w:rsidR="00150BA1" w:rsidRPr="009D1F14">
        <w:rPr>
          <w:rFonts w:asciiTheme="majorHAnsi" w:hAnsiTheme="majorHAnsi"/>
        </w:rPr>
        <w:t xml:space="preserve"> </w:t>
      </w:r>
      <w:r w:rsidR="00C62F3D" w:rsidRPr="009D1F14">
        <w:rPr>
          <w:rFonts w:asciiTheme="majorHAnsi" w:hAnsiTheme="majorHAnsi"/>
        </w:rPr>
        <w:t>………………….</w:t>
      </w:r>
    </w:p>
    <w:p w14:paraId="34D592FB" w14:textId="77777777" w:rsidR="002D4936" w:rsidRDefault="002D4936" w:rsidP="00981073">
      <w:pPr>
        <w:spacing w:after="0" w:line="240" w:lineRule="auto"/>
        <w:rPr>
          <w:rFonts w:asciiTheme="majorHAnsi" w:hAnsiTheme="majorHAnsi"/>
        </w:rPr>
      </w:pPr>
    </w:p>
    <w:p w14:paraId="3DB0CE01" w14:textId="77777777" w:rsidR="002D4936" w:rsidRDefault="002D4936" w:rsidP="00981073">
      <w:pPr>
        <w:spacing w:after="0" w:line="240" w:lineRule="auto"/>
        <w:rPr>
          <w:rFonts w:asciiTheme="majorHAnsi" w:hAnsiTheme="majorHAnsi"/>
        </w:rPr>
      </w:pPr>
    </w:p>
    <w:p w14:paraId="6C14B34B" w14:textId="77777777" w:rsidR="002D4936" w:rsidRDefault="002D4936" w:rsidP="00981073">
      <w:pPr>
        <w:spacing w:after="0" w:line="240" w:lineRule="auto"/>
        <w:rPr>
          <w:rFonts w:asciiTheme="majorHAnsi" w:hAnsiTheme="majorHAnsi"/>
        </w:rPr>
      </w:pPr>
    </w:p>
    <w:p w14:paraId="125C611C" w14:textId="21EF1566" w:rsidR="00312424" w:rsidRPr="009D1F14" w:rsidRDefault="00C11553" w:rsidP="00981073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Za Objednatele: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 xml:space="preserve">Za </w:t>
      </w:r>
      <w:r w:rsidR="00FE7300">
        <w:rPr>
          <w:rFonts w:asciiTheme="majorHAnsi" w:hAnsiTheme="majorHAnsi"/>
        </w:rPr>
        <w:t>Poskytovatele</w:t>
      </w:r>
    </w:p>
    <w:p w14:paraId="7D0623C5" w14:textId="77777777" w:rsidR="00227427" w:rsidRPr="009D1F14" w:rsidRDefault="00227427" w:rsidP="00981073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…………………………………………..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>…………………………………………………..</w:t>
      </w:r>
    </w:p>
    <w:p w14:paraId="6F972A09" w14:textId="2220C5A6" w:rsidR="00C11553" w:rsidRPr="009D1F14" w:rsidRDefault="00C11553" w:rsidP="00312424">
      <w:pPr>
        <w:spacing w:before="60"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Mgr. Ondřej Zatloukal, ředitel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="00981073" w:rsidRPr="009D1F14">
        <w:rPr>
          <w:rFonts w:asciiTheme="majorHAnsi" w:hAnsiTheme="majorHAnsi"/>
        </w:rPr>
        <w:t xml:space="preserve">      </w:t>
      </w:r>
      <w:r w:rsidR="00583579" w:rsidRPr="009D1F14">
        <w:rPr>
          <w:rFonts w:asciiTheme="majorHAnsi" w:hAnsiTheme="majorHAnsi"/>
        </w:rPr>
        <w:t>Miroslav Hradil</w:t>
      </w:r>
      <w:r w:rsidRPr="009D1F14">
        <w:rPr>
          <w:rFonts w:asciiTheme="majorHAnsi" w:hAnsiTheme="majorHAnsi"/>
        </w:rPr>
        <w:t>, jednatel</w:t>
      </w:r>
    </w:p>
    <w:p w14:paraId="153483A6" w14:textId="5F89676A" w:rsidR="00981073" w:rsidRPr="009D1F14" w:rsidRDefault="00981073" w:rsidP="00981073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 xml:space="preserve">    Muzeum umění Olomouc, 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 xml:space="preserve">       </w:t>
      </w:r>
      <w:r w:rsidR="00583579" w:rsidRPr="009D1F14">
        <w:rPr>
          <w:rFonts w:asciiTheme="majorHAnsi" w:hAnsiTheme="majorHAnsi" w:cs="TimesNewRoman"/>
          <w:szCs w:val="24"/>
        </w:rPr>
        <w:t>M Security and Cleaning s.r.o.</w:t>
      </w:r>
    </w:p>
    <w:p w14:paraId="7F060027" w14:textId="508EABC6" w:rsidR="00F36677" w:rsidRPr="00816601" w:rsidRDefault="00981073" w:rsidP="00F84C8B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státní příspěvková organizace</w:t>
      </w:r>
    </w:p>
    <w:sectPr w:rsidR="00F36677" w:rsidRPr="00816601" w:rsidSect="006C0197">
      <w:footerReference w:type="default" r:id="rId7"/>
      <w:pgSz w:w="11906" w:h="16838" w:code="9"/>
      <w:pgMar w:top="130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3515" w14:textId="77777777" w:rsidR="008242FB" w:rsidRDefault="008242FB" w:rsidP="0003315F">
      <w:pPr>
        <w:spacing w:after="0" w:line="240" w:lineRule="auto"/>
      </w:pPr>
      <w:r>
        <w:separator/>
      </w:r>
    </w:p>
  </w:endnote>
  <w:endnote w:type="continuationSeparator" w:id="0">
    <w:p w14:paraId="66A2F452" w14:textId="77777777" w:rsidR="008242FB" w:rsidRDefault="008242FB" w:rsidP="0003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149527"/>
      <w:docPartObj>
        <w:docPartGallery w:val="Page Numbers (Bottom of Page)"/>
        <w:docPartUnique/>
      </w:docPartObj>
    </w:sdtPr>
    <w:sdtEndPr/>
    <w:sdtContent>
      <w:p w14:paraId="1C5F3C0B" w14:textId="00C2D4D8" w:rsidR="007278C6" w:rsidRDefault="007278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F8378" w14:textId="77777777" w:rsidR="007278C6" w:rsidRDefault="007278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D8B4" w14:textId="77777777" w:rsidR="008242FB" w:rsidRDefault="008242FB" w:rsidP="0003315F">
      <w:pPr>
        <w:spacing w:after="0" w:line="240" w:lineRule="auto"/>
      </w:pPr>
      <w:r>
        <w:separator/>
      </w:r>
    </w:p>
  </w:footnote>
  <w:footnote w:type="continuationSeparator" w:id="0">
    <w:p w14:paraId="0E9F2229" w14:textId="77777777" w:rsidR="008242FB" w:rsidRDefault="008242FB" w:rsidP="0003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D1C"/>
    <w:multiLevelType w:val="hybridMultilevel"/>
    <w:tmpl w:val="4806A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6853"/>
    <w:multiLevelType w:val="hybridMultilevel"/>
    <w:tmpl w:val="E7A8C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1F05"/>
    <w:multiLevelType w:val="hybridMultilevel"/>
    <w:tmpl w:val="5218BAAA"/>
    <w:lvl w:ilvl="0" w:tplc="1BA4D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DC3"/>
    <w:multiLevelType w:val="hybridMultilevel"/>
    <w:tmpl w:val="307ECFC4"/>
    <w:lvl w:ilvl="0" w:tplc="12F47CD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002A8"/>
    <w:multiLevelType w:val="hybridMultilevel"/>
    <w:tmpl w:val="636C9CF0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5457"/>
    <w:multiLevelType w:val="hybridMultilevel"/>
    <w:tmpl w:val="9AA09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36937"/>
    <w:multiLevelType w:val="hybridMultilevel"/>
    <w:tmpl w:val="3C68B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E08DB"/>
    <w:multiLevelType w:val="hybridMultilevel"/>
    <w:tmpl w:val="F13E57E8"/>
    <w:lvl w:ilvl="0" w:tplc="F1EC7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60A96"/>
    <w:multiLevelType w:val="hybridMultilevel"/>
    <w:tmpl w:val="7130D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E3ACA"/>
    <w:multiLevelType w:val="hybridMultilevel"/>
    <w:tmpl w:val="3866246C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879F3"/>
    <w:multiLevelType w:val="hybridMultilevel"/>
    <w:tmpl w:val="FBB26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73BE"/>
    <w:multiLevelType w:val="hybridMultilevel"/>
    <w:tmpl w:val="B5144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06D2F"/>
    <w:multiLevelType w:val="hybridMultilevel"/>
    <w:tmpl w:val="DBE698B2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02010"/>
    <w:multiLevelType w:val="hybridMultilevel"/>
    <w:tmpl w:val="350C8278"/>
    <w:lvl w:ilvl="0" w:tplc="D57468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C3194"/>
    <w:multiLevelType w:val="hybridMultilevel"/>
    <w:tmpl w:val="5B228AD6"/>
    <w:lvl w:ilvl="0" w:tplc="D04A33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A345E"/>
    <w:multiLevelType w:val="hybridMultilevel"/>
    <w:tmpl w:val="44109D3C"/>
    <w:lvl w:ilvl="0" w:tplc="F1EC7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000B95"/>
    <w:multiLevelType w:val="hybridMultilevel"/>
    <w:tmpl w:val="A8A67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300D"/>
    <w:multiLevelType w:val="hybridMultilevel"/>
    <w:tmpl w:val="D1228D8C"/>
    <w:lvl w:ilvl="0" w:tplc="F1EC7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1B2E53"/>
    <w:multiLevelType w:val="hybridMultilevel"/>
    <w:tmpl w:val="DB969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A57BD"/>
    <w:multiLevelType w:val="hybridMultilevel"/>
    <w:tmpl w:val="68203066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252C4"/>
    <w:multiLevelType w:val="hybridMultilevel"/>
    <w:tmpl w:val="357E7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A2AC3"/>
    <w:multiLevelType w:val="hybridMultilevel"/>
    <w:tmpl w:val="ADCAC570"/>
    <w:lvl w:ilvl="0" w:tplc="DD4C46B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24A49"/>
    <w:multiLevelType w:val="hybridMultilevel"/>
    <w:tmpl w:val="0F662F92"/>
    <w:lvl w:ilvl="0" w:tplc="66204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003D1"/>
    <w:multiLevelType w:val="hybridMultilevel"/>
    <w:tmpl w:val="572EE3B6"/>
    <w:lvl w:ilvl="0" w:tplc="D08AEE2A">
      <w:start w:val="2"/>
      <w:numFmt w:val="bullet"/>
      <w:lvlText w:val="-"/>
      <w:lvlJc w:val="left"/>
      <w:pPr>
        <w:ind w:left="1770" w:hanging="360"/>
      </w:pPr>
      <w:rPr>
        <w:rFonts w:ascii="Cambria" w:eastAsia="Calibr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BCF2C65"/>
    <w:multiLevelType w:val="hybridMultilevel"/>
    <w:tmpl w:val="AA2CC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62FD0"/>
    <w:multiLevelType w:val="hybridMultilevel"/>
    <w:tmpl w:val="0EB8F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25503"/>
    <w:multiLevelType w:val="hybridMultilevel"/>
    <w:tmpl w:val="357E7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E5956"/>
    <w:multiLevelType w:val="hybridMultilevel"/>
    <w:tmpl w:val="18304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022CB"/>
    <w:multiLevelType w:val="hybridMultilevel"/>
    <w:tmpl w:val="54EC461E"/>
    <w:lvl w:ilvl="0" w:tplc="F1EC7C34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9" w15:restartNumberingAfterBreak="0">
    <w:nsid w:val="438F13CF"/>
    <w:multiLevelType w:val="hybridMultilevel"/>
    <w:tmpl w:val="290628D0"/>
    <w:lvl w:ilvl="0" w:tplc="108885CC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729F1"/>
    <w:multiLevelType w:val="hybridMultilevel"/>
    <w:tmpl w:val="EF94B772"/>
    <w:lvl w:ilvl="0" w:tplc="F1EC7C34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4B2C13EE"/>
    <w:multiLevelType w:val="hybridMultilevel"/>
    <w:tmpl w:val="65921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35494"/>
    <w:multiLevelType w:val="hybridMultilevel"/>
    <w:tmpl w:val="CDD059E0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56446"/>
    <w:multiLevelType w:val="hybridMultilevel"/>
    <w:tmpl w:val="260E6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45A15"/>
    <w:multiLevelType w:val="hybridMultilevel"/>
    <w:tmpl w:val="72A80EF4"/>
    <w:lvl w:ilvl="0" w:tplc="503458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81A63"/>
    <w:multiLevelType w:val="hybridMultilevel"/>
    <w:tmpl w:val="35FA28C6"/>
    <w:lvl w:ilvl="0" w:tplc="8842BC6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13772F"/>
    <w:multiLevelType w:val="hybridMultilevel"/>
    <w:tmpl w:val="3BEE8D98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92BF1"/>
    <w:multiLevelType w:val="hybridMultilevel"/>
    <w:tmpl w:val="5114D110"/>
    <w:lvl w:ilvl="0" w:tplc="FB54796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161FF"/>
    <w:multiLevelType w:val="hybridMultilevel"/>
    <w:tmpl w:val="A148DB48"/>
    <w:lvl w:ilvl="0" w:tplc="F918D3E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513284"/>
    <w:multiLevelType w:val="hybridMultilevel"/>
    <w:tmpl w:val="505C5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13F73"/>
    <w:multiLevelType w:val="hybridMultilevel"/>
    <w:tmpl w:val="360E128E"/>
    <w:lvl w:ilvl="0" w:tplc="211C8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531A56"/>
    <w:multiLevelType w:val="hybridMultilevel"/>
    <w:tmpl w:val="2BBC1B88"/>
    <w:lvl w:ilvl="0" w:tplc="D96A4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3ED2"/>
    <w:multiLevelType w:val="hybridMultilevel"/>
    <w:tmpl w:val="8848D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24071"/>
    <w:multiLevelType w:val="hybridMultilevel"/>
    <w:tmpl w:val="F7DEA64C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F1D62"/>
    <w:multiLevelType w:val="hybridMultilevel"/>
    <w:tmpl w:val="A246D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25C90"/>
    <w:multiLevelType w:val="hybridMultilevel"/>
    <w:tmpl w:val="6EFA0D1A"/>
    <w:lvl w:ilvl="0" w:tplc="95DA6C3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4D43FCA"/>
    <w:multiLevelType w:val="hybridMultilevel"/>
    <w:tmpl w:val="BEEE586C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8028A"/>
    <w:multiLevelType w:val="hybridMultilevel"/>
    <w:tmpl w:val="DE6EC628"/>
    <w:lvl w:ilvl="0" w:tplc="F1EC7C34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8" w15:restartNumberingAfterBreak="0">
    <w:nsid w:val="7D5571B9"/>
    <w:multiLevelType w:val="hybridMultilevel"/>
    <w:tmpl w:val="21D6664C"/>
    <w:lvl w:ilvl="0" w:tplc="A18E4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02909">
    <w:abstractNumId w:val="10"/>
  </w:num>
  <w:num w:numId="2" w16cid:durableId="2065718070">
    <w:abstractNumId w:val="29"/>
  </w:num>
  <w:num w:numId="3" w16cid:durableId="444429275">
    <w:abstractNumId w:val="7"/>
  </w:num>
  <w:num w:numId="4" w16cid:durableId="2129348876">
    <w:abstractNumId w:val="47"/>
  </w:num>
  <w:num w:numId="5" w16cid:durableId="928124577">
    <w:abstractNumId w:val="28"/>
  </w:num>
  <w:num w:numId="6" w16cid:durableId="1228885024">
    <w:abstractNumId w:val="4"/>
  </w:num>
  <w:num w:numId="7" w16cid:durableId="350841569">
    <w:abstractNumId w:val="27"/>
  </w:num>
  <w:num w:numId="8" w16cid:durableId="812450925">
    <w:abstractNumId w:val="43"/>
  </w:num>
  <w:num w:numId="9" w16cid:durableId="1307471858">
    <w:abstractNumId w:val="12"/>
  </w:num>
  <w:num w:numId="10" w16cid:durableId="1500653956">
    <w:abstractNumId w:val="36"/>
  </w:num>
  <w:num w:numId="11" w16cid:durableId="1585796624">
    <w:abstractNumId w:val="46"/>
  </w:num>
  <w:num w:numId="12" w16cid:durableId="2083481915">
    <w:abstractNumId w:val="32"/>
  </w:num>
  <w:num w:numId="13" w16cid:durableId="2114938924">
    <w:abstractNumId w:val="9"/>
  </w:num>
  <w:num w:numId="14" w16cid:durableId="223102741">
    <w:abstractNumId w:val="34"/>
  </w:num>
  <w:num w:numId="15" w16cid:durableId="132868177">
    <w:abstractNumId w:val="30"/>
  </w:num>
  <w:num w:numId="16" w16cid:durableId="414477266">
    <w:abstractNumId w:val="15"/>
  </w:num>
  <w:num w:numId="17" w16cid:durableId="232014450">
    <w:abstractNumId w:val="13"/>
  </w:num>
  <w:num w:numId="18" w16cid:durableId="483857647">
    <w:abstractNumId w:val="1"/>
  </w:num>
  <w:num w:numId="19" w16cid:durableId="1141771435">
    <w:abstractNumId w:val="19"/>
  </w:num>
  <w:num w:numId="20" w16cid:durableId="1277172243">
    <w:abstractNumId w:val="8"/>
  </w:num>
  <w:num w:numId="21" w16cid:durableId="2131168407">
    <w:abstractNumId w:val="11"/>
  </w:num>
  <w:num w:numId="22" w16cid:durableId="671418695">
    <w:abstractNumId w:val="14"/>
  </w:num>
  <w:num w:numId="23" w16cid:durableId="1628505891">
    <w:abstractNumId w:val="31"/>
  </w:num>
  <w:num w:numId="24" w16cid:durableId="848250868">
    <w:abstractNumId w:val="44"/>
  </w:num>
  <w:num w:numId="25" w16cid:durableId="706444288">
    <w:abstractNumId w:val="22"/>
  </w:num>
  <w:num w:numId="26" w16cid:durableId="1789737662">
    <w:abstractNumId w:val="3"/>
  </w:num>
  <w:num w:numId="27" w16cid:durableId="404306106">
    <w:abstractNumId w:val="18"/>
  </w:num>
  <w:num w:numId="28" w16cid:durableId="1423332540">
    <w:abstractNumId w:val="16"/>
  </w:num>
  <w:num w:numId="29" w16cid:durableId="1103456195">
    <w:abstractNumId w:val="35"/>
  </w:num>
  <w:num w:numId="30" w16cid:durableId="944002008">
    <w:abstractNumId w:val="24"/>
  </w:num>
  <w:num w:numId="31" w16cid:durableId="155000996">
    <w:abstractNumId w:val="0"/>
  </w:num>
  <w:num w:numId="32" w16cid:durableId="150608056">
    <w:abstractNumId w:val="6"/>
  </w:num>
  <w:num w:numId="33" w16cid:durableId="2022661896">
    <w:abstractNumId w:val="5"/>
  </w:num>
  <w:num w:numId="34" w16cid:durableId="1030377521">
    <w:abstractNumId w:val="20"/>
  </w:num>
  <w:num w:numId="35" w16cid:durableId="2112046248">
    <w:abstractNumId w:val="38"/>
  </w:num>
  <w:num w:numId="36" w16cid:durableId="2064017915">
    <w:abstractNumId w:val="33"/>
  </w:num>
  <w:num w:numId="37" w16cid:durableId="683478856">
    <w:abstractNumId w:val="40"/>
  </w:num>
  <w:num w:numId="38" w16cid:durableId="1948459204">
    <w:abstractNumId w:val="26"/>
  </w:num>
  <w:num w:numId="39" w16cid:durableId="186875024">
    <w:abstractNumId w:val="25"/>
  </w:num>
  <w:num w:numId="40" w16cid:durableId="2025668921">
    <w:abstractNumId w:val="39"/>
  </w:num>
  <w:num w:numId="41" w16cid:durableId="1757433212">
    <w:abstractNumId w:val="45"/>
  </w:num>
  <w:num w:numId="42" w16cid:durableId="1003509180">
    <w:abstractNumId w:val="21"/>
  </w:num>
  <w:num w:numId="43" w16cid:durableId="1348022015">
    <w:abstractNumId w:val="17"/>
  </w:num>
  <w:num w:numId="44" w16cid:durableId="1218202467">
    <w:abstractNumId w:val="42"/>
  </w:num>
  <w:num w:numId="45" w16cid:durableId="1667440200">
    <w:abstractNumId w:val="23"/>
  </w:num>
  <w:num w:numId="46" w16cid:durableId="151917140">
    <w:abstractNumId w:val="37"/>
  </w:num>
  <w:num w:numId="47" w16cid:durableId="963655070">
    <w:abstractNumId w:val="41"/>
  </w:num>
  <w:num w:numId="48" w16cid:durableId="2129005863">
    <w:abstractNumId w:val="48"/>
  </w:num>
  <w:num w:numId="49" w16cid:durableId="1699575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71"/>
    <w:rsid w:val="0000177E"/>
    <w:rsid w:val="0002211E"/>
    <w:rsid w:val="000251E3"/>
    <w:rsid w:val="0003315F"/>
    <w:rsid w:val="0003570F"/>
    <w:rsid w:val="00043EBB"/>
    <w:rsid w:val="0004580E"/>
    <w:rsid w:val="00053ACF"/>
    <w:rsid w:val="0008560B"/>
    <w:rsid w:val="00086528"/>
    <w:rsid w:val="000A30C7"/>
    <w:rsid w:val="000B6764"/>
    <w:rsid w:val="000E043C"/>
    <w:rsid w:val="000E552B"/>
    <w:rsid w:val="000F5A5D"/>
    <w:rsid w:val="00106451"/>
    <w:rsid w:val="00126885"/>
    <w:rsid w:val="00140B5E"/>
    <w:rsid w:val="00144043"/>
    <w:rsid w:val="00150BA1"/>
    <w:rsid w:val="00152114"/>
    <w:rsid w:val="00153C93"/>
    <w:rsid w:val="001637B2"/>
    <w:rsid w:val="001773D8"/>
    <w:rsid w:val="0018682A"/>
    <w:rsid w:val="00192B17"/>
    <w:rsid w:val="0019591E"/>
    <w:rsid w:val="00195E21"/>
    <w:rsid w:val="001C2917"/>
    <w:rsid w:val="001C37A3"/>
    <w:rsid w:val="001C4DF4"/>
    <w:rsid w:val="001C714D"/>
    <w:rsid w:val="001D31C4"/>
    <w:rsid w:val="001D616F"/>
    <w:rsid w:val="001E34D9"/>
    <w:rsid w:val="00214BFE"/>
    <w:rsid w:val="00227427"/>
    <w:rsid w:val="00237E79"/>
    <w:rsid w:val="00244174"/>
    <w:rsid w:val="002633B9"/>
    <w:rsid w:val="002667A4"/>
    <w:rsid w:val="00270420"/>
    <w:rsid w:val="00272F56"/>
    <w:rsid w:val="00284988"/>
    <w:rsid w:val="00294582"/>
    <w:rsid w:val="002A0A6A"/>
    <w:rsid w:val="002B6CA9"/>
    <w:rsid w:val="002C6C11"/>
    <w:rsid w:val="002D4936"/>
    <w:rsid w:val="00300B25"/>
    <w:rsid w:val="00311DD6"/>
    <w:rsid w:val="00312424"/>
    <w:rsid w:val="00313B13"/>
    <w:rsid w:val="00315094"/>
    <w:rsid w:val="0031551F"/>
    <w:rsid w:val="0032198D"/>
    <w:rsid w:val="0032381C"/>
    <w:rsid w:val="00346D79"/>
    <w:rsid w:val="00391509"/>
    <w:rsid w:val="003A3559"/>
    <w:rsid w:val="003A6DC1"/>
    <w:rsid w:val="003C1FCC"/>
    <w:rsid w:val="003D0972"/>
    <w:rsid w:val="003D4EC4"/>
    <w:rsid w:val="003D626D"/>
    <w:rsid w:val="003E30BC"/>
    <w:rsid w:val="003E4AC7"/>
    <w:rsid w:val="003F5BA1"/>
    <w:rsid w:val="00406A04"/>
    <w:rsid w:val="00422726"/>
    <w:rsid w:val="00433177"/>
    <w:rsid w:val="00443B6B"/>
    <w:rsid w:val="0045573C"/>
    <w:rsid w:val="00466900"/>
    <w:rsid w:val="00470C33"/>
    <w:rsid w:val="00491F58"/>
    <w:rsid w:val="00494C64"/>
    <w:rsid w:val="00496A95"/>
    <w:rsid w:val="004A29C2"/>
    <w:rsid w:val="004A4ADC"/>
    <w:rsid w:val="004A7184"/>
    <w:rsid w:val="004C6FB4"/>
    <w:rsid w:val="004F0C01"/>
    <w:rsid w:val="004F3F2B"/>
    <w:rsid w:val="004F67C4"/>
    <w:rsid w:val="00515A15"/>
    <w:rsid w:val="00526699"/>
    <w:rsid w:val="00535D2C"/>
    <w:rsid w:val="005365B3"/>
    <w:rsid w:val="0057396F"/>
    <w:rsid w:val="0058329D"/>
    <w:rsid w:val="00583579"/>
    <w:rsid w:val="005A7C80"/>
    <w:rsid w:val="005B591A"/>
    <w:rsid w:val="005C19DC"/>
    <w:rsid w:val="005E531B"/>
    <w:rsid w:val="005F155D"/>
    <w:rsid w:val="005F49E1"/>
    <w:rsid w:val="005F5BD5"/>
    <w:rsid w:val="005F6E9C"/>
    <w:rsid w:val="006207A7"/>
    <w:rsid w:val="00627D48"/>
    <w:rsid w:val="00647C05"/>
    <w:rsid w:val="006668CD"/>
    <w:rsid w:val="00686523"/>
    <w:rsid w:val="0068739D"/>
    <w:rsid w:val="006C0197"/>
    <w:rsid w:val="006C0F7B"/>
    <w:rsid w:val="006D749E"/>
    <w:rsid w:val="006F0B70"/>
    <w:rsid w:val="006F2ED9"/>
    <w:rsid w:val="00702C71"/>
    <w:rsid w:val="00704E62"/>
    <w:rsid w:val="0071658D"/>
    <w:rsid w:val="007218E5"/>
    <w:rsid w:val="007278C6"/>
    <w:rsid w:val="00727F0F"/>
    <w:rsid w:val="00730DC5"/>
    <w:rsid w:val="007670C3"/>
    <w:rsid w:val="00783AB9"/>
    <w:rsid w:val="00790283"/>
    <w:rsid w:val="007B5E89"/>
    <w:rsid w:val="007D65CE"/>
    <w:rsid w:val="007E42F5"/>
    <w:rsid w:val="007E7EB7"/>
    <w:rsid w:val="007F41EF"/>
    <w:rsid w:val="00813D10"/>
    <w:rsid w:val="00816601"/>
    <w:rsid w:val="00820E37"/>
    <w:rsid w:val="008242FB"/>
    <w:rsid w:val="0086693A"/>
    <w:rsid w:val="00875AC2"/>
    <w:rsid w:val="008836A8"/>
    <w:rsid w:val="00890DD8"/>
    <w:rsid w:val="00891A4F"/>
    <w:rsid w:val="008B188F"/>
    <w:rsid w:val="008B60FB"/>
    <w:rsid w:val="008C0504"/>
    <w:rsid w:val="008C0718"/>
    <w:rsid w:val="008E2D47"/>
    <w:rsid w:val="008E6EAA"/>
    <w:rsid w:val="009445D8"/>
    <w:rsid w:val="00950020"/>
    <w:rsid w:val="0096266F"/>
    <w:rsid w:val="00965C57"/>
    <w:rsid w:val="00971E46"/>
    <w:rsid w:val="00975124"/>
    <w:rsid w:val="00981073"/>
    <w:rsid w:val="009951CF"/>
    <w:rsid w:val="009A3D7D"/>
    <w:rsid w:val="009A77AB"/>
    <w:rsid w:val="009B2997"/>
    <w:rsid w:val="009C4742"/>
    <w:rsid w:val="009D1F14"/>
    <w:rsid w:val="009E4902"/>
    <w:rsid w:val="009F46E5"/>
    <w:rsid w:val="009F4C0D"/>
    <w:rsid w:val="009F72A1"/>
    <w:rsid w:val="00A036BD"/>
    <w:rsid w:val="00A320BC"/>
    <w:rsid w:val="00A42687"/>
    <w:rsid w:val="00A43579"/>
    <w:rsid w:val="00A44F14"/>
    <w:rsid w:val="00A61BFF"/>
    <w:rsid w:val="00A90F74"/>
    <w:rsid w:val="00AA09A8"/>
    <w:rsid w:val="00AA443A"/>
    <w:rsid w:val="00AA6EC8"/>
    <w:rsid w:val="00AB4E1C"/>
    <w:rsid w:val="00AB7A2D"/>
    <w:rsid w:val="00AD0DD5"/>
    <w:rsid w:val="00AE67A4"/>
    <w:rsid w:val="00AF15DF"/>
    <w:rsid w:val="00B07435"/>
    <w:rsid w:val="00B07933"/>
    <w:rsid w:val="00B221EE"/>
    <w:rsid w:val="00B22E23"/>
    <w:rsid w:val="00B332A2"/>
    <w:rsid w:val="00B44396"/>
    <w:rsid w:val="00B458DD"/>
    <w:rsid w:val="00B52FDE"/>
    <w:rsid w:val="00B535F7"/>
    <w:rsid w:val="00B569C9"/>
    <w:rsid w:val="00B970A7"/>
    <w:rsid w:val="00BB6ABB"/>
    <w:rsid w:val="00BC76C6"/>
    <w:rsid w:val="00BD1945"/>
    <w:rsid w:val="00BE5A4D"/>
    <w:rsid w:val="00BE6F0A"/>
    <w:rsid w:val="00C007A1"/>
    <w:rsid w:val="00C06BA0"/>
    <w:rsid w:val="00C11553"/>
    <w:rsid w:val="00C26818"/>
    <w:rsid w:val="00C27C42"/>
    <w:rsid w:val="00C625ED"/>
    <w:rsid w:val="00C62D50"/>
    <w:rsid w:val="00C62F3D"/>
    <w:rsid w:val="00C77AA2"/>
    <w:rsid w:val="00C81441"/>
    <w:rsid w:val="00CA0ECA"/>
    <w:rsid w:val="00CA492F"/>
    <w:rsid w:val="00CC2BFE"/>
    <w:rsid w:val="00CD0D0C"/>
    <w:rsid w:val="00CD6731"/>
    <w:rsid w:val="00D018FE"/>
    <w:rsid w:val="00D12DA1"/>
    <w:rsid w:val="00D168BE"/>
    <w:rsid w:val="00D35AB8"/>
    <w:rsid w:val="00D4763F"/>
    <w:rsid w:val="00D5387D"/>
    <w:rsid w:val="00D941D3"/>
    <w:rsid w:val="00DB6DAE"/>
    <w:rsid w:val="00DC2056"/>
    <w:rsid w:val="00E07261"/>
    <w:rsid w:val="00E11520"/>
    <w:rsid w:val="00E178F1"/>
    <w:rsid w:val="00E34049"/>
    <w:rsid w:val="00E656C5"/>
    <w:rsid w:val="00E75E10"/>
    <w:rsid w:val="00E94377"/>
    <w:rsid w:val="00E9441D"/>
    <w:rsid w:val="00EA1EC5"/>
    <w:rsid w:val="00EB5D95"/>
    <w:rsid w:val="00EC2632"/>
    <w:rsid w:val="00EC486A"/>
    <w:rsid w:val="00ED27BC"/>
    <w:rsid w:val="00ED7FDA"/>
    <w:rsid w:val="00EE6255"/>
    <w:rsid w:val="00EF5D6F"/>
    <w:rsid w:val="00EF75AC"/>
    <w:rsid w:val="00F05B03"/>
    <w:rsid w:val="00F06331"/>
    <w:rsid w:val="00F10B7E"/>
    <w:rsid w:val="00F2335E"/>
    <w:rsid w:val="00F239A1"/>
    <w:rsid w:val="00F34E7C"/>
    <w:rsid w:val="00F35977"/>
    <w:rsid w:val="00F36677"/>
    <w:rsid w:val="00F63B26"/>
    <w:rsid w:val="00F7420A"/>
    <w:rsid w:val="00F84C8B"/>
    <w:rsid w:val="00F865B7"/>
    <w:rsid w:val="00F92330"/>
    <w:rsid w:val="00FA151F"/>
    <w:rsid w:val="00FA162A"/>
    <w:rsid w:val="00FA5F95"/>
    <w:rsid w:val="00FB1B04"/>
    <w:rsid w:val="00FC199C"/>
    <w:rsid w:val="00FC1B3B"/>
    <w:rsid w:val="00FE046D"/>
    <w:rsid w:val="00FE542D"/>
    <w:rsid w:val="00FE730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B851"/>
  <w15:docId w15:val="{18F30009-BB4F-4C7E-A4FE-2577078A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46D"/>
    <w:pPr>
      <w:spacing w:line="360" w:lineRule="auto"/>
      <w:jc w:val="both"/>
    </w:pPr>
    <w:rPr>
      <w:rFonts w:ascii="Cambria" w:hAnsi="Cambria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72A1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Normální - úroveň 3"/>
    <w:basedOn w:val="Normln"/>
    <w:link w:val="OdstavecseseznamemChar"/>
    <w:uiPriority w:val="34"/>
    <w:qFormat/>
    <w:rsid w:val="00CA0ECA"/>
    <w:pPr>
      <w:ind w:left="720"/>
      <w:contextualSpacing/>
    </w:pPr>
  </w:style>
  <w:style w:type="table" w:styleId="Mkatabulky">
    <w:name w:val="Table Grid"/>
    <w:basedOn w:val="Normlntabulka"/>
    <w:rsid w:val="00CA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semiHidden/>
    <w:rsid w:val="009F72A1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Normální - úroveň 3 Char"/>
    <w:link w:val="Odstavecseseznamem"/>
    <w:uiPriority w:val="34"/>
    <w:locked/>
    <w:rsid w:val="009F72A1"/>
    <w:rPr>
      <w:rFonts w:ascii="Cambria" w:hAnsi="Cambria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E0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Zhlav">
    <w:name w:val="header"/>
    <w:basedOn w:val="Normln"/>
    <w:link w:val="ZhlavChar"/>
    <w:uiPriority w:val="99"/>
    <w:unhideWhenUsed/>
    <w:rsid w:val="00033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15F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033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15F"/>
    <w:rPr>
      <w:rFonts w:ascii="Cambria" w:hAnsi="Cambri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5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76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76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76C6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6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6C6"/>
    <w:rPr>
      <w:rFonts w:ascii="Cambria" w:hAnsi="Cambri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96A95"/>
    <w:pPr>
      <w:spacing w:after="0" w:line="240" w:lineRule="auto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Spáčilová</dc:creator>
  <cp:lastModifiedBy>Kovaříková Jana</cp:lastModifiedBy>
  <cp:revision>3</cp:revision>
  <cp:lastPrinted>2025-02-03T08:44:00Z</cp:lastPrinted>
  <dcterms:created xsi:type="dcterms:W3CDTF">2025-04-08T10:26:00Z</dcterms:created>
  <dcterms:modified xsi:type="dcterms:W3CDTF">2025-04-08T10:29:00Z</dcterms:modified>
</cp:coreProperties>
</file>