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1220700023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2"/>
        <w:spacing w:before="1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6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ind w:left="10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ind w:left="0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spacing w:before="1"/>
        <w:ind w:right="0"/>
        <w:jc w:val="left"/>
      </w:pPr>
      <w:r>
        <w:rPr/>
        <w:t>Chaloupky</w:t>
      </w:r>
      <w:r>
        <w:rPr>
          <w:spacing w:val="-6"/>
        </w:rPr>
        <w:t> </w:t>
      </w:r>
      <w:r>
        <w:rPr/>
        <w:t>o.p.s.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lesní</w:t>
      </w:r>
      <w:r>
        <w:rPr>
          <w:spacing w:val="-6"/>
        </w:rPr>
        <w:t> </w:t>
      </w:r>
      <w:r>
        <w:rPr/>
        <w:t>mateřská</w:t>
      </w:r>
      <w:r>
        <w:rPr>
          <w:spacing w:val="-6"/>
        </w:rPr>
        <w:t> </w:t>
      </w:r>
      <w:r>
        <w:rPr>
          <w:spacing w:val="-2"/>
        </w:rPr>
        <w:t>škola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Kněžice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109,</w:t>
      </w:r>
      <w:r>
        <w:rPr>
          <w:spacing w:val="-5"/>
        </w:rPr>
        <w:t> </w:t>
      </w:r>
      <w:r>
        <w:rPr/>
        <w:t>675</w:t>
      </w:r>
      <w:r>
        <w:rPr>
          <w:spacing w:val="-4"/>
        </w:rPr>
        <w:t> </w:t>
      </w:r>
      <w:r>
        <w:rPr/>
        <w:t>29</w:t>
      </w:r>
      <w:r>
        <w:rPr>
          <w:spacing w:val="-4"/>
        </w:rPr>
        <w:t> </w:t>
      </w:r>
      <w:r>
        <w:rPr>
          <w:spacing w:val="-2"/>
        </w:rPr>
        <w:t>Kněžice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  <w:t>255</w:t>
      </w:r>
      <w:r>
        <w:rPr>
          <w:spacing w:val="-2"/>
        </w:rPr>
        <w:t> </w:t>
      </w:r>
      <w:r>
        <w:rPr/>
        <w:t>57</w:t>
      </w:r>
      <w:r>
        <w:rPr>
          <w:spacing w:val="-2"/>
        </w:rPr>
        <w:t> </w:t>
      </w:r>
      <w:r>
        <w:rPr>
          <w:spacing w:val="-5"/>
        </w:rPr>
        <w:t>475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Jozefem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ť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 w:right="5046"/>
      </w:pPr>
      <w:r>
        <w:rPr/>
        <w:t>číslo účtu:</w:t>
        <w:tab/>
      </w:r>
      <w:r>
        <w:rPr>
          <w:spacing w:val="-2"/>
        </w:rPr>
        <w:t>1466732339/0800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4711"/>
      </w:pPr>
      <w:r>
        <w:rPr>
          <w:spacing w:val="-5"/>
        </w:rPr>
        <w:t>I.</w:t>
      </w:r>
    </w:p>
    <w:p>
      <w:pPr>
        <w:pStyle w:val="Heading2"/>
        <w:spacing w:before="1"/>
        <w:ind w:left="3135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1220700023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7"/>
        </w:rPr>
        <w:t> </w:t>
      </w:r>
      <w:r>
        <w:rPr/>
        <w:t>3.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2025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870" w:right="0"/>
        <w:jc w:val="both"/>
      </w:pPr>
      <w:r>
        <w:rPr/>
        <w:t>„Podpora</w:t>
      </w:r>
      <w:r>
        <w:rPr>
          <w:spacing w:val="-11"/>
        </w:rPr>
        <w:t> </w:t>
      </w:r>
      <w:r>
        <w:rPr/>
        <w:t>výukových</w:t>
      </w:r>
      <w:r>
        <w:rPr>
          <w:spacing w:val="-11"/>
        </w:rPr>
        <w:t> </w:t>
      </w:r>
      <w:r>
        <w:rPr/>
        <w:t>programů</w:t>
      </w:r>
      <w:r>
        <w:rPr>
          <w:spacing w:val="-12"/>
        </w:rPr>
        <w:t> </w:t>
      </w:r>
      <w:r>
        <w:rPr/>
        <w:t>ekocentra</w:t>
      </w:r>
      <w:r>
        <w:rPr>
          <w:spacing w:val="-10"/>
        </w:rPr>
        <w:t> </w:t>
      </w:r>
      <w:r>
        <w:rPr/>
        <w:t>Chaloupky</w:t>
      </w:r>
      <w:r>
        <w:rPr>
          <w:spacing w:val="-11"/>
        </w:rPr>
        <w:t> </w:t>
      </w:r>
      <w:r>
        <w:rPr>
          <w:spacing w:val="-2"/>
        </w:rPr>
        <w:t>Kněžice“</w:t>
      </w:r>
    </w:p>
    <w:p>
      <w:pPr>
        <w:pStyle w:val="BodyText"/>
        <w:spacing w:before="118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Heading1"/>
        <w:spacing w:before="73"/>
        <w:ind w:right="4711"/>
      </w:pPr>
      <w:r>
        <w:rPr>
          <w:spacing w:val="-5"/>
        </w:rPr>
        <w:t>II.</w:t>
      </w:r>
    </w:p>
    <w:p>
      <w:pPr>
        <w:pStyle w:val="Heading2"/>
        <w:ind w:left="313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2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14" w:hanging="284"/>
        <w:jc w:val="left"/>
        <w:rPr>
          <w:sz w:val="20"/>
        </w:rPr>
      </w:pPr>
      <w:r>
        <w:rPr>
          <w:sz w:val="20"/>
        </w:rPr>
        <w:t>Maximální výše podpory na jednu osobohodinu činí u pobytových ekologických výukových programů (EVP) pro děti a mládež 80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1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 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left"/>
        <w:rPr>
          <w:sz w:val="20"/>
        </w:rPr>
      </w:pPr>
      <w:r>
        <w:rPr>
          <w:sz w:val="20"/>
        </w:rPr>
        <w:t>Podpora je zasílána</w:t>
      </w:r>
      <w:r>
        <w:rPr>
          <w:spacing w:val="15"/>
          <w:sz w:val="20"/>
        </w:rPr>
        <w:t> </w:t>
      </w:r>
      <w:r>
        <w:rPr>
          <w:sz w:val="20"/>
        </w:rPr>
        <w:t>ex post na 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nezbytně</w:t>
      </w:r>
      <w:r>
        <w:rPr>
          <w:spacing w:val="27"/>
          <w:sz w:val="20"/>
        </w:rPr>
        <w:t> </w:t>
      </w:r>
      <w:r>
        <w:rPr>
          <w:sz w:val="20"/>
        </w:rPr>
        <w:t>vynaložených</w:t>
      </w:r>
      <w:r>
        <w:rPr>
          <w:spacing w:val="28"/>
          <w:sz w:val="20"/>
        </w:rPr>
        <w:t> </w:t>
      </w:r>
      <w:r>
        <w:rPr>
          <w:sz w:val="20"/>
        </w:rPr>
        <w:t>výdajů</w:t>
      </w:r>
      <w:r>
        <w:rPr>
          <w:spacing w:val="28"/>
          <w:sz w:val="20"/>
        </w:rPr>
        <w:t> </w:t>
      </w:r>
      <w:r>
        <w:rPr>
          <w:sz w:val="20"/>
        </w:rPr>
        <w:t>na</w:t>
      </w:r>
      <w:r>
        <w:rPr>
          <w:spacing w:val="28"/>
          <w:sz w:val="20"/>
        </w:rPr>
        <w:t> </w:t>
      </w:r>
      <w:r>
        <w:rPr>
          <w:sz w:val="20"/>
        </w:rPr>
        <w:t>dodávky,</w:t>
      </w:r>
      <w:r>
        <w:rPr>
          <w:spacing w:val="28"/>
          <w:sz w:val="20"/>
        </w:rPr>
        <w:t> </w:t>
      </w:r>
      <w:r>
        <w:rPr>
          <w:sz w:val="20"/>
        </w:rPr>
        <w:t>služby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popřípadě</w:t>
      </w:r>
      <w:r>
        <w:rPr>
          <w:spacing w:val="27"/>
          <w:sz w:val="20"/>
        </w:rPr>
        <w:t> </w:t>
      </w:r>
      <w:r>
        <w:rPr>
          <w:sz w:val="20"/>
        </w:rPr>
        <w:t>jiné</w:t>
      </w:r>
      <w:r>
        <w:rPr>
          <w:spacing w:val="27"/>
          <w:sz w:val="20"/>
        </w:rPr>
        <w:t> </w:t>
      </w:r>
      <w:r>
        <w:rPr>
          <w:sz w:val="20"/>
        </w:rPr>
        <w:t>práce,</w:t>
      </w:r>
      <w:r>
        <w:rPr>
          <w:spacing w:val="28"/>
          <w:sz w:val="20"/>
        </w:rPr>
        <w:t> </w:t>
      </w:r>
      <w:r>
        <w:rPr>
          <w:sz w:val="20"/>
        </w:rPr>
        <w:t>dle</w:t>
      </w:r>
      <w:r>
        <w:rPr>
          <w:spacing w:val="27"/>
          <w:sz w:val="20"/>
        </w:rPr>
        <w:t> </w:t>
      </w:r>
      <w:r>
        <w:rPr>
          <w:sz w:val="20"/>
        </w:rPr>
        <w:t>kapitoly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12</w:t>
      </w:r>
      <w:r>
        <w:rPr>
          <w:spacing w:val="29"/>
          <w:sz w:val="20"/>
        </w:rPr>
        <w:t> </w:t>
      </w:r>
      <w:r>
        <w:rPr>
          <w:sz w:val="20"/>
        </w:rPr>
        <w:t>písm.</w:t>
      </w:r>
    </w:p>
    <w:p>
      <w:pPr>
        <w:pStyle w:val="BodyText"/>
        <w:spacing w:before="1"/>
      </w:pPr>
      <w:r>
        <w:rPr/>
        <w:t>b)</w:t>
      </w:r>
      <w:r>
        <w:rPr>
          <w:spacing w:val="-3"/>
        </w:rPr>
        <w:t> </w:t>
      </w:r>
      <w:r>
        <w:rPr/>
        <w:t>Výzvy, kterými byla akce realizována, a které vznikly a byly uhrazeny v období realizace jednotlivých 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138"/>
      </w:pPr>
      <w:r>
        <w:rPr>
          <w:spacing w:val="-4"/>
        </w:rPr>
        <w:t>III.</w:t>
      </w:r>
    </w:p>
    <w:p>
      <w:pPr>
        <w:pStyle w:val="Heading2"/>
        <w:ind w:left="313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7"/>
        <w:ind w:left="0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6"/>
          <w:pgSz w:w="12240" w:h="15840"/>
          <w:pgMar w:footer="1460" w:header="0" w:top="1060" w:bottom="1660" w:left="1600" w:right="1020"/>
          <w:pgNumType w:start="2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480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07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0" w:after="0"/>
        <w:ind w:left="745" w:right="117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byla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9"/>
          <w:sz w:val="20"/>
        </w:rPr>
        <w:t> </w:t>
      </w:r>
      <w:r>
        <w:rPr>
          <w:sz w:val="20"/>
        </w:rPr>
        <w:t>odsouhlaseného</w:t>
      </w:r>
      <w:r>
        <w:rPr>
          <w:spacing w:val="-8"/>
          <w:sz w:val="20"/>
        </w:rPr>
        <w:t> </w:t>
      </w:r>
      <w:r>
        <w:rPr>
          <w:sz w:val="20"/>
        </w:rPr>
        <w:t>podporovaného</w:t>
      </w:r>
      <w:r>
        <w:rPr>
          <w:spacing w:val="-8"/>
          <w:sz w:val="20"/>
        </w:rPr>
        <w:t> </w:t>
      </w:r>
      <w:r>
        <w:rPr>
          <w:sz w:val="20"/>
        </w:rPr>
        <w:t>opatření</w:t>
      </w:r>
      <w:r>
        <w:rPr>
          <w:spacing w:val="-8"/>
          <w:sz w:val="20"/>
        </w:rPr>
        <w:t> </w:t>
      </w:r>
      <w:r>
        <w:rPr>
          <w:sz w:val="20"/>
        </w:rPr>
        <w:t>"Podpora</w:t>
      </w:r>
      <w:r>
        <w:rPr>
          <w:spacing w:val="-8"/>
          <w:sz w:val="20"/>
        </w:rPr>
        <w:t> </w:t>
      </w:r>
      <w:r>
        <w:rPr>
          <w:sz w:val="20"/>
        </w:rPr>
        <w:t>výukových programů ekocentra Chaloupky Kněžice", které je součástí žádosti ze dne 26. 7. 2022 a rozpočtu tohoto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včetně</w:t>
      </w:r>
      <w:r>
        <w:rPr>
          <w:spacing w:val="-3"/>
          <w:sz w:val="20"/>
        </w:rPr>
        <w:t> </w:t>
      </w:r>
      <w:r>
        <w:rPr>
          <w:sz w:val="20"/>
        </w:rPr>
        <w:t>případných</w:t>
      </w:r>
      <w:r>
        <w:rPr>
          <w:spacing w:val="-2"/>
          <w:sz w:val="20"/>
        </w:rPr>
        <w:t> </w:t>
      </w:r>
      <w:r>
        <w:rPr>
          <w:sz w:val="20"/>
        </w:rPr>
        <w:t>změn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doplňků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2"/>
          <w:sz w:val="20"/>
        </w:rPr>
        <w:t> </w:t>
      </w:r>
      <w:r>
        <w:rPr>
          <w:sz w:val="20"/>
        </w:rPr>
        <w:t>dokumentů,</w:t>
      </w:r>
      <w:r>
        <w:rPr>
          <w:spacing w:val="-3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0" w:after="0"/>
        <w:ind w:left="745" w:right="112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období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39"/>
          <w:sz w:val="20"/>
        </w:rPr>
        <w:t> </w:t>
      </w:r>
      <w:r>
        <w:rPr>
          <w:sz w:val="20"/>
        </w:rPr>
        <w:t>9/2023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5/2024</w:t>
      </w:r>
      <w:r>
        <w:rPr>
          <w:spacing w:val="40"/>
          <w:sz w:val="20"/>
        </w:rPr>
        <w:t> </w:t>
      </w:r>
      <w:r>
        <w:rPr>
          <w:sz w:val="20"/>
        </w:rPr>
        <w:t>zrealizoval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pobytové</w:t>
      </w:r>
      <w:r>
        <w:rPr>
          <w:spacing w:val="40"/>
          <w:sz w:val="20"/>
        </w:rPr>
        <w:t> </w:t>
      </w:r>
      <w:r>
        <w:rPr>
          <w:sz w:val="20"/>
        </w:rPr>
        <w:t>ekologicky</w:t>
      </w:r>
      <w:r>
        <w:rPr>
          <w:spacing w:val="40"/>
          <w:sz w:val="20"/>
        </w:rPr>
        <w:t> </w:t>
      </w:r>
      <w:r>
        <w:rPr>
          <w:sz w:val="20"/>
        </w:rPr>
        <w:t>výukové</w:t>
      </w:r>
      <w:r>
        <w:rPr>
          <w:spacing w:val="40"/>
          <w:sz w:val="20"/>
        </w:rPr>
        <w:t> </w:t>
      </w:r>
      <w:r>
        <w:rPr>
          <w:sz w:val="20"/>
        </w:rPr>
        <w:t>programy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děti a mládež v rozsahu 3 750 osobohodin,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668" w:right="113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3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8" w:after="0"/>
        <w:ind w:left="783" w:right="112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6"/>
          <w:sz w:val="20"/>
        </w:rPr>
        <w:t> </w:t>
      </w:r>
      <w:r>
        <w:rPr>
          <w:sz w:val="20"/>
        </w:rPr>
        <w:t>všechny</w:t>
      </w:r>
      <w:r>
        <w:rPr>
          <w:spacing w:val="-6"/>
          <w:sz w:val="20"/>
        </w:rPr>
        <w:t> </w:t>
      </w:r>
      <w:r>
        <w:rPr>
          <w:sz w:val="20"/>
        </w:rPr>
        <w:t>transakce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6"/>
          <w:sz w:val="20"/>
        </w:rPr>
        <w:t> </w:t>
      </w:r>
      <w:r>
        <w:rPr>
          <w:sz w:val="20"/>
        </w:rPr>
        <w:t>identifikovat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5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2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8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1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137"/>
      </w:pPr>
      <w:r>
        <w:rPr>
          <w:spacing w:val="-5"/>
        </w:rPr>
        <w:t>V.</w:t>
      </w:r>
    </w:p>
    <w:p>
      <w:pPr>
        <w:pStyle w:val="Heading2"/>
        <w:ind w:left="1047" w:right="105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73" w:after="0"/>
        <w:ind w:left="46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40"/>
      </w:pPr>
      <w:r>
        <w:rPr>
          <w:spacing w:val="-5"/>
        </w:rPr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nároku na podporu podle této Smlouvy, a to zejména tehdy,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 nižších</w:t>
      </w:r>
      <w:r>
        <w:rPr>
          <w:spacing w:val="-1"/>
          <w:sz w:val="20"/>
        </w:rPr>
        <w:t> </w:t>
      </w:r>
      <w:r>
        <w:rPr>
          <w:sz w:val="20"/>
        </w:rPr>
        <w:t>přínosů</w:t>
      </w:r>
      <w:r>
        <w:rPr>
          <w:spacing w:val="-1"/>
          <w:sz w:val="20"/>
        </w:rPr>
        <w:t> </w:t>
      </w:r>
      <w:r>
        <w:rPr>
          <w:sz w:val="20"/>
        </w:rPr>
        <w:t>(nebo 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30" w:val="left" w:leader="none"/>
        </w:tabs>
        <w:spacing w:before="1"/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570007pt;margin-top:707.988159pt;width:7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4.570007pt;margin-top:707.988159pt;width:12.4pt;height:15.25pt;mso-position-horizontal-relative:page;mso-position-vertical-relative:page;z-index:-15814656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02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47" w:right="106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2025-04-08T08:09:10Z</dcterms:created>
  <dcterms:modified xsi:type="dcterms:W3CDTF">2025-04-08T08:09:10Z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</Properties>
</file>