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9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8"/>
        <w:gridCol w:w="439"/>
        <w:gridCol w:w="1139"/>
        <w:gridCol w:w="1587"/>
        <w:gridCol w:w="2790"/>
        <w:gridCol w:w="1866"/>
      </w:tblGrid>
      <w:tr w:rsidR="00421E10" w:rsidRPr="006F5F2C" w14:paraId="1AA9514E" w14:textId="77777777" w:rsidTr="1F26989D">
        <w:trPr>
          <w:trHeight w:val="347"/>
        </w:trPr>
        <w:tc>
          <w:tcPr>
            <w:tcW w:w="10349" w:type="dxa"/>
            <w:gridSpan w:val="6"/>
            <w:shd w:val="clear" w:color="auto" w:fill="2E74B5" w:themeFill="accent1" w:themeFillShade="BF"/>
            <w:vAlign w:val="center"/>
          </w:tcPr>
          <w:p w14:paraId="33C4A98D" w14:textId="77777777" w:rsidR="00421E10" w:rsidRPr="006F5F2C" w:rsidRDefault="00421E10" w:rsidP="61C0890B">
            <w:pPr>
              <w:keepLines/>
              <w:suppressAutoHyphens w:val="0"/>
              <w:spacing w:before="20" w:after="20" w:line="288" w:lineRule="auto"/>
              <w:rPr>
                <w:rFonts w:asciiTheme="minorHAnsi" w:eastAsiaTheme="minorEastAsia" w:hAnsiTheme="minorHAnsi" w:cstheme="minorBidi"/>
                <w:color w:val="FFFFFF" w:themeColor="background1"/>
                <w:kern w:val="0"/>
                <w:sz w:val="22"/>
                <w:szCs w:val="22"/>
              </w:rPr>
            </w:pPr>
            <w:r w:rsidRPr="61C0890B">
              <w:rPr>
                <w:rFonts w:asciiTheme="minorHAnsi" w:eastAsiaTheme="minorEastAsia" w:hAnsiTheme="minorHAnsi" w:cstheme="minorBidi"/>
                <w:b/>
                <w:bCs/>
                <w:caps/>
                <w:color w:val="FFFFFF" w:themeColor="background1"/>
                <w:kern w:val="0"/>
                <w:sz w:val="22"/>
                <w:szCs w:val="22"/>
              </w:rPr>
              <w:t>SERVICE LEVEL AGREEMENT (SLA)</w:t>
            </w:r>
          </w:p>
        </w:tc>
      </w:tr>
      <w:tr w:rsidR="00421E10" w:rsidRPr="006F5F2C" w14:paraId="11FEE3F9" w14:textId="77777777" w:rsidTr="1F26989D">
        <w:trPr>
          <w:trHeight w:val="709"/>
        </w:trPr>
        <w:tc>
          <w:tcPr>
            <w:tcW w:w="2528" w:type="dxa"/>
            <w:tcBorders>
              <w:bottom w:val="single" w:sz="4" w:space="0" w:color="auto"/>
            </w:tcBorders>
          </w:tcPr>
          <w:p w14:paraId="6CA0D0F6" w14:textId="77777777" w:rsidR="00421E10" w:rsidRPr="006F5F2C" w:rsidRDefault="00421E10" w:rsidP="61C0890B">
            <w:pPr>
              <w:keepLines/>
              <w:suppressAutoHyphens w:val="0"/>
              <w:spacing w:before="100" w:after="120"/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</w:rPr>
            </w:pPr>
            <w:r w:rsidRPr="61C0890B"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</w:rPr>
              <w:t xml:space="preserve">Vyhodnocovací období </w:t>
            </w:r>
          </w:p>
        </w:tc>
        <w:tc>
          <w:tcPr>
            <w:tcW w:w="7821" w:type="dxa"/>
            <w:gridSpan w:val="5"/>
            <w:tcBorders>
              <w:bottom w:val="single" w:sz="4" w:space="0" w:color="auto"/>
            </w:tcBorders>
          </w:tcPr>
          <w:p w14:paraId="707D4CF9" w14:textId="77777777" w:rsidR="00421E10" w:rsidRPr="006F5F2C" w:rsidRDefault="00421E10" w:rsidP="61C0890B">
            <w:pPr>
              <w:keepLines/>
              <w:suppressAutoHyphens w:val="0"/>
              <w:spacing w:before="100" w:after="120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  <w:r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1 kalendářní měsíc</w:t>
            </w:r>
          </w:p>
        </w:tc>
      </w:tr>
      <w:tr w:rsidR="00421E10" w:rsidRPr="006F5F2C" w14:paraId="14DE8378" w14:textId="77777777" w:rsidTr="00F42DF5">
        <w:trPr>
          <w:trHeight w:val="347"/>
        </w:trPr>
        <w:tc>
          <w:tcPr>
            <w:tcW w:w="4106" w:type="dxa"/>
            <w:gridSpan w:val="3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A7C7024" w14:textId="77777777" w:rsidR="00421E10" w:rsidRPr="006F5F2C" w:rsidRDefault="00421E10" w:rsidP="61C0890B">
            <w:pPr>
              <w:keepLines/>
              <w:suppressAutoHyphens w:val="0"/>
              <w:spacing w:before="100" w:after="120"/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</w:rPr>
            </w:pPr>
            <w:r w:rsidRPr="61C0890B"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</w:rPr>
              <w:t>SLA PARAMETRY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2E7071F" w14:textId="77777777" w:rsidR="00421E10" w:rsidRPr="006F5F2C" w:rsidRDefault="00421E10" w:rsidP="61C0890B">
            <w:pPr>
              <w:keepLines/>
              <w:suppressAutoHyphens w:val="0"/>
              <w:spacing w:before="100" w:after="120"/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</w:rPr>
            </w:pPr>
            <w:r w:rsidRPr="61C0890B"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</w:rPr>
              <w:t>Jednotka</w:t>
            </w:r>
          </w:p>
        </w:tc>
        <w:tc>
          <w:tcPr>
            <w:tcW w:w="2790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4408F56C" w14:textId="77777777" w:rsidR="00421E10" w:rsidRPr="006F5F2C" w:rsidRDefault="00421E10" w:rsidP="61C0890B">
            <w:pPr>
              <w:keepLines/>
              <w:suppressAutoHyphens w:val="0"/>
              <w:spacing w:before="100" w:after="120"/>
              <w:jc w:val="center"/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</w:rPr>
            </w:pPr>
            <w:r w:rsidRPr="61C0890B"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</w:rPr>
              <w:t>Hodnota</w:t>
            </w:r>
          </w:p>
        </w:tc>
        <w:tc>
          <w:tcPr>
            <w:tcW w:w="1866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26BBFCD0" w14:textId="4B3DC0C4" w:rsidR="00421E10" w:rsidRPr="006F5F2C" w:rsidRDefault="004946B6" w:rsidP="61C0890B">
            <w:pPr>
              <w:keepLines/>
              <w:suppressAutoHyphens w:val="0"/>
              <w:spacing w:before="100" w:after="120"/>
              <w:jc w:val="center"/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</w:rPr>
              <w:t>Poznámka</w:t>
            </w:r>
          </w:p>
        </w:tc>
      </w:tr>
      <w:tr w:rsidR="007D2A9A" w:rsidRPr="006F5F2C" w14:paraId="71755749" w14:textId="77777777" w:rsidTr="00F42DF5">
        <w:trPr>
          <w:trHeight w:val="347"/>
        </w:trPr>
        <w:tc>
          <w:tcPr>
            <w:tcW w:w="410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F1590" w14:textId="05A26C06" w:rsidR="007D2A9A" w:rsidRPr="00F42DF5" w:rsidRDefault="002F1F27" w:rsidP="61C0890B">
            <w:pPr>
              <w:keepLines/>
              <w:suppressAutoHyphens w:val="0"/>
              <w:spacing w:before="100" w:after="120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  <w:r w:rsidRPr="003B6CBA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Provozní doba služby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E8C9" w14:textId="61F2A96D" w:rsidR="007D2A9A" w:rsidRPr="003B6CBA" w:rsidRDefault="008F3063" w:rsidP="61C0890B">
            <w:pPr>
              <w:keepLines/>
              <w:suppressAutoHyphens w:val="0"/>
              <w:spacing w:before="100" w:after="120"/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</w:rPr>
            </w:pPr>
            <w:r w:rsidRPr="003B6CBA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[h</w:t>
            </w:r>
            <w:r w:rsidR="00C8366A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.</w:t>
            </w:r>
            <w:r w:rsidRPr="003B6CBA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]</w:t>
            </w:r>
          </w:p>
        </w:tc>
        <w:tc>
          <w:tcPr>
            <w:tcW w:w="2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C15F0F" w14:textId="26FC352B" w:rsidR="007D2A9A" w:rsidRPr="003B6CBA" w:rsidRDefault="002F1F27" w:rsidP="61C0890B">
            <w:pPr>
              <w:keepLines/>
              <w:suppressAutoHyphens w:val="0"/>
              <w:spacing w:before="100" w:after="120"/>
              <w:jc w:val="center"/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</w:rPr>
            </w:pPr>
            <w:r w:rsidRPr="003B6CBA"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</w:rPr>
              <w:t>24</w:t>
            </w:r>
            <w:r w:rsidR="008F3063" w:rsidRPr="003B6CBA"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</w:rPr>
              <w:t>x</w:t>
            </w:r>
            <w:r w:rsidR="005965C8" w:rsidRPr="003B6CBA"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8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68759F" w14:textId="77777777" w:rsidR="007D2A9A" w:rsidRPr="003B6CBA" w:rsidRDefault="007D2A9A" w:rsidP="61C0890B">
            <w:pPr>
              <w:keepLines/>
              <w:suppressAutoHyphens w:val="0"/>
              <w:spacing w:before="100" w:after="120"/>
              <w:jc w:val="center"/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</w:rPr>
            </w:pPr>
          </w:p>
        </w:tc>
      </w:tr>
      <w:tr w:rsidR="00421E10" w:rsidRPr="006F5F2C" w14:paraId="6859018D" w14:textId="77777777" w:rsidTr="00F42DF5">
        <w:trPr>
          <w:trHeight w:val="347"/>
        </w:trPr>
        <w:tc>
          <w:tcPr>
            <w:tcW w:w="4106" w:type="dxa"/>
            <w:gridSpan w:val="3"/>
          </w:tcPr>
          <w:p w14:paraId="37664625" w14:textId="77777777" w:rsidR="00421E10" w:rsidRPr="006F5F2C" w:rsidRDefault="00421E10" w:rsidP="61C0890B">
            <w:pPr>
              <w:keepLines/>
              <w:suppressAutoHyphens w:val="0"/>
              <w:spacing w:before="100" w:after="120"/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</w:rPr>
            </w:pPr>
            <w:r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Minimální dostupnost služby</w:t>
            </w:r>
          </w:p>
        </w:tc>
        <w:tc>
          <w:tcPr>
            <w:tcW w:w="1587" w:type="dxa"/>
          </w:tcPr>
          <w:p w14:paraId="699DD214" w14:textId="77777777" w:rsidR="00421E10" w:rsidRPr="006F5F2C" w:rsidRDefault="00421E10" w:rsidP="61C0890B">
            <w:pPr>
              <w:keepLines/>
              <w:suppressAutoHyphens w:val="0"/>
              <w:spacing w:before="100" w:after="120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  <w:r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[%/měsíc]</w:t>
            </w:r>
          </w:p>
        </w:tc>
        <w:tc>
          <w:tcPr>
            <w:tcW w:w="2790" w:type="dxa"/>
          </w:tcPr>
          <w:p w14:paraId="669144E5" w14:textId="77777777" w:rsidR="00421E10" w:rsidRPr="006F5F2C" w:rsidRDefault="00421E10" w:rsidP="61C0890B">
            <w:pPr>
              <w:keepLines/>
              <w:suppressAutoHyphens w:val="0"/>
              <w:spacing w:before="100" w:after="120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  <w:r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98</w:t>
            </w:r>
          </w:p>
        </w:tc>
        <w:tc>
          <w:tcPr>
            <w:tcW w:w="1866" w:type="dxa"/>
            <w:vAlign w:val="center"/>
          </w:tcPr>
          <w:p w14:paraId="3E80A57A" w14:textId="40BCCF4E" w:rsidR="00421E10" w:rsidRPr="006F5F2C" w:rsidRDefault="00052F22" w:rsidP="61C0890B">
            <w:pPr>
              <w:keepLines/>
              <w:suppressAutoHyphens w:val="0"/>
              <w:spacing w:before="100" w:after="120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(</w:t>
            </w:r>
            <w:r w:rsidR="003B245F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(p</w:t>
            </w:r>
            <w:r w:rsidR="00A85F13" w:rsidRPr="00F42DF5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očet hodin v měsíci – počet hodin nedostupnosti</w:t>
            </w:r>
            <w:r w:rsidR="00DF7355" w:rsidRPr="00F42DF5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)</w:t>
            </w: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 xml:space="preserve"> </w:t>
            </w:r>
            <w:r w:rsidR="00660B28" w:rsidRPr="00F42DF5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/</w:t>
            </w: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 xml:space="preserve"> </w:t>
            </w:r>
            <w:r w:rsidR="00660B28" w:rsidRPr="00F42DF5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počet hodin v měsíci</w:t>
            </w: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 xml:space="preserve">) </w:t>
            </w:r>
            <w:r w:rsidR="003B245F" w:rsidRPr="00F42DF5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* 100</w:t>
            </w:r>
            <w:r w:rsidR="00A85F13" w:rsidRPr="00F42DF5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 xml:space="preserve">  </w:t>
            </w:r>
          </w:p>
        </w:tc>
      </w:tr>
      <w:tr w:rsidR="00421E10" w:rsidRPr="006F5F2C" w14:paraId="5AE362F2" w14:textId="77777777" w:rsidTr="00F42DF5">
        <w:trPr>
          <w:trHeight w:val="347"/>
        </w:trPr>
        <w:tc>
          <w:tcPr>
            <w:tcW w:w="4106" w:type="dxa"/>
            <w:gridSpan w:val="3"/>
          </w:tcPr>
          <w:p w14:paraId="399D5BF5" w14:textId="2669AC8B" w:rsidR="00421E10" w:rsidRPr="006F5F2C" w:rsidRDefault="00421E10" w:rsidP="61C0890B">
            <w:pPr>
              <w:keepLines/>
              <w:suppressAutoHyphens w:val="0"/>
              <w:spacing w:before="100" w:after="120"/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</w:rPr>
            </w:pPr>
            <w:r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 xml:space="preserve">Provozní doba </w:t>
            </w:r>
            <w:r w:rsidR="005E5F22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helpdesk</w:t>
            </w:r>
            <w:r w:rsidR="007B10F1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u</w:t>
            </w:r>
          </w:p>
        </w:tc>
        <w:tc>
          <w:tcPr>
            <w:tcW w:w="1587" w:type="dxa"/>
          </w:tcPr>
          <w:p w14:paraId="64DDA8C2" w14:textId="6B87610F" w:rsidR="00421E10" w:rsidRPr="006F5F2C" w:rsidRDefault="00421E10" w:rsidP="61C0890B">
            <w:pPr>
              <w:keepLines/>
              <w:suppressAutoHyphens w:val="0"/>
              <w:spacing w:before="100" w:after="120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  <w:r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[h</w:t>
            </w:r>
            <w:r w:rsidR="00C8366A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.</w:t>
            </w:r>
            <w:r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-h</w:t>
            </w:r>
            <w:r w:rsidR="00C8366A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.</w:t>
            </w:r>
            <w:r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]</w:t>
            </w:r>
          </w:p>
        </w:tc>
        <w:tc>
          <w:tcPr>
            <w:tcW w:w="2790" w:type="dxa"/>
          </w:tcPr>
          <w:p w14:paraId="26A003C1" w14:textId="74077A7A" w:rsidR="00421E10" w:rsidRPr="006F5F2C" w:rsidRDefault="00721B38" w:rsidP="61C0890B">
            <w:pPr>
              <w:keepLines/>
              <w:suppressAutoHyphens w:val="0"/>
              <w:spacing w:before="100" w:after="120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9</w:t>
            </w:r>
            <w:r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 xml:space="preserve">x5 </w:t>
            </w:r>
            <w:r w:rsidR="00421E10"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(pracovní dny od 9 hod</w:t>
            </w:r>
            <w:r w:rsidR="00817C00"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.</w:t>
            </w:r>
            <w:r w:rsidR="00421E10"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 xml:space="preserve"> – 1</w:t>
            </w:r>
            <w:r w:rsidR="003E6363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8</w:t>
            </w:r>
            <w:r w:rsidR="00421E10"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 xml:space="preserve"> hod</w:t>
            </w:r>
            <w:r w:rsidR="00817C00"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.</w:t>
            </w:r>
            <w:r w:rsidR="00421E10"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)</w:t>
            </w:r>
          </w:p>
        </w:tc>
        <w:tc>
          <w:tcPr>
            <w:tcW w:w="1866" w:type="dxa"/>
          </w:tcPr>
          <w:p w14:paraId="63BCBE74" w14:textId="77777777" w:rsidR="00421E10" w:rsidRPr="006F5F2C" w:rsidRDefault="00421E10" w:rsidP="009E5ADA">
            <w:pPr>
              <w:keepLines/>
              <w:suppressAutoHyphens w:val="0"/>
              <w:spacing w:before="100" w:after="12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421E10" w:rsidRPr="006F5F2C" w14:paraId="24CAB0C4" w14:textId="77777777" w:rsidTr="00F42DF5">
        <w:trPr>
          <w:trHeight w:val="347"/>
        </w:trPr>
        <w:tc>
          <w:tcPr>
            <w:tcW w:w="4106" w:type="dxa"/>
            <w:gridSpan w:val="3"/>
          </w:tcPr>
          <w:p w14:paraId="08B48DAB" w14:textId="38CF5083" w:rsidR="00421E10" w:rsidRPr="006F5F2C" w:rsidRDefault="00421E10" w:rsidP="61C0890B">
            <w:pPr>
              <w:keepLines/>
              <w:suppressAutoHyphens w:val="0"/>
              <w:spacing w:before="100" w:after="120"/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</w:rPr>
            </w:pPr>
            <w:r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Max. doba servisní odezvy</w:t>
            </w:r>
            <w:r w:rsidR="0029016A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 xml:space="preserve"> (započe</w:t>
            </w:r>
            <w:r w:rsidR="001A6E28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t</w:t>
            </w:r>
            <w:r w:rsidR="007849D3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í ser</w:t>
            </w:r>
            <w:r w:rsidR="0073059D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visní</w:t>
            </w:r>
            <w:r w:rsidR="00D974C7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ho zásahu</w:t>
            </w:r>
            <w:r w:rsidR="0029016A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)</w:t>
            </w:r>
          </w:p>
        </w:tc>
        <w:tc>
          <w:tcPr>
            <w:tcW w:w="1587" w:type="dxa"/>
          </w:tcPr>
          <w:p w14:paraId="11AB8BED" w14:textId="5BEA8B04" w:rsidR="00421E10" w:rsidRPr="006F5F2C" w:rsidRDefault="00421E10" w:rsidP="61C0890B">
            <w:pPr>
              <w:keepLines/>
              <w:suppressAutoHyphens w:val="0"/>
              <w:spacing w:before="100" w:after="120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  <w:r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[min</w:t>
            </w:r>
            <w:r w:rsidR="00C8366A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.</w:t>
            </w:r>
            <w:r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]</w:t>
            </w:r>
          </w:p>
        </w:tc>
        <w:tc>
          <w:tcPr>
            <w:tcW w:w="2790" w:type="dxa"/>
          </w:tcPr>
          <w:p w14:paraId="1151EDB1" w14:textId="5DF28877" w:rsidR="001577AE" w:rsidRDefault="00EA5F13" w:rsidP="61C0890B">
            <w:pPr>
              <w:keepLines/>
              <w:suppressAutoHyphens w:val="0"/>
              <w:spacing w:before="100" w:after="120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 xml:space="preserve">Incident A </w:t>
            </w:r>
            <w:r w:rsidR="001577AE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–</w:t>
            </w:r>
            <w:r w:rsidR="00D6087E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 xml:space="preserve"> 60</w:t>
            </w:r>
          </w:p>
          <w:p w14:paraId="7D23BC6A" w14:textId="3A8B273E" w:rsidR="00421E10" w:rsidRPr="006F5F2C" w:rsidRDefault="001577AE" w:rsidP="61C0890B">
            <w:pPr>
              <w:keepLines/>
              <w:suppressAutoHyphens w:val="0"/>
              <w:spacing w:before="100" w:after="120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 xml:space="preserve">Ostatní incidenty </w:t>
            </w:r>
            <w:r w:rsidR="000F2FD3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- 240</w:t>
            </w: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66" w:type="dxa"/>
          </w:tcPr>
          <w:p w14:paraId="5F002CFC" w14:textId="29FD72E7" w:rsidR="00421E10" w:rsidRPr="006F5F2C" w:rsidRDefault="00421E10" w:rsidP="009E5ADA">
            <w:pPr>
              <w:keepLines/>
              <w:suppressAutoHyphens w:val="0"/>
              <w:spacing w:before="100" w:after="12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421E10" w:rsidRPr="006F5F2C" w14:paraId="567C348A" w14:textId="77777777" w:rsidTr="00F42DF5">
        <w:trPr>
          <w:trHeight w:val="347"/>
        </w:trPr>
        <w:tc>
          <w:tcPr>
            <w:tcW w:w="4106" w:type="dxa"/>
            <w:gridSpan w:val="3"/>
          </w:tcPr>
          <w:p w14:paraId="0EEC144A" w14:textId="09428EFA" w:rsidR="00421E10" w:rsidRPr="006F5F2C" w:rsidRDefault="00421E10" w:rsidP="61C0890B">
            <w:pPr>
              <w:keepLines/>
              <w:suppressAutoHyphens w:val="0"/>
              <w:spacing w:before="100" w:after="120"/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</w:rPr>
            </w:pPr>
            <w:r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Max. doba pro odstranění incidentu</w:t>
            </w:r>
            <w:r w:rsidR="00B06712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 xml:space="preserve"> kategorie</w:t>
            </w:r>
            <w:r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 xml:space="preserve"> A</w:t>
            </w:r>
          </w:p>
        </w:tc>
        <w:tc>
          <w:tcPr>
            <w:tcW w:w="1587" w:type="dxa"/>
          </w:tcPr>
          <w:p w14:paraId="11D3207F" w14:textId="1F2490B5" w:rsidR="00421E10" w:rsidRPr="006F5F2C" w:rsidRDefault="00421E10" w:rsidP="61C0890B">
            <w:pPr>
              <w:keepLines/>
              <w:suppressAutoHyphens w:val="0"/>
              <w:spacing w:before="100" w:after="120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  <w:r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[h</w:t>
            </w:r>
            <w:r w:rsidR="00C8366A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.</w:t>
            </w:r>
            <w:r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]</w:t>
            </w:r>
          </w:p>
        </w:tc>
        <w:tc>
          <w:tcPr>
            <w:tcW w:w="2790" w:type="dxa"/>
            <w:vAlign w:val="center"/>
          </w:tcPr>
          <w:p w14:paraId="6B9251CB" w14:textId="389CC52E" w:rsidR="00421E10" w:rsidRPr="006F5F2C" w:rsidRDefault="00EC317B" w:rsidP="61C0890B">
            <w:pPr>
              <w:keepLines/>
              <w:suppressAutoHyphens w:val="0"/>
              <w:spacing w:before="100" w:after="120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8</w:t>
            </w:r>
          </w:p>
        </w:tc>
        <w:tc>
          <w:tcPr>
            <w:tcW w:w="1866" w:type="dxa"/>
            <w:vAlign w:val="center"/>
          </w:tcPr>
          <w:p w14:paraId="6758D8A6" w14:textId="77777777" w:rsidR="00421E10" w:rsidRPr="006F5F2C" w:rsidRDefault="00421E10" w:rsidP="009E5ADA">
            <w:pPr>
              <w:keepLines/>
              <w:suppressAutoHyphens w:val="0"/>
              <w:spacing w:before="100" w:after="120"/>
              <w:jc w:val="center"/>
              <w:rPr>
                <w:rFonts w:eastAsia="Times New Roman"/>
                <w:kern w:val="0"/>
                <w:sz w:val="22"/>
                <w:szCs w:val="22"/>
                <w:highlight w:val="yellow"/>
              </w:rPr>
            </w:pPr>
          </w:p>
        </w:tc>
      </w:tr>
      <w:tr w:rsidR="00421E10" w:rsidRPr="006F5F2C" w14:paraId="185E5428" w14:textId="77777777" w:rsidTr="00F42DF5">
        <w:trPr>
          <w:trHeight w:val="347"/>
        </w:trPr>
        <w:tc>
          <w:tcPr>
            <w:tcW w:w="4106" w:type="dxa"/>
            <w:gridSpan w:val="3"/>
          </w:tcPr>
          <w:p w14:paraId="75F882F9" w14:textId="128D015E" w:rsidR="00421E10" w:rsidRPr="006F5F2C" w:rsidRDefault="00421E10" w:rsidP="61C0890B">
            <w:pPr>
              <w:keepLines/>
              <w:suppressAutoHyphens w:val="0"/>
              <w:spacing w:before="100" w:after="120"/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</w:rPr>
            </w:pPr>
            <w:r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Max. doba pro odstranění incidentu</w:t>
            </w:r>
            <w:r w:rsidR="00B06712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 xml:space="preserve"> kategorie</w:t>
            </w:r>
            <w:r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 xml:space="preserve"> B</w:t>
            </w:r>
          </w:p>
        </w:tc>
        <w:tc>
          <w:tcPr>
            <w:tcW w:w="1587" w:type="dxa"/>
          </w:tcPr>
          <w:p w14:paraId="59C5796D" w14:textId="24C7CFCE" w:rsidR="00421E10" w:rsidRPr="006F5F2C" w:rsidRDefault="00421E10" w:rsidP="61C0890B">
            <w:pPr>
              <w:keepLines/>
              <w:suppressAutoHyphens w:val="0"/>
              <w:spacing w:before="100" w:after="120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  <w:r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[h</w:t>
            </w:r>
            <w:r w:rsidR="00C8366A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.</w:t>
            </w:r>
            <w:r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]</w:t>
            </w:r>
          </w:p>
        </w:tc>
        <w:tc>
          <w:tcPr>
            <w:tcW w:w="2790" w:type="dxa"/>
            <w:vAlign w:val="center"/>
          </w:tcPr>
          <w:p w14:paraId="07D024E4" w14:textId="714535B2" w:rsidR="00421E10" w:rsidRPr="006F5F2C" w:rsidRDefault="00EC317B" w:rsidP="61C0890B">
            <w:pPr>
              <w:keepLines/>
              <w:suppressAutoHyphens w:val="0"/>
              <w:spacing w:before="100" w:after="120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24</w:t>
            </w:r>
          </w:p>
        </w:tc>
        <w:tc>
          <w:tcPr>
            <w:tcW w:w="1866" w:type="dxa"/>
            <w:vAlign w:val="center"/>
          </w:tcPr>
          <w:p w14:paraId="5723ED95" w14:textId="77777777" w:rsidR="00421E10" w:rsidRPr="006F5F2C" w:rsidRDefault="00421E10" w:rsidP="009E5ADA">
            <w:pPr>
              <w:keepLines/>
              <w:suppressAutoHyphens w:val="0"/>
              <w:spacing w:before="100" w:after="120"/>
              <w:jc w:val="center"/>
              <w:rPr>
                <w:rFonts w:eastAsia="Times New Roman"/>
                <w:kern w:val="0"/>
                <w:sz w:val="22"/>
                <w:szCs w:val="22"/>
                <w:highlight w:val="yellow"/>
              </w:rPr>
            </w:pPr>
          </w:p>
        </w:tc>
      </w:tr>
      <w:tr w:rsidR="00421E10" w:rsidRPr="006F5F2C" w14:paraId="11E63207" w14:textId="77777777" w:rsidTr="00F42DF5">
        <w:trPr>
          <w:trHeight w:val="347"/>
        </w:trPr>
        <w:tc>
          <w:tcPr>
            <w:tcW w:w="4106" w:type="dxa"/>
            <w:gridSpan w:val="3"/>
            <w:tcBorders>
              <w:bottom w:val="single" w:sz="4" w:space="0" w:color="auto"/>
            </w:tcBorders>
          </w:tcPr>
          <w:p w14:paraId="75CF5300" w14:textId="2427955A" w:rsidR="00421E10" w:rsidRPr="006F5F2C" w:rsidRDefault="00421E10" w:rsidP="61C0890B">
            <w:pPr>
              <w:keepLines/>
              <w:suppressAutoHyphens w:val="0"/>
              <w:spacing w:before="100" w:after="120"/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</w:rPr>
            </w:pPr>
            <w:r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 xml:space="preserve">Max. doba pro odstranění incidentu </w:t>
            </w:r>
            <w:r w:rsidR="00B06712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 xml:space="preserve">kategorie </w:t>
            </w:r>
            <w:r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C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2DB02A5A" w14:textId="78324718" w:rsidR="00421E10" w:rsidRPr="006F5F2C" w:rsidRDefault="00421E10" w:rsidP="61C0890B">
            <w:pPr>
              <w:keepLines/>
              <w:suppressAutoHyphens w:val="0"/>
              <w:spacing w:before="100" w:after="120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  <w:r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[h</w:t>
            </w:r>
            <w:r w:rsidR="00C8366A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.</w:t>
            </w:r>
            <w:r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]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A558234" w14:textId="00076A1E" w:rsidR="00421E10" w:rsidRPr="006F5F2C" w:rsidRDefault="00EC317B" w:rsidP="61C0890B">
            <w:pPr>
              <w:keepLines/>
              <w:suppressAutoHyphens w:val="0"/>
              <w:spacing w:before="100" w:after="120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48</w:t>
            </w:r>
          </w:p>
        </w:tc>
        <w:tc>
          <w:tcPr>
            <w:tcW w:w="1866" w:type="dxa"/>
            <w:vAlign w:val="center"/>
          </w:tcPr>
          <w:p w14:paraId="1D70F7FC" w14:textId="77777777" w:rsidR="00421E10" w:rsidRPr="006F5F2C" w:rsidRDefault="00421E10" w:rsidP="009E5ADA">
            <w:pPr>
              <w:keepLines/>
              <w:suppressAutoHyphens w:val="0"/>
              <w:spacing w:before="100" w:after="120"/>
              <w:jc w:val="center"/>
              <w:rPr>
                <w:rFonts w:eastAsia="Times New Roman"/>
                <w:kern w:val="0"/>
                <w:sz w:val="22"/>
                <w:szCs w:val="22"/>
                <w:highlight w:val="yellow"/>
              </w:rPr>
            </w:pPr>
          </w:p>
        </w:tc>
      </w:tr>
      <w:tr w:rsidR="00421E10" w:rsidRPr="006F5F2C" w14:paraId="46FA4196" w14:textId="77777777" w:rsidTr="1F26989D">
        <w:trPr>
          <w:trHeight w:val="347"/>
        </w:trPr>
        <w:tc>
          <w:tcPr>
            <w:tcW w:w="10349" w:type="dxa"/>
            <w:gridSpan w:val="6"/>
            <w:shd w:val="clear" w:color="auto" w:fill="BDD6EE" w:themeFill="accent1" w:themeFillTint="66"/>
          </w:tcPr>
          <w:p w14:paraId="4719E1DA" w14:textId="77777777" w:rsidR="00421E10" w:rsidRPr="006F5F2C" w:rsidRDefault="00421E10" w:rsidP="61C0890B">
            <w:pPr>
              <w:keepLines/>
              <w:suppressAutoHyphens w:val="0"/>
              <w:spacing w:before="100" w:after="120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  <w:r w:rsidRPr="61C0890B"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</w:rPr>
              <w:t>Způsob kontroly – akceptace služby</w:t>
            </w:r>
          </w:p>
        </w:tc>
      </w:tr>
      <w:tr w:rsidR="00421E10" w:rsidRPr="006F5F2C" w14:paraId="3910CAD5" w14:textId="77777777" w:rsidTr="1F26989D">
        <w:trPr>
          <w:trHeight w:val="347"/>
        </w:trPr>
        <w:tc>
          <w:tcPr>
            <w:tcW w:w="10349" w:type="dxa"/>
            <w:gridSpan w:val="6"/>
            <w:tcBorders>
              <w:bottom w:val="single" w:sz="4" w:space="0" w:color="auto"/>
            </w:tcBorders>
            <w:vAlign w:val="center"/>
          </w:tcPr>
          <w:p w14:paraId="6C80ADC1" w14:textId="413E2FAF" w:rsidR="000F2FD3" w:rsidRDefault="000F2FD3" w:rsidP="1F26989D">
            <w:pPr>
              <w:keepLines/>
              <w:widowControl/>
              <w:numPr>
                <w:ilvl w:val="0"/>
                <w:numId w:val="1"/>
              </w:num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spacing w:before="20" w:after="20" w:line="288" w:lineRule="auto"/>
              <w:ind w:left="862" w:hanging="142"/>
              <w:jc w:val="both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>Započetí servisního zásahu</w:t>
            </w:r>
            <w:r w:rsidR="00F52B45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 xml:space="preserve"> </w:t>
            </w:r>
            <w:r w:rsidR="00517BE7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>=</w:t>
            </w:r>
            <w:r w:rsidR="00F51464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 xml:space="preserve"> zahájení </w:t>
            </w:r>
            <w:r w:rsidR="00CC445D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>řešení problému (poskyto</w:t>
            </w:r>
            <w:r w:rsidR="00DB19B2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 xml:space="preserve">vatel oznámí </w:t>
            </w:r>
            <w:r w:rsidR="00765062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>p</w:t>
            </w:r>
            <w:r w:rsidR="00727D25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 xml:space="preserve">řes </w:t>
            </w:r>
            <w:r w:rsidR="00DA45EF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 xml:space="preserve">helpdesk </w:t>
            </w:r>
            <w:r w:rsidR="00A15427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>zahájení řešení</w:t>
            </w:r>
            <w:r w:rsidR="000D4AFF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 xml:space="preserve"> včetně určení zodpovědné osoby</w:t>
            </w:r>
            <w:r w:rsidR="00CC445D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>)</w:t>
            </w:r>
            <w:r w:rsidR="00A746A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>.</w:t>
            </w:r>
          </w:p>
          <w:p w14:paraId="2F238F99" w14:textId="4D1ADE2D" w:rsidR="00421E10" w:rsidRPr="00F42DF5" w:rsidRDefault="00421E10" w:rsidP="1F26989D">
            <w:pPr>
              <w:keepLines/>
              <w:widowControl/>
              <w:numPr>
                <w:ilvl w:val="0"/>
                <w:numId w:val="1"/>
              </w:num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spacing w:before="20" w:after="20" w:line="288" w:lineRule="auto"/>
              <w:ind w:left="862" w:hanging="142"/>
              <w:jc w:val="both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</w:pPr>
            <w:r w:rsidRPr="1F26989D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>Servisní i</w:t>
            </w:r>
            <w:r w:rsidR="00817C00" w:rsidRPr="1F26989D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 xml:space="preserve">ncident/požadavek je řešen </w:t>
            </w:r>
            <w:r w:rsidRPr="1F26989D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>v</w:t>
            </w:r>
            <w:r w:rsidR="007C09D7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> </w:t>
            </w:r>
            <w:r w:rsidRPr="1F26989D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>nástroji</w:t>
            </w:r>
            <w:r w:rsidR="007C09D7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 xml:space="preserve"> </w:t>
            </w:r>
            <w:r w:rsidR="7D7179CC" w:rsidRPr="1F26989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navrženém a spravovaném </w:t>
            </w:r>
            <w:r w:rsidR="007C09D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Zhotovitelem </w:t>
            </w:r>
            <w:r w:rsidR="7D7179CC" w:rsidRPr="1F26989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k evidování požadavků</w:t>
            </w:r>
            <w:r w:rsidR="006E694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(helpdesk)</w:t>
            </w:r>
            <w:r w:rsidR="7D7179CC" w:rsidRPr="1F26989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. </w:t>
            </w:r>
          </w:p>
          <w:p w14:paraId="4F9BCA0A" w14:textId="76F035A7" w:rsidR="003E1398" w:rsidRPr="00F42DF5" w:rsidRDefault="0052656A" w:rsidP="1F26989D">
            <w:pPr>
              <w:keepLines/>
              <w:widowControl/>
              <w:numPr>
                <w:ilvl w:val="0"/>
                <w:numId w:val="1"/>
              </w:num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spacing w:before="20" w:after="20" w:line="288" w:lineRule="auto"/>
              <w:ind w:left="862" w:hanging="142"/>
              <w:jc w:val="both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H</w:t>
            </w:r>
            <w:r w:rsidR="006E694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elpdesk</w:t>
            </w:r>
            <w:r w:rsidR="003E13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musí umožnit nastavení</w:t>
            </w:r>
            <w:r w:rsidR="00D17B0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priorit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jednotlivých tiketů</w:t>
            </w:r>
            <w:r w:rsidR="00A746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.</w:t>
            </w:r>
          </w:p>
          <w:p w14:paraId="5AC0BF04" w14:textId="56494170" w:rsidR="002F75E3" w:rsidRPr="00F42DF5" w:rsidRDefault="002F75E3" w:rsidP="002F75E3">
            <w:pPr>
              <w:keepLines/>
              <w:widowControl/>
              <w:numPr>
                <w:ilvl w:val="0"/>
                <w:numId w:val="1"/>
              </w:num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spacing w:before="20" w:after="20" w:line="288" w:lineRule="auto"/>
              <w:ind w:left="862" w:hanging="142"/>
              <w:jc w:val="both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F75E3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Helpdesk musí umožnit generování reportů pro vyhodnocení SLA</w:t>
            </w:r>
            <w:r w:rsidR="0066029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.</w:t>
            </w:r>
          </w:p>
          <w:p w14:paraId="34CA3B1B" w14:textId="0B98EFDB" w:rsidR="002D4C17" w:rsidRPr="002F75E3" w:rsidRDefault="0052656A" w:rsidP="002F75E3">
            <w:pPr>
              <w:keepLines/>
              <w:widowControl/>
              <w:numPr>
                <w:ilvl w:val="0"/>
                <w:numId w:val="1"/>
              </w:num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spacing w:before="20" w:after="20" w:line="288" w:lineRule="auto"/>
              <w:ind w:left="862" w:hanging="142"/>
              <w:jc w:val="both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</w:pPr>
            <w:r w:rsidRPr="002F75E3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Objednateli musí být zajištěn přístup do </w:t>
            </w:r>
            <w:r w:rsidR="006E694B" w:rsidRPr="002F75E3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Helpdesku</w:t>
            </w:r>
            <w:r w:rsidR="0066029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.</w:t>
            </w:r>
            <w:r w:rsidR="006E694B" w:rsidRPr="002F75E3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3594CE2D" w14:textId="623B58B7" w:rsidR="00C7141C" w:rsidRDefault="00C7141C" w:rsidP="61C0890B">
            <w:pPr>
              <w:keepLines/>
              <w:widowControl/>
              <w:numPr>
                <w:ilvl w:val="0"/>
                <w:numId w:val="1"/>
              </w:num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spacing w:before="20" w:after="20" w:line="288" w:lineRule="auto"/>
              <w:ind w:left="862" w:hanging="142"/>
              <w:jc w:val="both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>Incident kategorie A je považován za vyřešený</w:t>
            </w:r>
            <w:r w:rsidR="00FD2414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 xml:space="preserve">, pokud je </w:t>
            </w:r>
            <w:r w:rsidR="004C7613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>služba obnovena</w:t>
            </w:r>
            <w:r w:rsidR="002445B9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 xml:space="preserve"> a dostupná v plném rozsahu</w:t>
            </w:r>
            <w:r w:rsidR="002A7C17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 xml:space="preserve"> a </w:t>
            </w:r>
            <w:r w:rsidR="005B01F3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>Zhotovitel tuto skutečnost zaznamenal do helpdesku</w:t>
            </w:r>
            <w:r w:rsidR="00660299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>.</w:t>
            </w:r>
          </w:p>
          <w:p w14:paraId="416A87FB" w14:textId="5C7E4093" w:rsidR="00421E10" w:rsidRDefault="005B01F3" w:rsidP="00E142D8">
            <w:pPr>
              <w:keepLines/>
              <w:widowControl/>
              <w:numPr>
                <w:ilvl w:val="0"/>
                <w:numId w:val="1"/>
              </w:num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spacing w:before="20" w:after="20" w:line="288" w:lineRule="auto"/>
              <w:ind w:left="862" w:hanging="142"/>
              <w:jc w:val="both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>Ostatní incidenty jsou považovány za vyřešené</w:t>
            </w:r>
            <w:r w:rsidR="00774A9A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 xml:space="preserve"> v okamži</w:t>
            </w:r>
            <w:r w:rsidR="00D95482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>k</w:t>
            </w:r>
            <w:r w:rsidR="00774A9A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 xml:space="preserve">u </w:t>
            </w:r>
            <w:r w:rsidR="00D95482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>zaznamenání do helpdesku, ale podléhají dodatečné</w:t>
            </w:r>
            <w:r w:rsidR="00A7193D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 xml:space="preserve"> akceptaci Objednatele (</w:t>
            </w:r>
            <w:r w:rsidR="00E142D8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>proces akceptace se nezapočítává do SLA</w:t>
            </w:r>
            <w:r w:rsidR="00A7193D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>)</w:t>
            </w:r>
            <w:r w:rsidR="00660299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>.</w:t>
            </w:r>
          </w:p>
          <w:p w14:paraId="625E3736" w14:textId="5274E698" w:rsidR="00A746AB" w:rsidRDefault="00357598" w:rsidP="00902495">
            <w:pPr>
              <w:keepLines/>
              <w:widowControl/>
              <w:numPr>
                <w:ilvl w:val="0"/>
                <w:numId w:val="1"/>
              </w:num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spacing w:before="20" w:after="20" w:line="288" w:lineRule="auto"/>
              <w:ind w:left="862" w:hanging="142"/>
              <w:jc w:val="both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>V období mimo Pracovní dob</w:t>
            </w:r>
            <w:r w:rsidR="003B6CBA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>a</w:t>
            </w: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 xml:space="preserve"> helpdesku se pozastavuje běh lhůt </w:t>
            </w:r>
            <w:r w:rsidR="00C04A43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 xml:space="preserve">s výjimkou </w:t>
            </w:r>
            <w:r w:rsidR="00930CDD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>incidentu kategorie A</w:t>
            </w:r>
          </w:p>
          <w:p w14:paraId="0248AC90" w14:textId="68C81444" w:rsidR="00357598" w:rsidRPr="00817C00" w:rsidRDefault="00930CDD" w:rsidP="00F42DF5">
            <w:pPr>
              <w:keepLines/>
              <w:widowControl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spacing w:before="20" w:after="20" w:line="288" w:lineRule="auto"/>
              <w:ind w:left="862"/>
              <w:jc w:val="both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lastRenderedPageBreak/>
              <w:t xml:space="preserve">nahlášeného v Pracovní době </w:t>
            </w:r>
            <w:r w:rsidR="00CC049D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>helpdesku</w:t>
            </w:r>
            <w:r w:rsidR="00D521FE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 xml:space="preserve">; v tomto případě musí být incident typu A vyřešen v maximální </w:t>
            </w:r>
            <w:r w:rsidR="000721A9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en-US"/>
              </w:rPr>
              <w:t>době pro odstranění incidentu kategorie A.</w:t>
            </w:r>
          </w:p>
        </w:tc>
      </w:tr>
      <w:tr w:rsidR="00421E10" w:rsidRPr="006F5F2C" w14:paraId="081B6134" w14:textId="77777777" w:rsidTr="1F26989D">
        <w:trPr>
          <w:trHeight w:val="402"/>
        </w:trPr>
        <w:tc>
          <w:tcPr>
            <w:tcW w:w="10349" w:type="dxa"/>
            <w:gridSpan w:val="6"/>
            <w:shd w:val="clear" w:color="auto" w:fill="2E74B5" w:themeFill="accent1" w:themeFillShade="BF"/>
            <w:vAlign w:val="center"/>
          </w:tcPr>
          <w:p w14:paraId="544221E6" w14:textId="77777777" w:rsidR="00421E10" w:rsidRPr="006F5F2C" w:rsidRDefault="00421E10" w:rsidP="61C0890B">
            <w:pPr>
              <w:keepLines/>
              <w:suppressAutoHyphens w:val="0"/>
              <w:spacing w:before="20" w:after="20" w:line="288" w:lineRule="auto"/>
              <w:rPr>
                <w:rFonts w:asciiTheme="minorHAnsi" w:eastAsiaTheme="minorEastAsia" w:hAnsiTheme="minorHAnsi" w:cstheme="minorBidi"/>
                <w:b/>
                <w:bCs/>
                <w:caps/>
                <w:color w:val="FFFFFF" w:themeColor="background1"/>
                <w:kern w:val="0"/>
                <w:sz w:val="22"/>
                <w:szCs w:val="22"/>
              </w:rPr>
            </w:pPr>
          </w:p>
        </w:tc>
      </w:tr>
      <w:tr w:rsidR="00730C5D" w:rsidRPr="009872BB" w14:paraId="320D7311" w14:textId="77777777" w:rsidTr="1F26989D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cantSplit/>
          <w:trHeight w:val="645"/>
        </w:trPr>
        <w:tc>
          <w:tcPr>
            <w:tcW w:w="2967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D6CC9E8" w14:textId="77777777" w:rsidR="00730C5D" w:rsidRPr="006F5F2C" w:rsidRDefault="00730C5D" w:rsidP="61C0890B">
            <w:pPr>
              <w:widowControl/>
              <w:suppressAutoHyphens w:val="0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  <w:r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Definice incidentu</w:t>
            </w:r>
          </w:p>
        </w:tc>
        <w:tc>
          <w:tcPr>
            <w:tcW w:w="7382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18A7DBA" w14:textId="77777777" w:rsidR="00730C5D" w:rsidRPr="009872BB" w:rsidRDefault="00730C5D" w:rsidP="61C0890B">
            <w:pPr>
              <w:widowControl/>
              <w:suppressAutoHyphens w:val="0"/>
              <w:jc w:val="both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  <w:r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 xml:space="preserve">Jakákoliv skutečnost omezující či znemožňující standardní funkčnost Služby. </w:t>
            </w:r>
          </w:p>
          <w:p w14:paraId="69064E77" w14:textId="77777777" w:rsidR="00730C5D" w:rsidRDefault="00730C5D" w:rsidP="61C0890B">
            <w:pPr>
              <w:widowControl/>
              <w:suppressAutoHyphens w:val="0"/>
              <w:jc w:val="both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  <w:r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Incidenty se dělí dle závažnosti na kategorie A, B a C:</w:t>
            </w:r>
          </w:p>
          <w:p w14:paraId="31FD1BD9" w14:textId="77777777" w:rsidR="00730C5D" w:rsidRPr="009872BB" w:rsidRDefault="00730C5D" w:rsidP="61C0890B">
            <w:pPr>
              <w:widowControl/>
              <w:suppressAutoHyphens w:val="0"/>
              <w:jc w:val="both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</w:p>
          <w:p w14:paraId="56222DE5" w14:textId="77777777" w:rsidR="00730C5D" w:rsidRPr="006D0FB2" w:rsidRDefault="00730C5D" w:rsidP="61C0890B">
            <w:pPr>
              <w:pStyle w:val="Default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1C0890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Incident kategorie A</w:t>
            </w:r>
            <w:r w:rsidRPr="61C0890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784790C4" w14:textId="26E8535B" w:rsidR="00730C5D" w:rsidRPr="005A590C" w:rsidRDefault="00730C5D" w:rsidP="61C0890B">
            <w:pPr>
              <w:pStyle w:val="Default"/>
              <w:numPr>
                <w:ilvl w:val="0"/>
                <w:numId w:val="3"/>
              </w:numPr>
              <w:ind w:left="778" w:hanging="425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1C0890B">
              <w:rPr>
                <w:rFonts w:asciiTheme="minorHAnsi" w:eastAsiaTheme="minorEastAsia" w:hAnsiTheme="minorHAnsi" w:cstheme="minorBidi"/>
                <w:sz w:val="22"/>
                <w:szCs w:val="22"/>
              </w:rPr>
              <w:t>provozní problém znemožňující užívání aplikac</w:t>
            </w:r>
            <w:r w:rsidR="0017294A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61C0890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tj. </w:t>
            </w:r>
            <w:r w:rsidR="0017294A">
              <w:rPr>
                <w:rFonts w:asciiTheme="minorHAnsi" w:eastAsiaTheme="minorEastAsia" w:hAnsiTheme="minorHAnsi" w:cstheme="minorBidi"/>
                <w:sz w:val="22"/>
                <w:szCs w:val="22"/>
              </w:rPr>
              <w:t>„nedostupnost“,</w:t>
            </w:r>
            <w:r w:rsidRPr="61C0890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„zamrznutí" nebo „zhroucení" aplikac</w:t>
            </w:r>
            <w:r w:rsidR="0017294A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61C0890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během </w:t>
            </w:r>
            <w:r w:rsidR="0017294A">
              <w:rPr>
                <w:rFonts w:asciiTheme="minorHAnsi" w:eastAsiaTheme="minorEastAsia" w:hAnsiTheme="minorHAnsi" w:cstheme="minorBidi"/>
                <w:sz w:val="22"/>
                <w:szCs w:val="22"/>
              </w:rPr>
              <w:t>běžného</w:t>
            </w:r>
            <w:r w:rsidRPr="61C0890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používání</w:t>
            </w:r>
          </w:p>
          <w:p w14:paraId="6C89A297" w14:textId="39D28C72" w:rsidR="00730C5D" w:rsidRDefault="00730C5D" w:rsidP="61C0890B">
            <w:pPr>
              <w:pStyle w:val="Default"/>
              <w:numPr>
                <w:ilvl w:val="0"/>
                <w:numId w:val="3"/>
              </w:numPr>
              <w:ind w:left="778" w:hanging="425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1C0890B">
              <w:rPr>
                <w:rFonts w:asciiTheme="minorHAnsi" w:eastAsiaTheme="minorEastAsia" w:hAnsiTheme="minorHAnsi" w:cstheme="minorBidi"/>
                <w:sz w:val="22"/>
                <w:szCs w:val="22"/>
              </w:rPr>
              <w:t>způsobuje ztrátu nebo porušení dat během běžného užívání aplikac</w:t>
            </w:r>
            <w:r w:rsidR="0017294A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</w:p>
          <w:p w14:paraId="31BA92AF" w14:textId="7A282AEC" w:rsidR="005E6489" w:rsidRPr="005A590C" w:rsidRDefault="005E6489" w:rsidP="61C0890B">
            <w:pPr>
              <w:pStyle w:val="Default"/>
              <w:numPr>
                <w:ilvl w:val="0"/>
                <w:numId w:val="3"/>
              </w:numPr>
              <w:ind w:left="778" w:hanging="425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1C0890B">
              <w:rPr>
                <w:rFonts w:asciiTheme="minorHAnsi" w:eastAsiaTheme="minorEastAsia" w:hAnsiTheme="minorHAnsi" w:cstheme="minorBidi"/>
                <w:sz w:val="22"/>
                <w:szCs w:val="22"/>
              </w:rPr>
              <w:t>způsobuje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nefunkčnost kritických funkcí aplikace</w:t>
            </w:r>
          </w:p>
          <w:p w14:paraId="71FE524D" w14:textId="744E91C3" w:rsidR="00730C5D" w:rsidRPr="005A590C" w:rsidRDefault="00730C5D" w:rsidP="61C0890B">
            <w:pPr>
              <w:pStyle w:val="Default"/>
              <w:numPr>
                <w:ilvl w:val="0"/>
                <w:numId w:val="3"/>
              </w:numPr>
              <w:ind w:left="778" w:hanging="425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1C0890B">
              <w:rPr>
                <w:rFonts w:asciiTheme="minorHAnsi" w:eastAsiaTheme="minorEastAsia" w:hAnsiTheme="minorHAnsi" w:cstheme="minorBidi"/>
                <w:sz w:val="22"/>
                <w:szCs w:val="22"/>
              </w:rPr>
              <w:t>způsobuje takové narušení bezpečnosti aplikac</w:t>
            </w:r>
            <w:r w:rsidR="0017294A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61C0890B">
              <w:rPr>
                <w:rFonts w:asciiTheme="minorHAnsi" w:eastAsiaTheme="minorEastAsia" w:hAnsiTheme="minorHAnsi" w:cstheme="minorBidi"/>
                <w:sz w:val="22"/>
                <w:szCs w:val="22"/>
              </w:rPr>
              <w:t>, že v jeho důsledku n</w:t>
            </w:r>
            <w:r w:rsidR="0017294A">
              <w:rPr>
                <w:rFonts w:asciiTheme="minorHAnsi" w:eastAsiaTheme="minorEastAsia" w:hAnsiTheme="minorHAnsi" w:cstheme="minorBidi"/>
                <w:sz w:val="22"/>
                <w:szCs w:val="22"/>
              </w:rPr>
              <w:t>emůže</w:t>
            </w:r>
            <w:r w:rsidRPr="61C0890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být aplikace používána</w:t>
            </w:r>
          </w:p>
          <w:p w14:paraId="44A835E7" w14:textId="77777777" w:rsidR="00730C5D" w:rsidRPr="005A590C" w:rsidRDefault="00730C5D" w:rsidP="61C0890B">
            <w:pPr>
              <w:pStyle w:val="Default"/>
              <w:jc w:val="both"/>
              <w:rPr>
                <w:rFonts w:asciiTheme="minorHAnsi" w:eastAsiaTheme="minorEastAsia" w:hAnsiTheme="minorHAnsi" w:cstheme="minorBidi"/>
              </w:rPr>
            </w:pPr>
          </w:p>
          <w:p w14:paraId="0428C859" w14:textId="77777777" w:rsidR="00730C5D" w:rsidRPr="006D0FB2" w:rsidRDefault="00730C5D" w:rsidP="61C0890B">
            <w:pPr>
              <w:pStyle w:val="Default"/>
              <w:rPr>
                <w:rFonts w:asciiTheme="minorHAnsi" w:eastAsiaTheme="minorEastAsia" w:hAnsiTheme="minorHAnsi" w:cstheme="minorBidi"/>
              </w:rPr>
            </w:pPr>
            <w:r w:rsidRPr="61C0890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Incident kategorie B</w:t>
            </w:r>
            <w:r w:rsidRPr="61C0890B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2B9AA140" w14:textId="5026A135" w:rsidR="00730C5D" w:rsidRPr="00202C5E" w:rsidRDefault="00730C5D" w:rsidP="00202C5E">
            <w:pPr>
              <w:pStyle w:val="Default"/>
              <w:numPr>
                <w:ilvl w:val="0"/>
                <w:numId w:val="2"/>
              </w:numPr>
              <w:ind w:left="778" w:hanging="425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1C0890B">
              <w:rPr>
                <w:rFonts w:asciiTheme="minorHAnsi" w:eastAsiaTheme="minorEastAsia" w:hAnsiTheme="minorHAnsi" w:cstheme="minorBidi"/>
                <w:sz w:val="22"/>
                <w:szCs w:val="22"/>
              </w:rPr>
              <w:t>provozní problém omezující užívání někter</w:t>
            </w:r>
            <w:r w:rsidR="00202C5E">
              <w:rPr>
                <w:rFonts w:asciiTheme="minorHAnsi" w:eastAsiaTheme="minorEastAsia" w:hAnsiTheme="minorHAnsi" w:cstheme="minorBidi"/>
                <w:sz w:val="22"/>
                <w:szCs w:val="22"/>
              </w:rPr>
              <w:t>ých</w:t>
            </w:r>
            <w:r w:rsidRPr="61C0890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funkc</w:t>
            </w:r>
            <w:r w:rsidR="00202C5E">
              <w:rPr>
                <w:rFonts w:asciiTheme="minorHAnsi" w:eastAsiaTheme="minorEastAsia" w:hAnsiTheme="minorHAnsi" w:cstheme="minorBidi"/>
                <w:sz w:val="22"/>
                <w:szCs w:val="22"/>
              </w:rPr>
              <w:t>í</w:t>
            </w:r>
            <w:r w:rsidRPr="61C0890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aplikac</w:t>
            </w:r>
            <w:r w:rsidR="00202C5E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61C0890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r w:rsidR="00522EC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tj. problém, </w:t>
            </w:r>
            <w:r w:rsidR="00202C5E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který </w:t>
            </w:r>
            <w:r w:rsidRPr="00202C5E">
              <w:rPr>
                <w:rFonts w:asciiTheme="minorHAnsi" w:eastAsiaTheme="minorEastAsia" w:hAnsiTheme="minorHAnsi" w:cstheme="minorBidi"/>
                <w:sz w:val="22"/>
                <w:szCs w:val="22"/>
              </w:rPr>
              <w:t>způsobuje významné problémy při používání, avšak je překonatelný dočasným náhradním postupem</w:t>
            </w:r>
            <w:r w:rsidR="00202C5E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 neznemožňuje základní provoz aplikace</w:t>
            </w:r>
          </w:p>
          <w:p w14:paraId="6628E073" w14:textId="77777777" w:rsidR="00730C5D" w:rsidRPr="009872BB" w:rsidRDefault="00730C5D" w:rsidP="61C0890B">
            <w:pPr>
              <w:widowControl/>
              <w:suppressAutoHyphens w:val="0"/>
              <w:jc w:val="both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</w:p>
          <w:p w14:paraId="49379190" w14:textId="77777777" w:rsidR="00730C5D" w:rsidRDefault="00730C5D" w:rsidP="61C0890B">
            <w:pPr>
              <w:widowControl/>
              <w:suppressAutoHyphens w:val="0"/>
              <w:jc w:val="both"/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</w:rPr>
            </w:pPr>
            <w:r w:rsidRPr="61C0890B"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</w:rPr>
              <w:t>Incident kategorie C</w:t>
            </w:r>
          </w:p>
          <w:p w14:paraId="3F90D378" w14:textId="1086D491" w:rsidR="00730C5D" w:rsidRPr="007C09D7" w:rsidRDefault="00D95831" w:rsidP="61C0890B">
            <w:pPr>
              <w:pStyle w:val="Default"/>
              <w:numPr>
                <w:ilvl w:val="0"/>
                <w:numId w:val="2"/>
              </w:numPr>
              <w:ind w:left="778" w:hanging="425"/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funkčnost aplikace</w:t>
            </w:r>
            <w:r w:rsidR="00522EC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se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730C5D" w:rsidRPr="61C0890B">
              <w:rPr>
                <w:rFonts w:asciiTheme="minorHAnsi" w:eastAsiaTheme="minorEastAsia" w:hAnsiTheme="minorHAnsi" w:cstheme="minorBidi"/>
                <w:sz w:val="22"/>
                <w:szCs w:val="22"/>
              </w:rPr>
              <w:t>odchyluje od specifikace v dokumentaci, avšak ne</w:t>
            </w:r>
            <w:r w:rsidR="00D91DED" w:rsidRPr="61C0890B">
              <w:rPr>
                <w:rFonts w:asciiTheme="minorHAnsi" w:eastAsiaTheme="minorEastAsia" w:hAnsiTheme="minorHAnsi" w:cstheme="minorBidi"/>
                <w:sz w:val="22"/>
                <w:szCs w:val="22"/>
              </w:rPr>
              <w:t>omezuje významně je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jí</w:t>
            </w:r>
            <w:r w:rsidR="00D91DED" w:rsidRPr="61C0890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funkčnost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</w:tbl>
    <w:p w14:paraId="49043029" w14:textId="77777777" w:rsidR="00AF181D" w:rsidRDefault="00AF181D"/>
    <w:tbl>
      <w:tblPr>
        <w:tblW w:w="10349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9"/>
      </w:tblGrid>
      <w:tr w:rsidR="00092556" w:rsidRPr="006F5F2C" w14:paraId="03DFB082" w14:textId="77777777" w:rsidTr="00BD4203">
        <w:trPr>
          <w:trHeight w:val="347"/>
        </w:trPr>
        <w:tc>
          <w:tcPr>
            <w:tcW w:w="2439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5845ABE1" w14:textId="77777777" w:rsidR="00092556" w:rsidRPr="006F5F2C" w:rsidRDefault="00092556" w:rsidP="00BD4203">
            <w:pPr>
              <w:keepLines/>
              <w:suppressAutoHyphens w:val="0"/>
              <w:spacing w:before="100" w:after="120"/>
              <w:jc w:val="center"/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</w:rPr>
            </w:pPr>
            <w:r w:rsidRPr="61C0890B"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</w:rPr>
              <w:t>Kreditace</w:t>
            </w:r>
          </w:p>
        </w:tc>
      </w:tr>
      <w:tr w:rsidR="00092556" w:rsidRPr="61C0890B" w14:paraId="39F90B30" w14:textId="77777777" w:rsidTr="00BD4203">
        <w:trPr>
          <w:trHeight w:val="347"/>
        </w:trPr>
        <w:tc>
          <w:tcPr>
            <w:tcW w:w="2439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37830F91" w14:textId="77777777" w:rsidR="00092556" w:rsidRPr="61C0890B" w:rsidRDefault="00092556" w:rsidP="00BD4203">
            <w:pPr>
              <w:keepLines/>
              <w:suppressAutoHyphens w:val="0"/>
              <w:spacing w:before="100" w:after="120"/>
              <w:jc w:val="center"/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</w:rPr>
            </w:pPr>
          </w:p>
        </w:tc>
      </w:tr>
      <w:tr w:rsidR="00092556" w:rsidRPr="006F5F2C" w14:paraId="3BFBF0AB" w14:textId="77777777" w:rsidTr="00BD4203">
        <w:trPr>
          <w:trHeight w:val="389"/>
        </w:trPr>
        <w:tc>
          <w:tcPr>
            <w:tcW w:w="2439" w:type="dxa"/>
            <w:vMerge w:val="restart"/>
            <w:vAlign w:val="center"/>
          </w:tcPr>
          <w:p w14:paraId="222EFE4A" w14:textId="77777777" w:rsidR="00092556" w:rsidRPr="006F5F2C" w:rsidRDefault="00092556" w:rsidP="00BD4203">
            <w:pPr>
              <w:keepLines/>
              <w:suppressAutoHyphens w:val="0"/>
              <w:spacing w:before="100" w:after="120"/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</w:rPr>
            </w:pPr>
            <w:r w:rsidRPr="61C0890B"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</w:rPr>
              <w:t>Minimální dostupnost služby</w:t>
            </w:r>
          </w:p>
          <w:p w14:paraId="7FDE2C27" w14:textId="77777777" w:rsidR="00092556" w:rsidRPr="006F5F2C" w:rsidRDefault="00092556" w:rsidP="00BD4203">
            <w:pPr>
              <w:keepLines/>
              <w:suppressAutoHyphens w:val="0"/>
              <w:spacing w:before="100" w:after="120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  <w:r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 xml:space="preserve">1 % z měsíční ceny za poskytování </w:t>
            </w: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služby technické podpory</w:t>
            </w:r>
            <w:r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 xml:space="preserve"> za každé započaté 1 % pod minimální procentuální hladinu</w:t>
            </w:r>
          </w:p>
          <w:p w14:paraId="0950DB1E" w14:textId="77777777" w:rsidR="00092556" w:rsidRPr="006F5F2C" w:rsidRDefault="00092556" w:rsidP="00BD4203">
            <w:pPr>
              <w:keepLines/>
              <w:suppressAutoHyphens w:val="0"/>
              <w:spacing w:before="100" w:after="120"/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</w:rPr>
            </w:pPr>
            <w:r w:rsidRPr="61C0890B"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</w:rPr>
              <w:t>Max. doba servisní odezvy</w:t>
            </w:r>
          </w:p>
          <w:p w14:paraId="7DF2C69E" w14:textId="49CFF968" w:rsidR="00092556" w:rsidRPr="006F5F2C" w:rsidRDefault="00092556" w:rsidP="00BD4203">
            <w:pPr>
              <w:keepLines/>
              <w:suppressAutoHyphens w:val="0"/>
              <w:spacing w:before="100" w:after="120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  <w:r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 xml:space="preserve">1 % z měsíční ceny za poskytování </w:t>
            </w: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služby technické podpory</w:t>
            </w:r>
            <w:r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 xml:space="preserve"> za každých započatých 60 min</w:t>
            </w:r>
            <w:r w:rsidR="00C8366A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.</w:t>
            </w:r>
            <w:r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 xml:space="preserve"> přes povolený limit</w:t>
            </w:r>
          </w:p>
          <w:p w14:paraId="65BA887E" w14:textId="77777777" w:rsidR="00092556" w:rsidRPr="006F5F2C" w:rsidRDefault="00092556" w:rsidP="00BD4203">
            <w:pPr>
              <w:keepLines/>
              <w:suppressAutoHyphens w:val="0"/>
              <w:spacing w:before="100" w:after="120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  <w:r w:rsidRPr="61C0890B">
              <w:rPr>
                <w:rFonts w:asciiTheme="minorHAnsi" w:eastAsiaTheme="minorEastAsia" w:hAnsiTheme="minorHAnsi" w:cstheme="minorBidi"/>
                <w:b/>
                <w:bCs/>
                <w:kern w:val="0"/>
                <w:sz w:val="22"/>
                <w:szCs w:val="22"/>
              </w:rPr>
              <w:t>Doba odstranění incidentu</w:t>
            </w:r>
          </w:p>
          <w:p w14:paraId="40133598" w14:textId="77777777" w:rsidR="00092556" w:rsidRPr="006F5F2C" w:rsidRDefault="00092556" w:rsidP="00BD4203">
            <w:pPr>
              <w:keepLines/>
              <w:suppressAutoHyphens w:val="0"/>
              <w:spacing w:before="100" w:after="120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  <w:r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 xml:space="preserve">2,5 % z měsíční ceny za poskytování </w:t>
            </w: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>služby technické podpory</w:t>
            </w:r>
            <w:r w:rsidRPr="61C0890B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  <w:t xml:space="preserve"> za každou započatou 1 hodinu nad stanovenou hodnotu parametru</w:t>
            </w:r>
          </w:p>
        </w:tc>
      </w:tr>
      <w:tr w:rsidR="00092556" w:rsidRPr="006F5F2C" w14:paraId="5851C654" w14:textId="77777777" w:rsidTr="00BD4203">
        <w:trPr>
          <w:trHeight w:val="473"/>
        </w:trPr>
        <w:tc>
          <w:tcPr>
            <w:tcW w:w="2439" w:type="dxa"/>
            <w:vMerge/>
          </w:tcPr>
          <w:p w14:paraId="4B4CB1E7" w14:textId="77777777" w:rsidR="00092556" w:rsidRPr="006F5F2C" w:rsidRDefault="00092556" w:rsidP="00BD4203">
            <w:pPr>
              <w:keepLines/>
              <w:suppressAutoHyphens w:val="0"/>
              <w:spacing w:before="100" w:after="12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092556" w:rsidRPr="006F5F2C" w14:paraId="2ECFF2E6" w14:textId="77777777" w:rsidTr="00BD4203">
        <w:trPr>
          <w:trHeight w:val="473"/>
        </w:trPr>
        <w:tc>
          <w:tcPr>
            <w:tcW w:w="2439" w:type="dxa"/>
            <w:vMerge/>
          </w:tcPr>
          <w:p w14:paraId="5432756F" w14:textId="77777777" w:rsidR="00092556" w:rsidRPr="006F5F2C" w:rsidRDefault="00092556" w:rsidP="00BD4203">
            <w:pPr>
              <w:keepLines/>
              <w:suppressAutoHyphens w:val="0"/>
              <w:spacing w:before="100" w:after="12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092556" w:rsidRPr="006F5F2C" w14:paraId="55B1A9D4" w14:textId="77777777" w:rsidTr="00BD4203">
        <w:trPr>
          <w:trHeight w:val="473"/>
        </w:trPr>
        <w:tc>
          <w:tcPr>
            <w:tcW w:w="2439" w:type="dxa"/>
            <w:vMerge/>
          </w:tcPr>
          <w:p w14:paraId="7AA637A5" w14:textId="77777777" w:rsidR="00092556" w:rsidRPr="006F5F2C" w:rsidRDefault="00092556" w:rsidP="00BD4203">
            <w:pPr>
              <w:keepLines/>
              <w:suppressAutoHyphens w:val="0"/>
              <w:spacing w:before="100" w:after="12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092556" w:rsidRPr="006F5F2C" w14:paraId="252AA270" w14:textId="77777777" w:rsidTr="00BD4203">
        <w:trPr>
          <w:trHeight w:val="473"/>
        </w:trPr>
        <w:tc>
          <w:tcPr>
            <w:tcW w:w="2439" w:type="dxa"/>
            <w:vMerge/>
            <w:vAlign w:val="center"/>
          </w:tcPr>
          <w:p w14:paraId="1BCD11A5" w14:textId="77777777" w:rsidR="00092556" w:rsidRPr="006F5F2C" w:rsidRDefault="00092556" w:rsidP="00BD4203">
            <w:pPr>
              <w:keepLines/>
              <w:suppressAutoHyphens w:val="0"/>
              <w:spacing w:before="100" w:after="120"/>
              <w:jc w:val="center"/>
              <w:rPr>
                <w:rFonts w:eastAsia="Times New Roman"/>
                <w:kern w:val="0"/>
                <w:sz w:val="22"/>
                <w:szCs w:val="22"/>
                <w:highlight w:val="yellow"/>
              </w:rPr>
            </w:pPr>
          </w:p>
        </w:tc>
      </w:tr>
      <w:tr w:rsidR="00092556" w:rsidRPr="006F5F2C" w14:paraId="5C8C0C2F" w14:textId="77777777" w:rsidTr="00BD4203">
        <w:trPr>
          <w:trHeight w:val="473"/>
        </w:trPr>
        <w:tc>
          <w:tcPr>
            <w:tcW w:w="2439" w:type="dxa"/>
            <w:vMerge/>
            <w:vAlign w:val="center"/>
          </w:tcPr>
          <w:p w14:paraId="6FA65EB4" w14:textId="77777777" w:rsidR="00092556" w:rsidRPr="006F5F2C" w:rsidRDefault="00092556" w:rsidP="00BD4203">
            <w:pPr>
              <w:keepLines/>
              <w:suppressAutoHyphens w:val="0"/>
              <w:spacing w:before="100" w:after="120"/>
              <w:jc w:val="center"/>
              <w:rPr>
                <w:rFonts w:eastAsia="Times New Roman"/>
                <w:kern w:val="0"/>
                <w:sz w:val="22"/>
                <w:szCs w:val="22"/>
                <w:highlight w:val="yellow"/>
              </w:rPr>
            </w:pPr>
          </w:p>
        </w:tc>
      </w:tr>
      <w:tr w:rsidR="00092556" w:rsidRPr="006F5F2C" w14:paraId="6C577189" w14:textId="77777777" w:rsidTr="00BD4203">
        <w:trPr>
          <w:trHeight w:val="473"/>
        </w:trPr>
        <w:tc>
          <w:tcPr>
            <w:tcW w:w="2439" w:type="dxa"/>
            <w:vMerge/>
            <w:vAlign w:val="center"/>
          </w:tcPr>
          <w:p w14:paraId="03BC5D64" w14:textId="77777777" w:rsidR="00092556" w:rsidRPr="006F5F2C" w:rsidRDefault="00092556" w:rsidP="00BD4203">
            <w:pPr>
              <w:keepLines/>
              <w:suppressAutoHyphens w:val="0"/>
              <w:spacing w:before="100" w:after="120"/>
              <w:jc w:val="center"/>
              <w:rPr>
                <w:rFonts w:eastAsia="Times New Roman"/>
                <w:kern w:val="0"/>
                <w:sz w:val="22"/>
                <w:szCs w:val="22"/>
                <w:highlight w:val="yellow"/>
              </w:rPr>
            </w:pPr>
          </w:p>
        </w:tc>
      </w:tr>
    </w:tbl>
    <w:p w14:paraId="4B613001" w14:textId="77777777" w:rsidR="00092556" w:rsidRDefault="00092556"/>
    <w:sectPr w:rsidR="00092556" w:rsidSect="001D455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7BF6E" w14:textId="77777777" w:rsidR="00DF7525" w:rsidRDefault="00DF7525" w:rsidP="001E053F">
      <w:r>
        <w:separator/>
      </w:r>
    </w:p>
  </w:endnote>
  <w:endnote w:type="continuationSeparator" w:id="0">
    <w:p w14:paraId="70C8AFDA" w14:textId="77777777" w:rsidR="00DF7525" w:rsidRDefault="00DF7525" w:rsidP="001E053F">
      <w:r>
        <w:continuationSeparator/>
      </w:r>
    </w:p>
  </w:endnote>
  <w:endnote w:type="continuationNotice" w:id="1">
    <w:p w14:paraId="70564F73" w14:textId="77777777" w:rsidR="00AB0B28" w:rsidRDefault="00AB0B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24127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C306A7" w14:textId="77777777" w:rsidR="001E053F" w:rsidRDefault="001E053F">
            <w:pPr>
              <w:pStyle w:val="Zpat"/>
              <w:jc w:val="center"/>
            </w:pPr>
            <w:r w:rsidRPr="007C09D7">
              <w:t xml:space="preserve">Stránka </w:t>
            </w:r>
            <w:r w:rsidRPr="007C09D7">
              <w:fldChar w:fldCharType="begin"/>
            </w:r>
            <w:r w:rsidRPr="007C09D7">
              <w:instrText>PAGE</w:instrText>
            </w:r>
            <w:r w:rsidRPr="007C09D7">
              <w:fldChar w:fldCharType="separate"/>
            </w:r>
            <w:r w:rsidR="006921CD" w:rsidRPr="007C09D7">
              <w:rPr>
                <w:noProof/>
              </w:rPr>
              <w:t>2</w:t>
            </w:r>
            <w:r w:rsidRPr="007C09D7">
              <w:fldChar w:fldCharType="end"/>
            </w:r>
            <w:r w:rsidRPr="007C09D7">
              <w:t xml:space="preserve"> z </w:t>
            </w:r>
            <w:r w:rsidRPr="007C09D7">
              <w:fldChar w:fldCharType="begin"/>
            </w:r>
            <w:r w:rsidRPr="007C09D7">
              <w:instrText>NUMPAGES</w:instrText>
            </w:r>
            <w:r w:rsidRPr="007C09D7">
              <w:fldChar w:fldCharType="separate"/>
            </w:r>
            <w:r w:rsidR="006921CD" w:rsidRPr="007C09D7">
              <w:rPr>
                <w:noProof/>
              </w:rPr>
              <w:t>2</w:t>
            </w:r>
            <w:r w:rsidRPr="007C09D7">
              <w:fldChar w:fldCharType="end"/>
            </w:r>
          </w:p>
        </w:sdtContent>
      </w:sdt>
    </w:sdtContent>
  </w:sdt>
  <w:p w14:paraId="01E2F1FE" w14:textId="77777777" w:rsidR="001E053F" w:rsidRDefault="001E05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9D6C3" w14:textId="0316E0FE" w:rsidR="001D4552" w:rsidRDefault="001D4552">
    <w:pPr>
      <w:pStyle w:val="Zpat"/>
      <w:jc w:val="center"/>
    </w:pPr>
  </w:p>
  <w:p w14:paraId="1E20DF84" w14:textId="77777777" w:rsidR="001D4552" w:rsidRDefault="001D45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CC1D2" w14:textId="77777777" w:rsidR="00DF7525" w:rsidRDefault="00DF7525" w:rsidP="001E053F">
      <w:r>
        <w:separator/>
      </w:r>
    </w:p>
  </w:footnote>
  <w:footnote w:type="continuationSeparator" w:id="0">
    <w:p w14:paraId="4CB7E0BF" w14:textId="77777777" w:rsidR="00DF7525" w:rsidRDefault="00DF7525" w:rsidP="001E053F">
      <w:r>
        <w:continuationSeparator/>
      </w:r>
    </w:p>
  </w:footnote>
  <w:footnote w:type="continuationNotice" w:id="1">
    <w:p w14:paraId="1FCBDB64" w14:textId="77777777" w:rsidR="00AB0B28" w:rsidRDefault="00AB0B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1C0890B" w14:paraId="63E55B7A" w14:textId="77777777" w:rsidTr="61C0890B">
      <w:trPr>
        <w:trHeight w:val="300"/>
      </w:trPr>
      <w:tc>
        <w:tcPr>
          <w:tcW w:w="3020" w:type="dxa"/>
        </w:tcPr>
        <w:p w14:paraId="05C90F1B" w14:textId="4D0BEB56" w:rsidR="61C0890B" w:rsidRDefault="61C0890B" w:rsidP="61C0890B">
          <w:pPr>
            <w:pStyle w:val="Zhlav"/>
            <w:ind w:left="-115"/>
          </w:pPr>
        </w:p>
      </w:tc>
      <w:tc>
        <w:tcPr>
          <w:tcW w:w="3020" w:type="dxa"/>
        </w:tcPr>
        <w:p w14:paraId="0BC7F51F" w14:textId="77A7766B" w:rsidR="61C0890B" w:rsidRDefault="61C0890B" w:rsidP="61C0890B">
          <w:pPr>
            <w:pStyle w:val="Zhlav"/>
            <w:jc w:val="center"/>
          </w:pPr>
        </w:p>
      </w:tc>
      <w:tc>
        <w:tcPr>
          <w:tcW w:w="3020" w:type="dxa"/>
        </w:tcPr>
        <w:p w14:paraId="1CEE37CB" w14:textId="78CE0CD5" w:rsidR="61C0890B" w:rsidRDefault="61C0890B" w:rsidP="61C0890B">
          <w:pPr>
            <w:pStyle w:val="Zhlav"/>
            <w:ind w:right="-115"/>
            <w:jc w:val="right"/>
          </w:pPr>
        </w:p>
      </w:tc>
    </w:tr>
  </w:tbl>
  <w:p w14:paraId="7ED90869" w14:textId="7168B87A" w:rsidR="61C0890B" w:rsidRDefault="61C0890B" w:rsidP="61C089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E164C" w14:textId="77777777" w:rsidR="001D4552" w:rsidRDefault="61C0890B" w:rsidP="001D4552">
    <w:pPr>
      <w:pStyle w:val="Zhlav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44494739" wp14:editId="26107B01">
          <wp:extent cx="1638300" cy="815975"/>
          <wp:effectExtent l="0" t="0" r="0" b="3175"/>
          <wp:docPr id="2" name="Obrázek 2" descr="C:\Users\trublovaa\AppData\Local\Microsoft\Windows\Temporary Internet Files\Content.Word\MSMT_logotyp_text_RGB_cz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8A3933" w14:textId="2A5A2386" w:rsidR="001D4552" w:rsidRPr="00F56A92" w:rsidRDefault="001D4552" w:rsidP="001D4552">
    <w:pPr>
      <w:pStyle w:val="Zhlav"/>
      <w:rPr>
        <w:sz w:val="16"/>
        <w:szCs w:val="16"/>
      </w:rPr>
    </w:pPr>
  </w:p>
  <w:p w14:paraId="5FC14054" w14:textId="77777777" w:rsidR="001D4552" w:rsidRDefault="001D45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13308"/>
    <w:multiLevelType w:val="hybridMultilevel"/>
    <w:tmpl w:val="4E44039C"/>
    <w:lvl w:ilvl="0" w:tplc="AAEA755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232768"/>
    <w:multiLevelType w:val="hybridMultilevel"/>
    <w:tmpl w:val="11F683A0"/>
    <w:lvl w:ilvl="0" w:tplc="12EC3324">
      <w:numFmt w:val="bullet"/>
      <w:lvlText w:val="-"/>
      <w:lvlJc w:val="left"/>
      <w:pPr>
        <w:ind w:left="975" w:hanging="61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31DE1"/>
    <w:multiLevelType w:val="hybridMultilevel"/>
    <w:tmpl w:val="5DD4E7C8"/>
    <w:lvl w:ilvl="0" w:tplc="5088C094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357103">
    <w:abstractNumId w:val="0"/>
  </w:num>
  <w:num w:numId="2" w16cid:durableId="196502660">
    <w:abstractNumId w:val="2"/>
  </w:num>
  <w:num w:numId="3" w16cid:durableId="885263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10"/>
    <w:rsid w:val="00041299"/>
    <w:rsid w:val="00052F22"/>
    <w:rsid w:val="000721A9"/>
    <w:rsid w:val="00092556"/>
    <w:rsid w:val="000B1F76"/>
    <w:rsid w:val="000C49CF"/>
    <w:rsid w:val="000D4AFF"/>
    <w:rsid w:val="000F2FD3"/>
    <w:rsid w:val="00101CB2"/>
    <w:rsid w:val="00116EF6"/>
    <w:rsid w:val="00120735"/>
    <w:rsid w:val="001577AE"/>
    <w:rsid w:val="0017294A"/>
    <w:rsid w:val="001A6E28"/>
    <w:rsid w:val="001B632E"/>
    <w:rsid w:val="001D4552"/>
    <w:rsid w:val="001E053F"/>
    <w:rsid w:val="002019AA"/>
    <w:rsid w:val="00202C5E"/>
    <w:rsid w:val="00204C95"/>
    <w:rsid w:val="00237F5B"/>
    <w:rsid w:val="002445B9"/>
    <w:rsid w:val="00281102"/>
    <w:rsid w:val="0029016A"/>
    <w:rsid w:val="002A7C17"/>
    <w:rsid w:val="002D4C17"/>
    <w:rsid w:val="002F1F27"/>
    <w:rsid w:val="002F75E3"/>
    <w:rsid w:val="0033475A"/>
    <w:rsid w:val="00357598"/>
    <w:rsid w:val="003843BC"/>
    <w:rsid w:val="00390D11"/>
    <w:rsid w:val="003B245F"/>
    <w:rsid w:val="003B6CBA"/>
    <w:rsid w:val="003E1398"/>
    <w:rsid w:val="003E6363"/>
    <w:rsid w:val="0040660C"/>
    <w:rsid w:val="00421E10"/>
    <w:rsid w:val="004609B6"/>
    <w:rsid w:val="0047495B"/>
    <w:rsid w:val="00481660"/>
    <w:rsid w:val="00492383"/>
    <w:rsid w:val="004946B6"/>
    <w:rsid w:val="004A1292"/>
    <w:rsid w:val="004C7613"/>
    <w:rsid w:val="004F2585"/>
    <w:rsid w:val="00517BE7"/>
    <w:rsid w:val="00522ECD"/>
    <w:rsid w:val="0052656A"/>
    <w:rsid w:val="0054613A"/>
    <w:rsid w:val="005870E2"/>
    <w:rsid w:val="005965C8"/>
    <w:rsid w:val="005B01F3"/>
    <w:rsid w:val="005C39CC"/>
    <w:rsid w:val="005E1AC9"/>
    <w:rsid w:val="005E5F22"/>
    <w:rsid w:val="005E6489"/>
    <w:rsid w:val="00660299"/>
    <w:rsid w:val="00660B28"/>
    <w:rsid w:val="006921CD"/>
    <w:rsid w:val="006D54D0"/>
    <w:rsid w:val="006E694B"/>
    <w:rsid w:val="00721B38"/>
    <w:rsid w:val="00727D25"/>
    <w:rsid w:val="0073059D"/>
    <w:rsid w:val="00730C5D"/>
    <w:rsid w:val="00765062"/>
    <w:rsid w:val="007713AC"/>
    <w:rsid w:val="00774A9A"/>
    <w:rsid w:val="007849D3"/>
    <w:rsid w:val="007B10F1"/>
    <w:rsid w:val="007B6EFC"/>
    <w:rsid w:val="007C09D7"/>
    <w:rsid w:val="007C6F14"/>
    <w:rsid w:val="007D2A9A"/>
    <w:rsid w:val="00817C00"/>
    <w:rsid w:val="00832774"/>
    <w:rsid w:val="008F3063"/>
    <w:rsid w:val="00902495"/>
    <w:rsid w:val="009240F9"/>
    <w:rsid w:val="00930CDD"/>
    <w:rsid w:val="00934757"/>
    <w:rsid w:val="00951A08"/>
    <w:rsid w:val="00974B55"/>
    <w:rsid w:val="00981BD4"/>
    <w:rsid w:val="00A0262A"/>
    <w:rsid w:val="00A15427"/>
    <w:rsid w:val="00A26653"/>
    <w:rsid w:val="00A40B20"/>
    <w:rsid w:val="00A7193D"/>
    <w:rsid w:val="00A746AB"/>
    <w:rsid w:val="00A85F13"/>
    <w:rsid w:val="00AB0B28"/>
    <w:rsid w:val="00AF181D"/>
    <w:rsid w:val="00B06712"/>
    <w:rsid w:val="00B26E1E"/>
    <w:rsid w:val="00B63C1E"/>
    <w:rsid w:val="00B92AA9"/>
    <w:rsid w:val="00B95D5D"/>
    <w:rsid w:val="00BA1BFE"/>
    <w:rsid w:val="00BB3E9A"/>
    <w:rsid w:val="00C04A43"/>
    <w:rsid w:val="00C07F32"/>
    <w:rsid w:val="00C336EB"/>
    <w:rsid w:val="00C47BCB"/>
    <w:rsid w:val="00C6541D"/>
    <w:rsid w:val="00C7141C"/>
    <w:rsid w:val="00C8366A"/>
    <w:rsid w:val="00CA090D"/>
    <w:rsid w:val="00CC049D"/>
    <w:rsid w:val="00CC445D"/>
    <w:rsid w:val="00CE24E1"/>
    <w:rsid w:val="00CF275A"/>
    <w:rsid w:val="00CF5522"/>
    <w:rsid w:val="00D17B05"/>
    <w:rsid w:val="00D521FE"/>
    <w:rsid w:val="00D6087E"/>
    <w:rsid w:val="00D804ED"/>
    <w:rsid w:val="00D91DED"/>
    <w:rsid w:val="00D95482"/>
    <w:rsid w:val="00D95831"/>
    <w:rsid w:val="00D974C7"/>
    <w:rsid w:val="00DA45EF"/>
    <w:rsid w:val="00DB19B2"/>
    <w:rsid w:val="00DD3485"/>
    <w:rsid w:val="00DF7355"/>
    <w:rsid w:val="00DF7525"/>
    <w:rsid w:val="00E00ACD"/>
    <w:rsid w:val="00E054D3"/>
    <w:rsid w:val="00E142D8"/>
    <w:rsid w:val="00E318B3"/>
    <w:rsid w:val="00EA5F13"/>
    <w:rsid w:val="00EC317B"/>
    <w:rsid w:val="00EC63B9"/>
    <w:rsid w:val="00F42DF5"/>
    <w:rsid w:val="00F51464"/>
    <w:rsid w:val="00F52B45"/>
    <w:rsid w:val="00FB3C1D"/>
    <w:rsid w:val="00FD2414"/>
    <w:rsid w:val="00FE07B0"/>
    <w:rsid w:val="00FE52A7"/>
    <w:rsid w:val="00FF0211"/>
    <w:rsid w:val="0EEEB986"/>
    <w:rsid w:val="1F26989D"/>
    <w:rsid w:val="44DB62CC"/>
    <w:rsid w:val="61C0890B"/>
    <w:rsid w:val="691DAAA6"/>
    <w:rsid w:val="7D71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3B807"/>
  <w15:chartTrackingRefBased/>
  <w15:docId w15:val="{25085829-BD33-47DB-A2FC-ED2805B9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255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05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053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05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053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paragraph" w:customStyle="1" w:styleId="Default">
    <w:name w:val="Default"/>
    <w:link w:val="DefaultChar"/>
    <w:rsid w:val="00730C5D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730C5D"/>
    <w:rPr>
      <w:rFonts w:ascii="Calibri" w:eastAsia="MS Mincho" w:hAnsi="Calibri" w:cs="Calibri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0C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C5D"/>
    <w:rPr>
      <w:rFonts w:ascii="Segoe UI" w:eastAsia="Arial Unicode MS" w:hAnsi="Segoe UI" w:cs="Segoe UI"/>
      <w:kern w:val="1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1D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1D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1DED"/>
    <w:rPr>
      <w:rFonts w:ascii="Times New Roman" w:eastAsia="Arial Unicode MS" w:hAnsi="Times New Roman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1D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1DED"/>
    <w:rPr>
      <w:rFonts w:ascii="Times New Roman" w:eastAsia="Arial Unicode MS" w:hAnsi="Times New Roman" w:cs="Times New Roman"/>
      <w:b/>
      <w:bCs/>
      <w:kern w:val="1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e">
    <w:name w:val="Revision"/>
    <w:hidden/>
    <w:uiPriority w:val="99"/>
    <w:semiHidden/>
    <w:rsid w:val="00B06712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7AB7D5CA9084AB62374EA8EAE3743" ma:contentTypeVersion="4" ma:contentTypeDescription="Vytvoří nový dokument" ma:contentTypeScope="" ma:versionID="0be3976c8a34482af948e48cb17bdd4e">
  <xsd:schema xmlns:xsd="http://www.w3.org/2001/XMLSchema" xmlns:xs="http://www.w3.org/2001/XMLSchema" xmlns:p="http://schemas.microsoft.com/office/2006/metadata/properties" xmlns:ns2="45c43928-395a-4f4c-884c-f4ae3fcbabb8" targetNamespace="http://schemas.microsoft.com/office/2006/metadata/properties" ma:root="true" ma:fieldsID="84553e57b3daf0d226af87ecfd12e58e" ns2:_="">
    <xsd:import namespace="45c43928-395a-4f4c-884c-f4ae3fcba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43928-395a-4f4c-884c-f4ae3fcba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C12B38-C662-47C6-B7AD-E85B93D787D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5c43928-395a-4f4c-884c-f4ae3fcbabb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91591F-7515-43FB-B828-1B40C8795C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D53A1-90FE-4352-A7F5-FD7E27BF5F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3E605E-7607-4947-87FD-BCDA15475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43928-395a-4f4c-884c-f4ae3fcba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2560</Characters>
  <DocSecurity>0</DocSecurity>
  <Lines>21</Lines>
  <Paragraphs>5</Paragraphs>
  <ScaleCrop>false</ScaleCrop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2025-03-31T07:45:00Z</cp:lastPrinted>
  <dcterms:created xsi:type="dcterms:W3CDTF">2024-10-21T12:41:00Z</dcterms:created>
  <dcterms:modified xsi:type="dcterms:W3CDTF">2025-03-31T07:45:00Z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0x0101005507AB7D5CA9084AB62374EA8EAE3743</vt:lpwstr>
  </property>
  <property fmtid="{D5CDD505-2E9C-101B-9397-08002B2CF9AE}" pid="3" name="MediaServiceImageTags">
    <vt:lpwstr/>
  </property>
</Properties>
</file>